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AD017">
      <w:pPr>
        <w:pStyle w:val="4"/>
        <w:adjustRightInd w:val="0"/>
        <w:snapToGrid w:val="0"/>
        <w:spacing w:beforeLines="50" w:afterLines="50"/>
        <w:ind w:firstLine="0"/>
        <w:jc w:val="center"/>
        <w:outlineLvl w:val="0"/>
        <w:rPr>
          <w:rFonts w:ascii="宋体" w:hAnsi="宋体" w:cs="宋体"/>
          <w:b/>
          <w:color w:val="000000"/>
          <w:kern w:val="44"/>
          <w:sz w:val="44"/>
          <w:szCs w:val="44"/>
        </w:rPr>
      </w:pPr>
      <w:r>
        <w:rPr>
          <w:rFonts w:hint="eastAsia" w:ascii="宋体" w:hAnsi="宋体" w:cs="宋体"/>
          <w:b/>
          <w:color w:val="000000"/>
          <w:kern w:val="44"/>
          <w:sz w:val="44"/>
          <w:szCs w:val="44"/>
        </w:rPr>
        <w:t>政府采购合同格式（参考）</w:t>
      </w:r>
    </w:p>
    <w:p w14:paraId="4270A4EF">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 xml:space="preserve">合同编号：____________ </w:t>
      </w:r>
    </w:p>
    <w:p w14:paraId="30B4AC01">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 xml:space="preserve">签订地点：汉中市南郑区民政局 </w:t>
      </w:r>
    </w:p>
    <w:p w14:paraId="33E47319">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 xml:space="preserve">签订时间：____年__月__日 </w:t>
      </w:r>
    </w:p>
    <w:p w14:paraId="4BF403FC">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 xml:space="preserve">采购人（甲方）：汉中市南郑区民政局 </w:t>
      </w:r>
    </w:p>
    <w:p w14:paraId="399A303F">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 xml:space="preserve">供应商（乙方）：________________ </w:t>
      </w:r>
    </w:p>
    <w:p w14:paraId="72C95BF4">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依据《中华人民共和国民法典》、《中华人民共和国政府采购法》与项目行业有关的法律法规，以及《 2026年汉中市南郑区散居特困供养人员照料护理购买社会力量服务采购项目</w:t>
      </w:r>
      <w:r>
        <w:rPr>
          <w:rFonts w:hint="eastAsia" w:ascii="宋体" w:hAnsi="宋体"/>
          <w:color w:val="000000"/>
          <w:lang w:val="en-US" w:eastAsia="zh-CN"/>
        </w:rPr>
        <w:t>采购包</w:t>
      </w:r>
      <w:r>
        <w:rPr>
          <w:rFonts w:hint="eastAsia" w:ascii="宋体" w:hAnsi="宋体"/>
          <w:color w:val="000000"/>
          <w:lang w:eastAsia="zh-CN"/>
        </w:rPr>
        <w:t xml:space="preserve">__》（招标编号：SXZS-CG[2026]003号）的《招标文件》，乙方的《投标文件》及《中标通知书》等，为保证政府购买的服务质量，明确双方的权利义务，甲乙双方在平等、自愿、协商一致的基础上同意签订本合同，本项目的《招标文件》、《投标文件》、《中标通知书》等均为本合同的组成部分。 </w:t>
      </w:r>
    </w:p>
    <w:p w14:paraId="132AB523">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 xml:space="preserve">第一条 项目基本情况 </w:t>
      </w:r>
    </w:p>
    <w:p w14:paraId="37CA089D">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项目基本情况以《招标文件》为准。</w:t>
      </w:r>
    </w:p>
    <w:p w14:paraId="6AA1654B">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 xml:space="preserve">具体采购服务情况如下： </w:t>
      </w:r>
    </w:p>
    <w:p w14:paraId="573DB254">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 xml:space="preserve">1.服务人群 ________________________________________________ </w:t>
      </w:r>
    </w:p>
    <w:p w14:paraId="73A52692">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 xml:space="preserve">2、服务项目和服务频次 </w:t>
      </w:r>
    </w:p>
    <w:p w14:paraId="0B03D652">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（一） 汉中市南郑区民政局（</w:t>
      </w:r>
      <w:r>
        <w:rPr>
          <w:rFonts w:hint="eastAsia" w:ascii="宋体" w:hAnsi="宋体"/>
          <w:color w:val="000000"/>
          <w:lang w:val="en-US" w:eastAsia="zh-CN"/>
        </w:rPr>
        <w:t>全自理</w:t>
      </w:r>
      <w:r>
        <w:rPr>
          <w:rFonts w:hint="eastAsia" w:ascii="宋体" w:hAnsi="宋体"/>
          <w:color w:val="000000"/>
          <w:lang w:eastAsia="zh-CN"/>
        </w:rPr>
        <w:t xml:space="preserve">）特困供养对象购买社会服务明细表明细表 </w:t>
      </w:r>
    </w:p>
    <w:tbl>
      <w:tblPr>
        <w:tblStyle w:val="14"/>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23"/>
        <w:gridCol w:w="1215"/>
        <w:gridCol w:w="1235"/>
        <w:gridCol w:w="1183"/>
        <w:gridCol w:w="867"/>
        <w:gridCol w:w="1017"/>
        <w:gridCol w:w="1266"/>
        <w:gridCol w:w="1084"/>
        <w:gridCol w:w="650"/>
      </w:tblGrid>
      <w:tr w14:paraId="09EC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3" w:type="dxa"/>
            <w:vAlign w:val="center"/>
          </w:tcPr>
          <w:p w14:paraId="45E4C3C9">
            <w:pPr>
              <w:pStyle w:val="22"/>
              <w:spacing w:line="360" w:lineRule="auto"/>
              <w:ind w:left="0" w:leftChars="0" w:firstLine="0" w:firstLineChars="0"/>
              <w:jc w:val="center"/>
              <w:rPr>
                <w:rFonts w:hint="default" w:ascii="宋体" w:hAnsi="宋体"/>
                <w:color w:val="000000"/>
                <w:vertAlign w:val="baseline"/>
                <w:lang w:val="en-US" w:eastAsia="zh-CN"/>
              </w:rPr>
            </w:pPr>
            <w:r>
              <w:rPr>
                <w:rFonts w:hint="eastAsia" w:ascii="宋体" w:hAnsi="宋体"/>
                <w:color w:val="000000"/>
                <w:vertAlign w:val="baseline"/>
                <w:lang w:val="en-US" w:eastAsia="zh-CN"/>
              </w:rPr>
              <w:t>序号</w:t>
            </w:r>
          </w:p>
        </w:tc>
        <w:tc>
          <w:tcPr>
            <w:tcW w:w="1215" w:type="dxa"/>
            <w:vAlign w:val="center"/>
          </w:tcPr>
          <w:p w14:paraId="52701D75">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服务类别</w:t>
            </w:r>
          </w:p>
        </w:tc>
        <w:tc>
          <w:tcPr>
            <w:tcW w:w="1235" w:type="dxa"/>
            <w:vAlign w:val="center"/>
          </w:tcPr>
          <w:p w14:paraId="5A33D664">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服务项目</w:t>
            </w:r>
          </w:p>
        </w:tc>
        <w:tc>
          <w:tcPr>
            <w:tcW w:w="1183" w:type="dxa"/>
            <w:vAlign w:val="center"/>
          </w:tcPr>
          <w:p w14:paraId="046C1C29">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服务标准</w:t>
            </w:r>
          </w:p>
        </w:tc>
        <w:tc>
          <w:tcPr>
            <w:tcW w:w="867" w:type="dxa"/>
            <w:vAlign w:val="center"/>
          </w:tcPr>
          <w:p w14:paraId="3E3BB513">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单位</w:t>
            </w:r>
          </w:p>
        </w:tc>
        <w:tc>
          <w:tcPr>
            <w:tcW w:w="1017" w:type="dxa"/>
            <w:vAlign w:val="center"/>
          </w:tcPr>
          <w:p w14:paraId="51C02993">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单次服务报价（元）</w:t>
            </w:r>
          </w:p>
        </w:tc>
        <w:tc>
          <w:tcPr>
            <w:tcW w:w="1266" w:type="dxa"/>
            <w:vAlign w:val="center"/>
          </w:tcPr>
          <w:p w14:paraId="0049F122">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服务频率</w:t>
            </w:r>
          </w:p>
        </w:tc>
        <w:tc>
          <w:tcPr>
            <w:tcW w:w="1084" w:type="dxa"/>
            <w:vAlign w:val="center"/>
          </w:tcPr>
          <w:p w14:paraId="42351370">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服务金额（元）</w:t>
            </w:r>
          </w:p>
        </w:tc>
        <w:tc>
          <w:tcPr>
            <w:tcW w:w="650" w:type="dxa"/>
            <w:vAlign w:val="center"/>
          </w:tcPr>
          <w:p w14:paraId="6F08C1AD">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备注</w:t>
            </w:r>
          </w:p>
        </w:tc>
      </w:tr>
      <w:tr w14:paraId="223FD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99" w:hRule="atLeast"/>
        </w:trPr>
        <w:tc>
          <w:tcPr>
            <w:tcW w:w="823" w:type="dxa"/>
            <w:vAlign w:val="center"/>
          </w:tcPr>
          <w:p w14:paraId="3993FE95">
            <w:pPr>
              <w:pStyle w:val="22"/>
              <w:spacing w:line="360" w:lineRule="auto"/>
              <w:jc w:val="center"/>
              <w:rPr>
                <w:rFonts w:hint="eastAsia" w:ascii="宋体" w:hAnsi="宋体"/>
                <w:color w:val="000000"/>
                <w:vertAlign w:val="baseline"/>
                <w:lang w:eastAsia="zh-CN"/>
              </w:rPr>
            </w:pPr>
          </w:p>
        </w:tc>
        <w:tc>
          <w:tcPr>
            <w:tcW w:w="1215" w:type="dxa"/>
            <w:vAlign w:val="center"/>
          </w:tcPr>
          <w:p w14:paraId="718C4701">
            <w:pPr>
              <w:pStyle w:val="22"/>
              <w:spacing w:line="360" w:lineRule="auto"/>
              <w:jc w:val="center"/>
              <w:rPr>
                <w:rFonts w:hint="eastAsia" w:ascii="宋体" w:hAnsi="宋体"/>
                <w:color w:val="000000"/>
                <w:vertAlign w:val="baseline"/>
                <w:lang w:eastAsia="zh-CN"/>
              </w:rPr>
            </w:pPr>
          </w:p>
        </w:tc>
        <w:tc>
          <w:tcPr>
            <w:tcW w:w="1235" w:type="dxa"/>
            <w:vAlign w:val="center"/>
          </w:tcPr>
          <w:p w14:paraId="20231CD9">
            <w:pPr>
              <w:pStyle w:val="22"/>
              <w:spacing w:line="360" w:lineRule="auto"/>
              <w:jc w:val="center"/>
              <w:rPr>
                <w:rFonts w:hint="eastAsia" w:ascii="宋体" w:hAnsi="宋体"/>
                <w:color w:val="000000"/>
                <w:vertAlign w:val="baseline"/>
                <w:lang w:eastAsia="zh-CN"/>
              </w:rPr>
            </w:pPr>
          </w:p>
        </w:tc>
        <w:tc>
          <w:tcPr>
            <w:tcW w:w="1183" w:type="dxa"/>
            <w:vAlign w:val="center"/>
          </w:tcPr>
          <w:p w14:paraId="3BD4240C">
            <w:pPr>
              <w:pStyle w:val="22"/>
              <w:spacing w:line="360" w:lineRule="auto"/>
              <w:jc w:val="center"/>
              <w:rPr>
                <w:rFonts w:hint="eastAsia" w:ascii="宋体" w:hAnsi="宋体"/>
                <w:color w:val="000000"/>
                <w:vertAlign w:val="baseline"/>
                <w:lang w:eastAsia="zh-CN"/>
              </w:rPr>
            </w:pPr>
          </w:p>
        </w:tc>
        <w:tc>
          <w:tcPr>
            <w:tcW w:w="867" w:type="dxa"/>
            <w:vAlign w:val="center"/>
          </w:tcPr>
          <w:p w14:paraId="1660EEE2">
            <w:pPr>
              <w:pStyle w:val="22"/>
              <w:spacing w:line="360" w:lineRule="auto"/>
              <w:jc w:val="center"/>
              <w:rPr>
                <w:rFonts w:hint="eastAsia" w:ascii="宋体" w:hAnsi="宋体"/>
                <w:color w:val="000000"/>
                <w:vertAlign w:val="baseline"/>
                <w:lang w:eastAsia="zh-CN"/>
              </w:rPr>
            </w:pPr>
          </w:p>
        </w:tc>
        <w:tc>
          <w:tcPr>
            <w:tcW w:w="1017" w:type="dxa"/>
            <w:vAlign w:val="center"/>
          </w:tcPr>
          <w:p w14:paraId="37511669">
            <w:pPr>
              <w:pStyle w:val="22"/>
              <w:spacing w:line="360" w:lineRule="auto"/>
              <w:jc w:val="center"/>
              <w:rPr>
                <w:rFonts w:hint="eastAsia" w:ascii="宋体" w:hAnsi="宋体"/>
                <w:color w:val="000000"/>
                <w:vertAlign w:val="baseline"/>
                <w:lang w:eastAsia="zh-CN"/>
              </w:rPr>
            </w:pPr>
          </w:p>
        </w:tc>
        <w:tc>
          <w:tcPr>
            <w:tcW w:w="1266" w:type="dxa"/>
            <w:vAlign w:val="center"/>
          </w:tcPr>
          <w:p w14:paraId="73897996">
            <w:pPr>
              <w:pStyle w:val="22"/>
              <w:spacing w:line="360" w:lineRule="auto"/>
              <w:jc w:val="center"/>
              <w:rPr>
                <w:rFonts w:hint="eastAsia" w:ascii="宋体" w:hAnsi="宋体"/>
                <w:color w:val="000000"/>
                <w:vertAlign w:val="baseline"/>
                <w:lang w:eastAsia="zh-CN"/>
              </w:rPr>
            </w:pPr>
          </w:p>
        </w:tc>
        <w:tc>
          <w:tcPr>
            <w:tcW w:w="1084" w:type="dxa"/>
            <w:vAlign w:val="center"/>
          </w:tcPr>
          <w:p w14:paraId="02D66054">
            <w:pPr>
              <w:pStyle w:val="22"/>
              <w:spacing w:line="360" w:lineRule="auto"/>
              <w:jc w:val="center"/>
              <w:rPr>
                <w:rFonts w:hint="eastAsia" w:ascii="宋体" w:hAnsi="宋体"/>
                <w:color w:val="000000"/>
                <w:vertAlign w:val="baseline"/>
                <w:lang w:eastAsia="zh-CN"/>
              </w:rPr>
            </w:pPr>
          </w:p>
        </w:tc>
        <w:tc>
          <w:tcPr>
            <w:tcW w:w="650" w:type="dxa"/>
            <w:vAlign w:val="center"/>
          </w:tcPr>
          <w:p w14:paraId="7A0EF0B8">
            <w:pPr>
              <w:pStyle w:val="22"/>
              <w:spacing w:line="360" w:lineRule="auto"/>
              <w:jc w:val="center"/>
              <w:rPr>
                <w:rFonts w:hint="eastAsia" w:ascii="宋体" w:hAnsi="宋体"/>
                <w:color w:val="000000"/>
                <w:vertAlign w:val="baseline"/>
                <w:lang w:eastAsia="zh-CN"/>
              </w:rPr>
            </w:pPr>
          </w:p>
        </w:tc>
      </w:tr>
    </w:tbl>
    <w:p w14:paraId="7AE5F71D">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 xml:space="preserve"> （二）汉中市南郑区民政局（半护理）特困供养对象购买社会服务明细表 </w:t>
      </w:r>
    </w:p>
    <w:tbl>
      <w:tblPr>
        <w:tblStyle w:val="14"/>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15"/>
        <w:gridCol w:w="1235"/>
        <w:gridCol w:w="1183"/>
        <w:gridCol w:w="867"/>
        <w:gridCol w:w="1017"/>
        <w:gridCol w:w="1266"/>
        <w:gridCol w:w="1084"/>
        <w:gridCol w:w="650"/>
      </w:tblGrid>
      <w:tr w14:paraId="60E4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vAlign w:val="center"/>
          </w:tcPr>
          <w:p w14:paraId="0C44B806">
            <w:pPr>
              <w:pStyle w:val="22"/>
              <w:spacing w:line="360" w:lineRule="auto"/>
              <w:ind w:left="0" w:leftChars="0" w:firstLine="0" w:firstLineChars="0"/>
              <w:jc w:val="center"/>
              <w:rPr>
                <w:rFonts w:hint="default" w:ascii="宋体" w:hAnsi="宋体"/>
                <w:color w:val="000000"/>
                <w:vertAlign w:val="baseline"/>
                <w:lang w:val="en-US" w:eastAsia="zh-CN"/>
              </w:rPr>
            </w:pPr>
            <w:r>
              <w:rPr>
                <w:rFonts w:hint="eastAsia" w:ascii="宋体" w:hAnsi="宋体"/>
                <w:color w:val="000000"/>
                <w:vertAlign w:val="baseline"/>
                <w:lang w:val="en-US" w:eastAsia="zh-CN"/>
              </w:rPr>
              <w:t>序号</w:t>
            </w:r>
          </w:p>
        </w:tc>
        <w:tc>
          <w:tcPr>
            <w:tcW w:w="1215" w:type="dxa"/>
            <w:vAlign w:val="center"/>
          </w:tcPr>
          <w:p w14:paraId="4157BC53">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服务类别</w:t>
            </w:r>
          </w:p>
        </w:tc>
        <w:tc>
          <w:tcPr>
            <w:tcW w:w="1235" w:type="dxa"/>
            <w:vAlign w:val="center"/>
          </w:tcPr>
          <w:p w14:paraId="1A946AAF">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服务项目</w:t>
            </w:r>
          </w:p>
        </w:tc>
        <w:tc>
          <w:tcPr>
            <w:tcW w:w="1183" w:type="dxa"/>
            <w:vAlign w:val="center"/>
          </w:tcPr>
          <w:p w14:paraId="34CA2378">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服务标准</w:t>
            </w:r>
          </w:p>
        </w:tc>
        <w:tc>
          <w:tcPr>
            <w:tcW w:w="867" w:type="dxa"/>
            <w:vAlign w:val="center"/>
          </w:tcPr>
          <w:p w14:paraId="5A18BA5C">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单位</w:t>
            </w:r>
          </w:p>
        </w:tc>
        <w:tc>
          <w:tcPr>
            <w:tcW w:w="1017" w:type="dxa"/>
            <w:vAlign w:val="center"/>
          </w:tcPr>
          <w:p w14:paraId="1099DD5B">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单次服务报价（元）</w:t>
            </w:r>
          </w:p>
        </w:tc>
        <w:tc>
          <w:tcPr>
            <w:tcW w:w="1266" w:type="dxa"/>
            <w:vAlign w:val="center"/>
          </w:tcPr>
          <w:p w14:paraId="0A581A9E">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服务频率</w:t>
            </w:r>
          </w:p>
        </w:tc>
        <w:tc>
          <w:tcPr>
            <w:tcW w:w="1084" w:type="dxa"/>
            <w:vAlign w:val="center"/>
          </w:tcPr>
          <w:p w14:paraId="043DBBA7">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服务金额（元）</w:t>
            </w:r>
          </w:p>
        </w:tc>
        <w:tc>
          <w:tcPr>
            <w:tcW w:w="650" w:type="dxa"/>
            <w:vAlign w:val="center"/>
          </w:tcPr>
          <w:p w14:paraId="3AC0C185">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备注</w:t>
            </w:r>
          </w:p>
        </w:tc>
      </w:tr>
      <w:tr w14:paraId="5A5E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823" w:type="dxa"/>
            <w:vAlign w:val="center"/>
          </w:tcPr>
          <w:p w14:paraId="6E83CBBA">
            <w:pPr>
              <w:pStyle w:val="22"/>
              <w:spacing w:line="360" w:lineRule="auto"/>
              <w:jc w:val="center"/>
              <w:rPr>
                <w:rFonts w:hint="eastAsia" w:ascii="宋体" w:hAnsi="宋体"/>
                <w:color w:val="000000"/>
                <w:vertAlign w:val="baseline"/>
                <w:lang w:eastAsia="zh-CN"/>
              </w:rPr>
            </w:pPr>
          </w:p>
        </w:tc>
        <w:tc>
          <w:tcPr>
            <w:tcW w:w="1215" w:type="dxa"/>
            <w:vAlign w:val="center"/>
          </w:tcPr>
          <w:p w14:paraId="787BAA63">
            <w:pPr>
              <w:pStyle w:val="22"/>
              <w:spacing w:line="360" w:lineRule="auto"/>
              <w:jc w:val="center"/>
              <w:rPr>
                <w:rFonts w:hint="eastAsia" w:ascii="宋体" w:hAnsi="宋体"/>
                <w:color w:val="000000"/>
                <w:vertAlign w:val="baseline"/>
                <w:lang w:eastAsia="zh-CN"/>
              </w:rPr>
            </w:pPr>
          </w:p>
        </w:tc>
        <w:tc>
          <w:tcPr>
            <w:tcW w:w="1235" w:type="dxa"/>
            <w:vAlign w:val="center"/>
          </w:tcPr>
          <w:p w14:paraId="6FD0A716">
            <w:pPr>
              <w:pStyle w:val="22"/>
              <w:spacing w:line="360" w:lineRule="auto"/>
              <w:jc w:val="center"/>
              <w:rPr>
                <w:rFonts w:hint="eastAsia" w:ascii="宋体" w:hAnsi="宋体"/>
                <w:color w:val="000000"/>
                <w:vertAlign w:val="baseline"/>
                <w:lang w:eastAsia="zh-CN"/>
              </w:rPr>
            </w:pPr>
          </w:p>
        </w:tc>
        <w:tc>
          <w:tcPr>
            <w:tcW w:w="1183" w:type="dxa"/>
            <w:vAlign w:val="center"/>
          </w:tcPr>
          <w:p w14:paraId="6F629A15">
            <w:pPr>
              <w:pStyle w:val="22"/>
              <w:spacing w:line="360" w:lineRule="auto"/>
              <w:jc w:val="center"/>
              <w:rPr>
                <w:rFonts w:hint="eastAsia" w:ascii="宋体" w:hAnsi="宋体"/>
                <w:color w:val="000000"/>
                <w:vertAlign w:val="baseline"/>
                <w:lang w:eastAsia="zh-CN"/>
              </w:rPr>
            </w:pPr>
          </w:p>
        </w:tc>
        <w:tc>
          <w:tcPr>
            <w:tcW w:w="867" w:type="dxa"/>
            <w:vAlign w:val="center"/>
          </w:tcPr>
          <w:p w14:paraId="5C8A719F">
            <w:pPr>
              <w:pStyle w:val="22"/>
              <w:spacing w:line="360" w:lineRule="auto"/>
              <w:jc w:val="center"/>
              <w:rPr>
                <w:rFonts w:hint="eastAsia" w:ascii="宋体" w:hAnsi="宋体"/>
                <w:color w:val="000000"/>
                <w:vertAlign w:val="baseline"/>
                <w:lang w:eastAsia="zh-CN"/>
              </w:rPr>
            </w:pPr>
          </w:p>
        </w:tc>
        <w:tc>
          <w:tcPr>
            <w:tcW w:w="1017" w:type="dxa"/>
            <w:vAlign w:val="center"/>
          </w:tcPr>
          <w:p w14:paraId="3ABE4865">
            <w:pPr>
              <w:pStyle w:val="22"/>
              <w:spacing w:line="360" w:lineRule="auto"/>
              <w:jc w:val="center"/>
              <w:rPr>
                <w:rFonts w:hint="eastAsia" w:ascii="宋体" w:hAnsi="宋体"/>
                <w:color w:val="000000"/>
                <w:vertAlign w:val="baseline"/>
                <w:lang w:eastAsia="zh-CN"/>
              </w:rPr>
            </w:pPr>
          </w:p>
        </w:tc>
        <w:tc>
          <w:tcPr>
            <w:tcW w:w="1266" w:type="dxa"/>
            <w:vAlign w:val="center"/>
          </w:tcPr>
          <w:p w14:paraId="645C561E">
            <w:pPr>
              <w:pStyle w:val="22"/>
              <w:spacing w:line="360" w:lineRule="auto"/>
              <w:jc w:val="center"/>
              <w:rPr>
                <w:rFonts w:hint="eastAsia" w:ascii="宋体" w:hAnsi="宋体"/>
                <w:color w:val="000000"/>
                <w:vertAlign w:val="baseline"/>
                <w:lang w:eastAsia="zh-CN"/>
              </w:rPr>
            </w:pPr>
          </w:p>
        </w:tc>
        <w:tc>
          <w:tcPr>
            <w:tcW w:w="1084" w:type="dxa"/>
            <w:vAlign w:val="center"/>
          </w:tcPr>
          <w:p w14:paraId="25796354">
            <w:pPr>
              <w:pStyle w:val="22"/>
              <w:spacing w:line="360" w:lineRule="auto"/>
              <w:jc w:val="center"/>
              <w:rPr>
                <w:rFonts w:hint="eastAsia" w:ascii="宋体" w:hAnsi="宋体"/>
                <w:color w:val="000000"/>
                <w:vertAlign w:val="baseline"/>
                <w:lang w:eastAsia="zh-CN"/>
              </w:rPr>
            </w:pPr>
          </w:p>
        </w:tc>
        <w:tc>
          <w:tcPr>
            <w:tcW w:w="650" w:type="dxa"/>
            <w:vAlign w:val="center"/>
          </w:tcPr>
          <w:p w14:paraId="367C5531">
            <w:pPr>
              <w:pStyle w:val="22"/>
              <w:spacing w:line="360" w:lineRule="auto"/>
              <w:jc w:val="center"/>
              <w:rPr>
                <w:rFonts w:hint="eastAsia" w:ascii="宋体" w:hAnsi="宋体"/>
                <w:color w:val="000000"/>
                <w:vertAlign w:val="baseline"/>
                <w:lang w:eastAsia="zh-CN"/>
              </w:rPr>
            </w:pPr>
          </w:p>
        </w:tc>
      </w:tr>
    </w:tbl>
    <w:p w14:paraId="1E2ED7CB">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 xml:space="preserve">    </w:t>
      </w:r>
    </w:p>
    <w:p w14:paraId="69B24FA3">
      <w:pPr>
        <w:pStyle w:val="22"/>
        <w:spacing w:line="360" w:lineRule="auto"/>
        <w:ind w:left="0" w:leftChars="0" w:firstLine="480" w:firstLineChars="200"/>
        <w:rPr>
          <w:rFonts w:hint="eastAsia" w:ascii="宋体" w:hAnsi="宋体"/>
          <w:color w:val="000000"/>
          <w:lang w:eastAsia="zh-CN"/>
        </w:rPr>
      </w:pPr>
      <w:r>
        <w:rPr>
          <w:rFonts w:hint="eastAsia" w:ascii="宋体" w:hAnsi="宋体"/>
          <w:color w:val="000000"/>
          <w:lang w:eastAsia="zh-CN"/>
        </w:rPr>
        <w:t>（三）汉中市南郑区民政局（全护理）特困供养对象购买社会服务明细表</w:t>
      </w:r>
    </w:p>
    <w:p w14:paraId="17EC5C94">
      <w:pPr>
        <w:pStyle w:val="22"/>
        <w:spacing w:line="360" w:lineRule="auto"/>
        <w:ind w:left="0" w:leftChars="0" w:firstLine="480" w:firstLineChars="200"/>
        <w:rPr>
          <w:rFonts w:hint="eastAsia" w:ascii="宋体" w:hAnsi="宋体"/>
          <w:color w:val="000000"/>
          <w:lang w:eastAsia="zh-CN"/>
        </w:rPr>
      </w:pPr>
    </w:p>
    <w:tbl>
      <w:tblPr>
        <w:tblStyle w:val="14"/>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15"/>
        <w:gridCol w:w="1235"/>
        <w:gridCol w:w="1183"/>
        <w:gridCol w:w="867"/>
        <w:gridCol w:w="1017"/>
        <w:gridCol w:w="1266"/>
        <w:gridCol w:w="1084"/>
        <w:gridCol w:w="650"/>
      </w:tblGrid>
      <w:tr w14:paraId="5D79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vAlign w:val="center"/>
          </w:tcPr>
          <w:p w14:paraId="56E3EBB2">
            <w:pPr>
              <w:pStyle w:val="22"/>
              <w:spacing w:line="360" w:lineRule="auto"/>
              <w:ind w:left="0" w:leftChars="0" w:firstLine="0" w:firstLineChars="0"/>
              <w:jc w:val="center"/>
              <w:rPr>
                <w:rFonts w:hint="default" w:ascii="宋体" w:hAnsi="宋体"/>
                <w:color w:val="000000"/>
                <w:vertAlign w:val="baseline"/>
                <w:lang w:val="en-US" w:eastAsia="zh-CN"/>
              </w:rPr>
            </w:pPr>
            <w:r>
              <w:rPr>
                <w:rFonts w:hint="eastAsia" w:ascii="宋体" w:hAnsi="宋体"/>
                <w:color w:val="000000"/>
                <w:vertAlign w:val="baseline"/>
                <w:lang w:val="en-US" w:eastAsia="zh-CN"/>
              </w:rPr>
              <w:t>序号</w:t>
            </w:r>
          </w:p>
        </w:tc>
        <w:tc>
          <w:tcPr>
            <w:tcW w:w="1215" w:type="dxa"/>
            <w:vAlign w:val="center"/>
          </w:tcPr>
          <w:p w14:paraId="59862D62">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服务类别</w:t>
            </w:r>
          </w:p>
        </w:tc>
        <w:tc>
          <w:tcPr>
            <w:tcW w:w="1235" w:type="dxa"/>
            <w:vAlign w:val="center"/>
          </w:tcPr>
          <w:p w14:paraId="209741C7">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服务项目</w:t>
            </w:r>
          </w:p>
        </w:tc>
        <w:tc>
          <w:tcPr>
            <w:tcW w:w="1183" w:type="dxa"/>
            <w:vAlign w:val="center"/>
          </w:tcPr>
          <w:p w14:paraId="6289A065">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服务标准</w:t>
            </w:r>
          </w:p>
        </w:tc>
        <w:tc>
          <w:tcPr>
            <w:tcW w:w="867" w:type="dxa"/>
            <w:vAlign w:val="center"/>
          </w:tcPr>
          <w:p w14:paraId="5AB4F038">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单位</w:t>
            </w:r>
          </w:p>
        </w:tc>
        <w:tc>
          <w:tcPr>
            <w:tcW w:w="1017" w:type="dxa"/>
            <w:vAlign w:val="center"/>
          </w:tcPr>
          <w:p w14:paraId="5A410E81">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单次服务报价（元）</w:t>
            </w:r>
          </w:p>
        </w:tc>
        <w:tc>
          <w:tcPr>
            <w:tcW w:w="1266" w:type="dxa"/>
            <w:vAlign w:val="center"/>
          </w:tcPr>
          <w:p w14:paraId="421B044E">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服务频率</w:t>
            </w:r>
          </w:p>
        </w:tc>
        <w:tc>
          <w:tcPr>
            <w:tcW w:w="1084" w:type="dxa"/>
            <w:vAlign w:val="center"/>
          </w:tcPr>
          <w:p w14:paraId="26C03746">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服务金额（元）</w:t>
            </w:r>
          </w:p>
        </w:tc>
        <w:tc>
          <w:tcPr>
            <w:tcW w:w="650" w:type="dxa"/>
            <w:vAlign w:val="center"/>
          </w:tcPr>
          <w:p w14:paraId="496F56E4">
            <w:pPr>
              <w:pStyle w:val="22"/>
              <w:spacing w:line="360" w:lineRule="auto"/>
              <w:ind w:left="0" w:leftChars="0" w:firstLine="0" w:firstLineChars="0"/>
              <w:jc w:val="center"/>
              <w:rPr>
                <w:rFonts w:hint="eastAsia" w:ascii="宋体" w:hAnsi="宋体"/>
                <w:color w:val="000000"/>
                <w:vertAlign w:val="baseline"/>
                <w:lang w:eastAsia="zh-CN"/>
              </w:rPr>
            </w:pPr>
            <w:r>
              <w:rPr>
                <w:rFonts w:hint="eastAsia" w:ascii="宋体" w:hAnsi="宋体"/>
                <w:color w:val="000000"/>
                <w:lang w:eastAsia="zh-CN"/>
              </w:rPr>
              <w:t>备注</w:t>
            </w:r>
          </w:p>
        </w:tc>
      </w:tr>
      <w:tr w14:paraId="747A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823" w:type="dxa"/>
            <w:vAlign w:val="center"/>
          </w:tcPr>
          <w:p w14:paraId="5720D1E8">
            <w:pPr>
              <w:pStyle w:val="22"/>
              <w:spacing w:line="360" w:lineRule="auto"/>
              <w:jc w:val="center"/>
              <w:rPr>
                <w:rFonts w:hint="eastAsia" w:ascii="宋体" w:hAnsi="宋体"/>
                <w:color w:val="000000"/>
                <w:vertAlign w:val="baseline"/>
                <w:lang w:eastAsia="zh-CN"/>
              </w:rPr>
            </w:pPr>
          </w:p>
        </w:tc>
        <w:tc>
          <w:tcPr>
            <w:tcW w:w="1215" w:type="dxa"/>
            <w:vAlign w:val="center"/>
          </w:tcPr>
          <w:p w14:paraId="50DD1287">
            <w:pPr>
              <w:pStyle w:val="22"/>
              <w:spacing w:line="360" w:lineRule="auto"/>
              <w:jc w:val="center"/>
              <w:rPr>
                <w:rFonts w:hint="eastAsia" w:ascii="宋体" w:hAnsi="宋体"/>
                <w:color w:val="000000"/>
                <w:vertAlign w:val="baseline"/>
                <w:lang w:eastAsia="zh-CN"/>
              </w:rPr>
            </w:pPr>
          </w:p>
        </w:tc>
        <w:tc>
          <w:tcPr>
            <w:tcW w:w="1235" w:type="dxa"/>
            <w:vAlign w:val="center"/>
          </w:tcPr>
          <w:p w14:paraId="4E40FC42">
            <w:pPr>
              <w:pStyle w:val="22"/>
              <w:spacing w:line="360" w:lineRule="auto"/>
              <w:jc w:val="center"/>
              <w:rPr>
                <w:rFonts w:hint="eastAsia" w:ascii="宋体" w:hAnsi="宋体"/>
                <w:color w:val="000000"/>
                <w:vertAlign w:val="baseline"/>
                <w:lang w:eastAsia="zh-CN"/>
              </w:rPr>
            </w:pPr>
          </w:p>
        </w:tc>
        <w:tc>
          <w:tcPr>
            <w:tcW w:w="1183" w:type="dxa"/>
            <w:vAlign w:val="center"/>
          </w:tcPr>
          <w:p w14:paraId="5C751934">
            <w:pPr>
              <w:pStyle w:val="22"/>
              <w:spacing w:line="360" w:lineRule="auto"/>
              <w:jc w:val="center"/>
              <w:rPr>
                <w:rFonts w:hint="eastAsia" w:ascii="宋体" w:hAnsi="宋体"/>
                <w:color w:val="000000"/>
                <w:vertAlign w:val="baseline"/>
                <w:lang w:eastAsia="zh-CN"/>
              </w:rPr>
            </w:pPr>
          </w:p>
        </w:tc>
        <w:tc>
          <w:tcPr>
            <w:tcW w:w="867" w:type="dxa"/>
            <w:vAlign w:val="center"/>
          </w:tcPr>
          <w:p w14:paraId="3D95B5F4">
            <w:pPr>
              <w:pStyle w:val="22"/>
              <w:spacing w:line="360" w:lineRule="auto"/>
              <w:jc w:val="center"/>
              <w:rPr>
                <w:rFonts w:hint="eastAsia" w:ascii="宋体" w:hAnsi="宋体"/>
                <w:color w:val="000000"/>
                <w:vertAlign w:val="baseline"/>
                <w:lang w:eastAsia="zh-CN"/>
              </w:rPr>
            </w:pPr>
          </w:p>
        </w:tc>
        <w:tc>
          <w:tcPr>
            <w:tcW w:w="1017" w:type="dxa"/>
            <w:vAlign w:val="center"/>
          </w:tcPr>
          <w:p w14:paraId="6BFF6C71">
            <w:pPr>
              <w:pStyle w:val="22"/>
              <w:spacing w:line="360" w:lineRule="auto"/>
              <w:jc w:val="center"/>
              <w:rPr>
                <w:rFonts w:hint="eastAsia" w:ascii="宋体" w:hAnsi="宋体"/>
                <w:color w:val="000000"/>
                <w:vertAlign w:val="baseline"/>
                <w:lang w:eastAsia="zh-CN"/>
              </w:rPr>
            </w:pPr>
          </w:p>
        </w:tc>
        <w:tc>
          <w:tcPr>
            <w:tcW w:w="1266" w:type="dxa"/>
            <w:vAlign w:val="center"/>
          </w:tcPr>
          <w:p w14:paraId="6099D5CD">
            <w:pPr>
              <w:pStyle w:val="22"/>
              <w:spacing w:line="360" w:lineRule="auto"/>
              <w:jc w:val="center"/>
              <w:rPr>
                <w:rFonts w:hint="eastAsia" w:ascii="宋体" w:hAnsi="宋体"/>
                <w:color w:val="000000"/>
                <w:vertAlign w:val="baseline"/>
                <w:lang w:eastAsia="zh-CN"/>
              </w:rPr>
            </w:pPr>
          </w:p>
        </w:tc>
        <w:tc>
          <w:tcPr>
            <w:tcW w:w="1084" w:type="dxa"/>
            <w:vAlign w:val="center"/>
          </w:tcPr>
          <w:p w14:paraId="77F04A4B">
            <w:pPr>
              <w:pStyle w:val="22"/>
              <w:spacing w:line="360" w:lineRule="auto"/>
              <w:jc w:val="center"/>
              <w:rPr>
                <w:rFonts w:hint="eastAsia" w:ascii="宋体" w:hAnsi="宋体"/>
                <w:color w:val="000000"/>
                <w:vertAlign w:val="baseline"/>
                <w:lang w:eastAsia="zh-CN"/>
              </w:rPr>
            </w:pPr>
          </w:p>
        </w:tc>
        <w:tc>
          <w:tcPr>
            <w:tcW w:w="650" w:type="dxa"/>
            <w:vAlign w:val="center"/>
          </w:tcPr>
          <w:p w14:paraId="79162379">
            <w:pPr>
              <w:pStyle w:val="22"/>
              <w:spacing w:line="360" w:lineRule="auto"/>
              <w:jc w:val="center"/>
              <w:rPr>
                <w:rFonts w:hint="eastAsia" w:ascii="宋体" w:hAnsi="宋体"/>
                <w:color w:val="000000"/>
                <w:vertAlign w:val="baseline"/>
                <w:lang w:eastAsia="zh-CN"/>
              </w:rPr>
            </w:pPr>
          </w:p>
        </w:tc>
      </w:tr>
    </w:tbl>
    <w:p w14:paraId="3828399D">
      <w:pPr>
        <w:pStyle w:val="22"/>
        <w:spacing w:line="360" w:lineRule="auto"/>
        <w:ind w:left="0" w:leftChars="0" w:firstLine="480" w:firstLineChars="200"/>
        <w:rPr>
          <w:rFonts w:hint="eastAsia" w:ascii="宋体" w:hAnsi="宋体"/>
          <w:color w:val="000000"/>
          <w:lang w:eastAsia="zh-CN"/>
        </w:rPr>
      </w:pPr>
    </w:p>
    <w:p w14:paraId="4894E867">
      <w:pPr>
        <w:pStyle w:val="22"/>
        <w:spacing w:line="360" w:lineRule="auto"/>
        <w:ind w:left="479" w:leftChars="228" w:firstLine="0" w:firstLineChars="0"/>
        <w:rPr>
          <w:rFonts w:hint="eastAsia" w:ascii="宋体" w:hAnsi="宋体"/>
          <w:color w:val="000000"/>
          <w:lang w:eastAsia="zh-CN"/>
        </w:rPr>
      </w:pPr>
      <w:r>
        <w:rPr>
          <w:rFonts w:hint="eastAsia" w:ascii="宋体" w:hAnsi="宋体"/>
          <w:color w:val="000000"/>
          <w:lang w:eastAsia="zh-CN"/>
        </w:rPr>
        <w:t xml:space="preserve"> 第二条 合同期限 本合同履行期限为____，自__年__月__日起至__年__月__日止。 第三条 服务内容与质量标准 </w:t>
      </w:r>
    </w:p>
    <w:p w14:paraId="063422EC">
      <w:pPr>
        <w:pStyle w:val="22"/>
        <w:spacing w:line="360" w:lineRule="auto"/>
        <w:rPr>
          <w:rFonts w:hint="eastAsia" w:ascii="宋体" w:hAnsi="宋体"/>
          <w:color w:val="000000"/>
          <w:lang w:eastAsia="zh-CN"/>
        </w:rPr>
      </w:pPr>
      <w:r>
        <w:rPr>
          <w:rFonts w:hint="eastAsia" w:ascii="宋体" w:hAnsi="宋体"/>
          <w:color w:val="000000"/>
          <w:lang w:eastAsia="zh-CN"/>
        </w:rPr>
        <w:t xml:space="preserve">乙方应按照在投标文件承诺的服务内容和服务频次及相关标准履行本合同，确保服务标准不降低，服务频次不减少。乙方服务项目和服务频次年度服务个人收费总金额不得超过特困供养对象个人年度照料护理补助标准。 </w:t>
      </w:r>
    </w:p>
    <w:p w14:paraId="4DC32834">
      <w:pPr>
        <w:pStyle w:val="22"/>
        <w:spacing w:line="360" w:lineRule="auto"/>
        <w:rPr>
          <w:rFonts w:hint="eastAsia" w:ascii="宋体" w:hAnsi="宋体"/>
          <w:color w:val="000000"/>
          <w:lang w:eastAsia="zh-CN"/>
        </w:rPr>
      </w:pPr>
      <w:r>
        <w:rPr>
          <w:rFonts w:hint="eastAsia" w:ascii="宋体" w:hAnsi="宋体"/>
          <w:color w:val="000000"/>
          <w:lang w:eastAsia="zh-CN"/>
        </w:rPr>
        <w:t xml:space="preserve">第四条 双方权利和义务 </w:t>
      </w:r>
    </w:p>
    <w:p w14:paraId="4006BF12">
      <w:pPr>
        <w:pStyle w:val="22"/>
        <w:spacing w:line="360" w:lineRule="auto"/>
        <w:rPr>
          <w:rFonts w:hint="eastAsia" w:ascii="宋体" w:hAnsi="宋体"/>
          <w:color w:val="000000"/>
          <w:lang w:eastAsia="zh-CN"/>
        </w:rPr>
      </w:pPr>
      <w:r>
        <w:rPr>
          <w:rFonts w:hint="eastAsia" w:ascii="宋体" w:hAnsi="宋体"/>
          <w:color w:val="000000"/>
          <w:lang w:eastAsia="zh-CN"/>
        </w:rPr>
        <w:t xml:space="preserve">（一）甲方权利义务 </w:t>
      </w:r>
    </w:p>
    <w:p w14:paraId="03817B81">
      <w:pPr>
        <w:pStyle w:val="22"/>
        <w:spacing w:line="360" w:lineRule="auto"/>
        <w:rPr>
          <w:rFonts w:hint="eastAsia" w:ascii="宋体" w:hAnsi="宋体"/>
          <w:color w:val="000000"/>
          <w:lang w:eastAsia="zh-CN"/>
        </w:rPr>
      </w:pPr>
      <w:r>
        <w:rPr>
          <w:rFonts w:hint="eastAsia" w:ascii="宋体" w:hAnsi="宋体"/>
          <w:color w:val="000000"/>
          <w:lang w:eastAsia="zh-CN"/>
        </w:rPr>
        <w:t xml:space="preserve">1.甲方对乙方在合同约定范围内完成服务事项负有指导、监督和检查责任； </w:t>
      </w:r>
    </w:p>
    <w:p w14:paraId="6093D7AC">
      <w:pPr>
        <w:pStyle w:val="22"/>
        <w:spacing w:line="360" w:lineRule="auto"/>
        <w:rPr>
          <w:rFonts w:hint="eastAsia" w:ascii="宋体" w:hAnsi="宋体"/>
          <w:color w:val="000000"/>
          <w:lang w:eastAsia="zh-CN"/>
        </w:rPr>
      </w:pPr>
      <w:r>
        <w:rPr>
          <w:rFonts w:hint="eastAsia" w:ascii="宋体" w:hAnsi="宋体"/>
          <w:color w:val="000000"/>
          <w:lang w:eastAsia="zh-CN"/>
        </w:rPr>
        <w:t>2.甲方为乙方开展工作提供服务对象清单，并协调相关镇人民政府（街道办）人员做好配合；甲方结合全区照料护理补助拨付情况和时间，向乙方支付服务费用；</w:t>
      </w:r>
    </w:p>
    <w:p w14:paraId="796DFCA6">
      <w:pPr>
        <w:pStyle w:val="22"/>
        <w:spacing w:line="360" w:lineRule="auto"/>
        <w:rPr>
          <w:rFonts w:hint="eastAsia" w:ascii="宋体" w:hAnsi="宋体"/>
          <w:color w:val="000000"/>
          <w:lang w:eastAsia="zh-CN"/>
        </w:rPr>
      </w:pPr>
      <w:r>
        <w:rPr>
          <w:rFonts w:hint="eastAsia" w:ascii="宋体" w:hAnsi="宋体"/>
          <w:color w:val="000000"/>
          <w:lang w:eastAsia="zh-CN"/>
        </w:rPr>
        <w:t xml:space="preserve">3.负责督促和监督镇（办）对乙方照料服务质量进行考核； </w:t>
      </w:r>
    </w:p>
    <w:p w14:paraId="197906A4">
      <w:pPr>
        <w:pStyle w:val="22"/>
        <w:spacing w:line="360" w:lineRule="auto"/>
        <w:rPr>
          <w:rFonts w:hint="eastAsia" w:ascii="宋体" w:hAnsi="宋体"/>
          <w:color w:val="000000"/>
          <w:lang w:eastAsia="zh-CN"/>
        </w:rPr>
      </w:pPr>
      <w:r>
        <w:rPr>
          <w:rFonts w:hint="eastAsia" w:ascii="宋体" w:hAnsi="宋体"/>
          <w:color w:val="000000"/>
          <w:lang w:eastAsia="zh-CN"/>
        </w:rPr>
        <w:t xml:space="preserve">4.负责协调处理委托服务对象或其他群众对乙方的投诉； </w:t>
      </w:r>
    </w:p>
    <w:p w14:paraId="06C1FD2C">
      <w:pPr>
        <w:pStyle w:val="22"/>
        <w:spacing w:line="360" w:lineRule="auto"/>
        <w:rPr>
          <w:rFonts w:hint="eastAsia" w:ascii="宋体" w:hAnsi="宋体"/>
          <w:color w:val="000000"/>
          <w:lang w:eastAsia="zh-CN"/>
        </w:rPr>
      </w:pPr>
      <w:r>
        <w:rPr>
          <w:rFonts w:hint="eastAsia" w:ascii="宋体" w:hAnsi="宋体"/>
          <w:color w:val="000000"/>
          <w:lang w:eastAsia="zh-CN"/>
        </w:rPr>
        <w:t xml:space="preserve">5.发现乙方出现违约行为,有权要求其限期整改并承担违约责任。 </w:t>
      </w:r>
    </w:p>
    <w:p w14:paraId="12D437E4">
      <w:pPr>
        <w:pStyle w:val="22"/>
        <w:spacing w:line="360" w:lineRule="auto"/>
        <w:rPr>
          <w:rFonts w:hint="eastAsia" w:ascii="宋体" w:hAnsi="宋体"/>
          <w:color w:val="000000"/>
          <w:lang w:eastAsia="zh-CN"/>
        </w:rPr>
      </w:pPr>
      <w:r>
        <w:rPr>
          <w:rFonts w:hint="eastAsia" w:ascii="宋体" w:hAnsi="宋体"/>
          <w:color w:val="000000"/>
          <w:lang w:eastAsia="zh-CN"/>
        </w:rPr>
        <w:t xml:space="preserve">（二）乙方权利与义务 </w:t>
      </w:r>
    </w:p>
    <w:p w14:paraId="6D4FAB06">
      <w:pPr>
        <w:pStyle w:val="22"/>
        <w:spacing w:line="360" w:lineRule="auto"/>
        <w:rPr>
          <w:rFonts w:hint="eastAsia" w:ascii="宋体" w:hAnsi="宋体"/>
          <w:color w:val="000000"/>
          <w:lang w:eastAsia="zh-CN"/>
        </w:rPr>
      </w:pPr>
      <w:r>
        <w:rPr>
          <w:rFonts w:hint="eastAsia" w:ascii="宋体" w:hAnsi="宋体"/>
          <w:color w:val="000000"/>
          <w:lang w:eastAsia="zh-CN"/>
        </w:rPr>
        <w:t>1.乙方严格按照本合同约定的服务内容及服务频率为</w:t>
      </w:r>
      <w:r>
        <w:rPr>
          <w:rFonts w:hint="eastAsia" w:ascii="宋体" w:hAnsi="宋体"/>
          <w:color w:val="000000"/>
          <w:u w:val="single"/>
          <w:lang w:val="en-US" w:eastAsia="zh-CN"/>
        </w:rPr>
        <w:t xml:space="preserve">     </w:t>
      </w:r>
      <w:r>
        <w:rPr>
          <w:rFonts w:hint="eastAsia" w:ascii="宋体" w:hAnsi="宋体"/>
          <w:color w:val="000000"/>
          <w:lang w:eastAsia="zh-CN"/>
        </w:rPr>
        <w:t xml:space="preserve">名服务对象提供服务，若甲方或各镇办在《汉中市南郑区分散供养特困人员照料护理服务协议书》中约定了超出本合同的服务内容或服务频率，或额外要求其他服务内容，则乙方有权利拒绝，且甲方及各镇办不得以此为由不按时完成考核； </w:t>
      </w:r>
    </w:p>
    <w:p w14:paraId="30CE7D4F">
      <w:pPr>
        <w:pStyle w:val="22"/>
        <w:spacing w:line="360" w:lineRule="auto"/>
        <w:rPr>
          <w:rFonts w:hint="eastAsia" w:ascii="宋体" w:hAnsi="宋体"/>
          <w:color w:val="000000"/>
          <w:lang w:eastAsia="zh-CN"/>
        </w:rPr>
      </w:pPr>
      <w:r>
        <w:rPr>
          <w:rFonts w:hint="eastAsia" w:ascii="宋体" w:hAnsi="宋体"/>
          <w:color w:val="000000"/>
          <w:lang w:eastAsia="zh-CN"/>
        </w:rPr>
        <w:t xml:space="preserve">2.乙方根据甲方提供的服务人员名单，并按照《民政部关于加强分散供养特困人员照料服务的通知》（民发〔2019〕124号）和《陕西省人民政府关于进一步健全特困人员救助供养制度的实施意见》（陕政发〔2017〕17号）和省民政厅《关于进一步加强和规范分散供养特困人员照料服务工作的通知》（陕民发（2020）80号）以及《汉中市南郑区分散供养特困人员照料服务实施细则（试行）》（南民发（2022）211号）、《汉中市南郑区分散供养特困人员照料护理服务协议书（2023版）等文件要求，负责按质按量完成本合同第一条第三条所列的服务项目和服务要求； </w:t>
      </w:r>
    </w:p>
    <w:p w14:paraId="37B19C22">
      <w:pPr>
        <w:pStyle w:val="22"/>
        <w:spacing w:line="360" w:lineRule="auto"/>
        <w:rPr>
          <w:rFonts w:hint="eastAsia" w:ascii="宋体" w:hAnsi="宋体"/>
          <w:color w:val="000000"/>
          <w:lang w:eastAsia="zh-CN"/>
        </w:rPr>
      </w:pPr>
      <w:r>
        <w:rPr>
          <w:rFonts w:hint="eastAsia" w:ascii="宋体" w:hAnsi="宋体"/>
          <w:color w:val="000000"/>
          <w:lang w:eastAsia="zh-CN"/>
        </w:rPr>
        <w:t xml:space="preserve">3.乙方有维护甲方声誉的义务，乙方不能以甲方名义从事与购买服务项目无关的工作； </w:t>
      </w:r>
    </w:p>
    <w:p w14:paraId="6AB96829">
      <w:pPr>
        <w:pStyle w:val="22"/>
        <w:spacing w:line="360" w:lineRule="auto"/>
        <w:rPr>
          <w:rFonts w:hint="eastAsia" w:ascii="宋体" w:hAnsi="宋体"/>
          <w:color w:val="000000"/>
          <w:lang w:eastAsia="zh-CN"/>
        </w:rPr>
      </w:pPr>
      <w:r>
        <w:rPr>
          <w:rFonts w:hint="eastAsia" w:ascii="宋体" w:hAnsi="宋体"/>
          <w:color w:val="000000"/>
          <w:lang w:eastAsia="zh-CN"/>
        </w:rPr>
        <w:t xml:space="preserve">4.乙方应独立完成购买服务项目。未经甲方书面同意，乙方不得向他人转让或授权他人实施该购买服务项目； </w:t>
      </w:r>
    </w:p>
    <w:p w14:paraId="37E1AF2C">
      <w:pPr>
        <w:pStyle w:val="22"/>
        <w:spacing w:line="360" w:lineRule="auto"/>
        <w:rPr>
          <w:rFonts w:hint="eastAsia" w:ascii="宋体" w:hAnsi="宋体"/>
          <w:color w:val="000000"/>
          <w:lang w:eastAsia="zh-CN"/>
        </w:rPr>
      </w:pPr>
      <w:r>
        <w:rPr>
          <w:rFonts w:hint="eastAsia" w:ascii="宋体" w:hAnsi="宋体"/>
          <w:color w:val="000000"/>
          <w:lang w:eastAsia="zh-CN"/>
        </w:rPr>
        <w:t xml:space="preserve">5.乙方应按照要求配备与服务和运营相适应比例的工作服务人员，并做好服务报备工作，服务工作人员原则上固定到镇(办)，承接照料护理服务主体要定期向镇人民政府（街道办）的民政办报备服务工作人员个人身份信息、联系方式等。服务工作人员每次入户服务前，到所在的村(居)委员会报备签到，并告知所在镇(街道办)民政办； </w:t>
      </w:r>
    </w:p>
    <w:p w14:paraId="615DECA9">
      <w:pPr>
        <w:pStyle w:val="22"/>
        <w:spacing w:line="360" w:lineRule="auto"/>
        <w:rPr>
          <w:rFonts w:hint="eastAsia" w:ascii="宋体" w:hAnsi="宋体"/>
          <w:color w:val="000000"/>
          <w:lang w:eastAsia="zh-CN"/>
        </w:rPr>
      </w:pPr>
      <w:r>
        <w:rPr>
          <w:rFonts w:hint="eastAsia" w:ascii="宋体" w:hAnsi="宋体"/>
          <w:color w:val="000000"/>
          <w:lang w:eastAsia="zh-CN"/>
        </w:rPr>
        <w:t xml:space="preserve">6.乙方应做好入户服务档案资料整理归集，每月服务结束后，将服务印证资料上报给所在镇(办街道办)的民政办备案，报备的印证资料作为考核、核算护理补助资金的依据，要按季度装订归档。每半年上报一次开展照料服务工作情况小结，当年年底上报一次全年度照料服务工作总结，内容包括:照料工作开展情况，工作人员配备情况，资金接收使用情况，照料服务存在的问题等，同时附公司营业执照、服务工作人员花名册； </w:t>
      </w:r>
    </w:p>
    <w:p w14:paraId="59538DED">
      <w:pPr>
        <w:pStyle w:val="22"/>
        <w:spacing w:line="360" w:lineRule="auto"/>
        <w:rPr>
          <w:rFonts w:hint="eastAsia" w:ascii="宋体" w:hAnsi="宋体"/>
          <w:color w:val="000000"/>
          <w:lang w:eastAsia="zh-CN"/>
        </w:rPr>
      </w:pPr>
      <w:r>
        <w:rPr>
          <w:rFonts w:hint="eastAsia" w:ascii="宋体" w:hAnsi="宋体"/>
          <w:color w:val="000000"/>
          <w:lang w:eastAsia="zh-CN"/>
        </w:rPr>
        <w:t xml:space="preserve">7.应当制定突发事件应急预案； </w:t>
      </w:r>
    </w:p>
    <w:p w14:paraId="41C868CD">
      <w:pPr>
        <w:pStyle w:val="22"/>
        <w:spacing w:line="360" w:lineRule="auto"/>
        <w:rPr>
          <w:rFonts w:hint="eastAsia" w:ascii="宋体" w:hAnsi="宋体"/>
          <w:color w:val="000000"/>
          <w:lang w:eastAsia="zh-CN"/>
        </w:rPr>
      </w:pPr>
      <w:r>
        <w:rPr>
          <w:rFonts w:hint="eastAsia" w:ascii="宋体" w:hAnsi="宋体"/>
          <w:color w:val="000000"/>
          <w:lang w:eastAsia="zh-CN"/>
        </w:rPr>
        <w:t>8.乙方应加强工作人员、车辆等安全防范知识培训和管理，为工作人员及时购买意外伤害等保险。因乙方在合同期内发生的一切安全事故，乙方全部自行承担；</w:t>
      </w:r>
    </w:p>
    <w:p w14:paraId="35AAFF3D">
      <w:pPr>
        <w:pStyle w:val="22"/>
        <w:spacing w:line="360" w:lineRule="auto"/>
        <w:rPr>
          <w:rFonts w:hint="eastAsia" w:ascii="宋体" w:hAnsi="宋体"/>
          <w:color w:val="000000"/>
          <w:lang w:eastAsia="zh-CN"/>
        </w:rPr>
      </w:pPr>
      <w:r>
        <w:rPr>
          <w:rFonts w:hint="eastAsia" w:ascii="宋体" w:hAnsi="宋体"/>
          <w:color w:val="000000"/>
          <w:lang w:eastAsia="zh-CN"/>
        </w:rPr>
        <w:t xml:space="preserve">9.乙方应按照甲方的要求，履行信息保密义务； </w:t>
      </w:r>
    </w:p>
    <w:p w14:paraId="2D3AF9AD">
      <w:pPr>
        <w:pStyle w:val="22"/>
        <w:spacing w:line="360" w:lineRule="auto"/>
        <w:rPr>
          <w:rFonts w:hint="eastAsia" w:ascii="宋体" w:hAnsi="宋体"/>
          <w:color w:val="000000"/>
          <w:lang w:eastAsia="zh-CN"/>
        </w:rPr>
      </w:pPr>
      <w:r>
        <w:rPr>
          <w:rFonts w:hint="eastAsia" w:ascii="宋体" w:hAnsi="宋体"/>
          <w:color w:val="000000"/>
          <w:lang w:eastAsia="zh-CN"/>
        </w:rPr>
        <w:t xml:space="preserve">10.乙方正常履行服务后，若各镇办村组社区不按时完成考核，乙方有权利要求甲方督促。若各镇办村组社区提出本合同第一条第三条所列内容以外的附加要求，乙方有权拒绝。 </w:t>
      </w:r>
    </w:p>
    <w:p w14:paraId="1E9A7488">
      <w:pPr>
        <w:pStyle w:val="22"/>
        <w:spacing w:line="360" w:lineRule="auto"/>
        <w:rPr>
          <w:rFonts w:hint="eastAsia" w:ascii="宋体" w:hAnsi="宋体"/>
          <w:color w:val="000000"/>
          <w:lang w:eastAsia="zh-CN"/>
        </w:rPr>
      </w:pPr>
      <w:r>
        <w:rPr>
          <w:rFonts w:hint="eastAsia" w:ascii="宋体" w:hAnsi="宋体"/>
          <w:color w:val="000000"/>
          <w:lang w:eastAsia="zh-CN"/>
        </w:rPr>
        <w:t xml:space="preserve">第五条 服务费用及支付方式 </w:t>
      </w:r>
    </w:p>
    <w:p w14:paraId="349F46E3">
      <w:pPr>
        <w:pStyle w:val="22"/>
        <w:spacing w:line="360" w:lineRule="auto"/>
        <w:rPr>
          <w:rFonts w:hint="eastAsia" w:ascii="宋体" w:hAnsi="宋体"/>
          <w:color w:val="000000"/>
          <w:lang w:eastAsia="zh-CN"/>
        </w:rPr>
      </w:pPr>
      <w:r>
        <w:rPr>
          <w:rFonts w:hint="eastAsia" w:ascii="宋体" w:hAnsi="宋体"/>
          <w:color w:val="000000"/>
          <w:lang w:eastAsia="zh-CN"/>
        </w:rPr>
        <w:t xml:space="preserve">（一）服务费用构成 本项目服务费用为________。（大写：________）。共有特困人员____人，其中全自理____人（225元/人月），半护理____人（338元/人月），全护理____人（563元/人月），甲方根据乙方与镇人民政府、特困供养对象等四方签订的《汉中市南郑区分散供养特困人员照料护理服务协议书》和镇政府（街道办）提供的考核服务达标人数按照相应标准和服务考核情况拨付乙方照料护理补助资金。 </w:t>
      </w:r>
    </w:p>
    <w:p w14:paraId="6392DBDC">
      <w:pPr>
        <w:pStyle w:val="22"/>
        <w:spacing w:line="360" w:lineRule="auto"/>
        <w:rPr>
          <w:rFonts w:hint="eastAsia" w:ascii="宋体" w:hAnsi="宋体"/>
          <w:color w:val="000000"/>
          <w:lang w:eastAsia="zh-CN"/>
        </w:rPr>
      </w:pPr>
      <w:r>
        <w:rPr>
          <w:rFonts w:hint="eastAsia" w:ascii="宋体" w:hAnsi="宋体"/>
          <w:color w:val="000000"/>
          <w:lang w:eastAsia="zh-CN"/>
        </w:rPr>
        <w:t xml:space="preserve">（二）服务费支付程序： </w:t>
      </w:r>
    </w:p>
    <w:p w14:paraId="039C3D1F">
      <w:pPr>
        <w:pStyle w:val="22"/>
        <w:spacing w:line="360" w:lineRule="auto"/>
        <w:rPr>
          <w:rFonts w:hint="eastAsia" w:ascii="宋体" w:hAnsi="宋体"/>
          <w:color w:val="000000"/>
          <w:lang w:eastAsia="zh-CN"/>
        </w:rPr>
      </w:pPr>
      <w:r>
        <w:rPr>
          <w:rFonts w:hint="eastAsia" w:ascii="宋体" w:hAnsi="宋体"/>
          <w:color w:val="000000"/>
          <w:lang w:eastAsia="zh-CN"/>
        </w:rPr>
        <w:t xml:space="preserve">1.甲方根据各镇办上报的特困人员购买服务考核台账，与镇办相关数据比对后，符合支付条件的，甲方核定后结合全区拨付照料护理补贴的时间，每季度拨付一次。 </w:t>
      </w:r>
    </w:p>
    <w:p w14:paraId="4C714AAD">
      <w:pPr>
        <w:pStyle w:val="22"/>
        <w:spacing w:line="360" w:lineRule="auto"/>
        <w:rPr>
          <w:rFonts w:hint="eastAsia" w:ascii="宋体" w:hAnsi="宋体"/>
          <w:color w:val="000000"/>
          <w:lang w:eastAsia="zh-CN"/>
        </w:rPr>
      </w:pPr>
      <w:r>
        <w:rPr>
          <w:rFonts w:hint="eastAsia" w:ascii="宋体" w:hAnsi="宋体"/>
          <w:color w:val="000000"/>
          <w:lang w:eastAsia="zh-CN"/>
        </w:rPr>
        <w:t xml:space="preserve">2.甲方拨付或支付相应服务费用前，乙方应当提供费用清单等相关印证资料及合法有效发票，若乙方迟延或拒绝提供发票，甲方有权迟延或拒绝支付，由此产生的所有责任，由乙方自行承担。 </w:t>
      </w:r>
    </w:p>
    <w:p w14:paraId="614B3A41">
      <w:pPr>
        <w:pStyle w:val="22"/>
        <w:spacing w:line="360" w:lineRule="auto"/>
        <w:rPr>
          <w:rFonts w:hint="eastAsia" w:ascii="宋体" w:hAnsi="宋体"/>
          <w:color w:val="000000"/>
          <w:lang w:eastAsia="zh-CN"/>
        </w:rPr>
      </w:pPr>
      <w:r>
        <w:rPr>
          <w:rFonts w:hint="eastAsia" w:ascii="宋体" w:hAnsi="宋体"/>
          <w:color w:val="000000"/>
          <w:lang w:eastAsia="zh-CN"/>
        </w:rPr>
        <w:t xml:space="preserve">第六条 知识产权 乙方应保证所提供的服务或其任何一部分均不会侵犯任何第三方的专利权、商标权或著作权。 </w:t>
      </w:r>
    </w:p>
    <w:p w14:paraId="57582DE0">
      <w:pPr>
        <w:pStyle w:val="22"/>
        <w:spacing w:line="360" w:lineRule="auto"/>
        <w:rPr>
          <w:rFonts w:hint="eastAsia" w:ascii="宋体" w:hAnsi="宋体"/>
          <w:color w:val="000000"/>
          <w:lang w:eastAsia="zh-CN"/>
        </w:rPr>
      </w:pPr>
      <w:r>
        <w:rPr>
          <w:rFonts w:hint="eastAsia" w:ascii="宋体" w:hAnsi="宋体"/>
          <w:color w:val="000000"/>
          <w:lang w:eastAsia="zh-CN"/>
        </w:rPr>
        <w:t xml:space="preserve">第七条 无产权瑕疵条款 乙方保证所提供的服务的所有权完全属于乙方且无任何抵押、查封等产权瑕疵。如有产权瑕疵的，视为乙方违约。乙方应负担由此而产生的一切损失。 </w:t>
      </w:r>
    </w:p>
    <w:p w14:paraId="4D16200A">
      <w:pPr>
        <w:pStyle w:val="22"/>
        <w:spacing w:line="360" w:lineRule="auto"/>
        <w:rPr>
          <w:rFonts w:hint="eastAsia" w:ascii="宋体" w:hAnsi="宋体"/>
          <w:color w:val="000000"/>
          <w:lang w:eastAsia="zh-CN"/>
        </w:rPr>
      </w:pPr>
      <w:r>
        <w:rPr>
          <w:rFonts w:hint="eastAsia" w:ascii="宋体" w:hAnsi="宋体"/>
          <w:color w:val="000000"/>
          <w:lang w:eastAsia="zh-CN"/>
        </w:rPr>
        <w:t>第八条 合同提前终止或解除 乙方出现下列行为之一的，甲方将责令限期改正，改正不到位的将终止协议；情节严重的将依据有关规定严肃处理；构成犯罪的，依法追究刑事责任；造成损失的由乙方承担相应责任：</w:t>
      </w:r>
    </w:p>
    <w:p w14:paraId="757A357F">
      <w:pPr>
        <w:pStyle w:val="22"/>
        <w:spacing w:line="360" w:lineRule="auto"/>
        <w:rPr>
          <w:rFonts w:hint="eastAsia" w:ascii="宋体" w:hAnsi="宋体"/>
          <w:color w:val="000000"/>
          <w:lang w:eastAsia="zh-CN"/>
        </w:rPr>
      </w:pPr>
      <w:r>
        <w:rPr>
          <w:rFonts w:hint="eastAsia" w:ascii="宋体" w:hAnsi="宋体"/>
          <w:color w:val="000000"/>
          <w:lang w:eastAsia="zh-CN"/>
        </w:rPr>
        <w:t xml:space="preserve">（一）不按照《汉中市南郑区分散供养特困人员照料护理服务协议书》等相关要求约定内容履行责任的； </w:t>
      </w:r>
    </w:p>
    <w:p w14:paraId="7527A642">
      <w:pPr>
        <w:pStyle w:val="22"/>
        <w:spacing w:line="360" w:lineRule="auto"/>
        <w:rPr>
          <w:rFonts w:hint="eastAsia" w:ascii="宋体" w:hAnsi="宋体"/>
          <w:color w:val="000000"/>
          <w:lang w:eastAsia="zh-CN"/>
        </w:rPr>
      </w:pPr>
      <w:r>
        <w:rPr>
          <w:rFonts w:hint="eastAsia" w:ascii="宋体" w:hAnsi="宋体"/>
          <w:color w:val="000000"/>
          <w:lang w:eastAsia="zh-CN"/>
        </w:rPr>
        <w:t xml:space="preserve">（二）未与镇（办）、村（居）及供养人员或者其监护人签订四方服务协议，或者协议签订不符合规范的，自理能力认定结果与镇（办）评估结果不一致的； </w:t>
      </w:r>
    </w:p>
    <w:p w14:paraId="19FB1545">
      <w:pPr>
        <w:pStyle w:val="22"/>
        <w:spacing w:line="360" w:lineRule="auto"/>
        <w:rPr>
          <w:rFonts w:hint="eastAsia" w:ascii="宋体" w:hAnsi="宋体"/>
          <w:color w:val="000000"/>
          <w:lang w:eastAsia="zh-CN"/>
        </w:rPr>
      </w:pPr>
      <w:r>
        <w:rPr>
          <w:rFonts w:hint="eastAsia" w:ascii="宋体" w:hAnsi="宋体"/>
          <w:color w:val="000000"/>
          <w:lang w:eastAsia="zh-CN"/>
        </w:rPr>
        <w:t xml:space="preserve">（三）未按照省、市、区有关文件要求和《汉中市南郑区民政局（全自理、半护理、全护理）特困供养对象购买社会服务明细表》开展服务的； </w:t>
      </w:r>
    </w:p>
    <w:p w14:paraId="28FE1474">
      <w:pPr>
        <w:pStyle w:val="22"/>
        <w:spacing w:line="360" w:lineRule="auto"/>
        <w:rPr>
          <w:rFonts w:hint="eastAsia" w:ascii="宋体" w:hAnsi="宋体"/>
          <w:color w:val="000000"/>
          <w:lang w:eastAsia="zh-CN"/>
        </w:rPr>
      </w:pPr>
      <w:r>
        <w:rPr>
          <w:rFonts w:hint="eastAsia" w:ascii="宋体" w:hAnsi="宋体"/>
          <w:color w:val="000000"/>
          <w:lang w:eastAsia="zh-CN"/>
        </w:rPr>
        <w:t xml:space="preserve">（四）向甲方及负责监督检查的民政部门隐瞒有关情况、提供虚假材料或者拒绝提供反映其活动情况真实材料的； </w:t>
      </w:r>
    </w:p>
    <w:p w14:paraId="7C1ADE7B">
      <w:pPr>
        <w:pStyle w:val="22"/>
        <w:spacing w:line="360" w:lineRule="auto"/>
        <w:rPr>
          <w:rFonts w:hint="eastAsia" w:ascii="宋体" w:hAnsi="宋体"/>
          <w:color w:val="000000"/>
          <w:lang w:eastAsia="zh-CN"/>
        </w:rPr>
      </w:pPr>
      <w:r>
        <w:rPr>
          <w:rFonts w:hint="eastAsia" w:ascii="宋体" w:hAnsi="宋体"/>
          <w:color w:val="000000"/>
          <w:lang w:eastAsia="zh-CN"/>
        </w:rPr>
        <w:t xml:space="preserve">（五）歧视、侮辱、虐待或遗弃供养人员以及其他侵犯供养人员合法权益行为的； </w:t>
      </w:r>
    </w:p>
    <w:p w14:paraId="247AA831">
      <w:pPr>
        <w:pStyle w:val="22"/>
        <w:spacing w:line="360" w:lineRule="auto"/>
        <w:rPr>
          <w:rFonts w:hint="eastAsia" w:ascii="宋体" w:hAnsi="宋体"/>
          <w:color w:val="000000"/>
          <w:lang w:eastAsia="zh-CN"/>
        </w:rPr>
      </w:pPr>
      <w:r>
        <w:rPr>
          <w:rFonts w:hint="eastAsia" w:ascii="宋体" w:hAnsi="宋体"/>
          <w:color w:val="000000"/>
          <w:lang w:eastAsia="zh-CN"/>
        </w:rPr>
        <w:t xml:space="preserve">（六）挤占和挪用供养人员的养老金、高龄补贴等私人财产的，向特困对象推销产品和乱收费的； </w:t>
      </w:r>
    </w:p>
    <w:p w14:paraId="61CCA12D">
      <w:pPr>
        <w:pStyle w:val="22"/>
        <w:spacing w:line="360" w:lineRule="auto"/>
        <w:rPr>
          <w:rFonts w:hint="eastAsia" w:ascii="宋体" w:hAnsi="宋体"/>
          <w:color w:val="000000"/>
          <w:lang w:eastAsia="zh-CN"/>
        </w:rPr>
      </w:pPr>
      <w:r>
        <w:rPr>
          <w:rFonts w:hint="eastAsia" w:ascii="宋体" w:hAnsi="宋体"/>
          <w:color w:val="000000"/>
          <w:lang w:eastAsia="zh-CN"/>
        </w:rPr>
        <w:t xml:space="preserve">（七）无故暂停或者终止服务的； </w:t>
      </w:r>
    </w:p>
    <w:p w14:paraId="3A90CD54">
      <w:pPr>
        <w:pStyle w:val="22"/>
        <w:spacing w:line="360" w:lineRule="auto"/>
        <w:rPr>
          <w:rFonts w:hint="eastAsia" w:ascii="宋体" w:hAnsi="宋体"/>
          <w:color w:val="000000"/>
          <w:lang w:eastAsia="zh-CN"/>
        </w:rPr>
      </w:pPr>
      <w:r>
        <w:rPr>
          <w:rFonts w:hint="eastAsia" w:ascii="宋体" w:hAnsi="宋体"/>
          <w:color w:val="000000"/>
          <w:lang w:eastAsia="zh-CN"/>
        </w:rPr>
        <w:t xml:space="preserve">（八）法律、法规、规章规定的其他违法行为。 </w:t>
      </w:r>
    </w:p>
    <w:p w14:paraId="7063965F">
      <w:pPr>
        <w:pStyle w:val="22"/>
        <w:spacing w:line="360" w:lineRule="auto"/>
        <w:rPr>
          <w:rFonts w:hint="eastAsia" w:ascii="宋体" w:hAnsi="宋体"/>
          <w:color w:val="000000"/>
          <w:lang w:eastAsia="zh-CN"/>
        </w:rPr>
      </w:pPr>
      <w:r>
        <w:rPr>
          <w:rFonts w:hint="eastAsia" w:ascii="宋体" w:hAnsi="宋体"/>
          <w:color w:val="000000"/>
          <w:lang w:eastAsia="zh-CN"/>
        </w:rPr>
        <w:t xml:space="preserve">第九条 不可抗力事件处理 </w:t>
      </w:r>
    </w:p>
    <w:p w14:paraId="0A0061AC">
      <w:pPr>
        <w:pStyle w:val="22"/>
        <w:spacing w:line="360" w:lineRule="auto"/>
        <w:rPr>
          <w:rFonts w:hint="eastAsia" w:ascii="宋体" w:hAnsi="宋体"/>
          <w:color w:val="000000"/>
          <w:lang w:eastAsia="zh-CN"/>
        </w:rPr>
      </w:pPr>
      <w:r>
        <w:rPr>
          <w:rFonts w:hint="eastAsia" w:ascii="宋体" w:hAnsi="宋体"/>
          <w:color w:val="000000"/>
          <w:lang w:eastAsia="zh-CN"/>
        </w:rPr>
        <w:t xml:space="preserve">（一） 在合同有效期内，任何一方因不可抗力事件导致不能履行合同，则合同履行期可延长，其延长期与不可抗力影响期相同； </w:t>
      </w:r>
    </w:p>
    <w:p w14:paraId="3DE25969">
      <w:pPr>
        <w:pStyle w:val="22"/>
        <w:spacing w:line="360" w:lineRule="auto"/>
        <w:rPr>
          <w:rFonts w:hint="eastAsia" w:ascii="宋体" w:hAnsi="宋体"/>
          <w:color w:val="000000"/>
          <w:lang w:eastAsia="zh-CN"/>
        </w:rPr>
      </w:pPr>
      <w:r>
        <w:rPr>
          <w:rFonts w:hint="eastAsia" w:ascii="宋体" w:hAnsi="宋体"/>
          <w:color w:val="000000"/>
          <w:lang w:eastAsia="zh-CN"/>
        </w:rPr>
        <w:t xml:space="preserve">（二） 不可抗力事件发生后，应立即通知对方，并寄送有关权威机构出具的证明； </w:t>
      </w:r>
    </w:p>
    <w:p w14:paraId="09FCC766">
      <w:pPr>
        <w:pStyle w:val="22"/>
        <w:spacing w:line="360" w:lineRule="auto"/>
        <w:rPr>
          <w:rFonts w:hint="eastAsia" w:ascii="宋体" w:hAnsi="宋体"/>
          <w:color w:val="000000"/>
          <w:lang w:eastAsia="zh-CN"/>
        </w:rPr>
      </w:pPr>
      <w:r>
        <w:rPr>
          <w:rFonts w:hint="eastAsia" w:ascii="宋体" w:hAnsi="宋体"/>
          <w:color w:val="000000"/>
          <w:lang w:eastAsia="zh-CN"/>
        </w:rPr>
        <w:t xml:space="preserve">(三)不可抗力事件延续20天以上，双方应通过友好协商，确定是否继续履行合同。 </w:t>
      </w:r>
    </w:p>
    <w:p w14:paraId="32EEC2E9">
      <w:pPr>
        <w:pStyle w:val="22"/>
        <w:spacing w:line="360" w:lineRule="auto"/>
        <w:rPr>
          <w:rFonts w:hint="eastAsia" w:ascii="宋体" w:hAnsi="宋体"/>
          <w:color w:val="000000"/>
          <w:lang w:eastAsia="zh-CN"/>
        </w:rPr>
      </w:pPr>
      <w:r>
        <w:rPr>
          <w:rFonts w:hint="eastAsia" w:ascii="宋体" w:hAnsi="宋体"/>
          <w:color w:val="000000"/>
          <w:lang w:eastAsia="zh-CN"/>
        </w:rPr>
        <w:t xml:space="preserve">第十条 解决合同纠纷的方式 </w:t>
      </w:r>
    </w:p>
    <w:p w14:paraId="36CA667A">
      <w:pPr>
        <w:pStyle w:val="22"/>
        <w:spacing w:line="360" w:lineRule="auto"/>
        <w:rPr>
          <w:rFonts w:hint="eastAsia" w:ascii="宋体" w:hAnsi="宋体"/>
          <w:color w:val="000000"/>
          <w:lang w:eastAsia="zh-CN"/>
        </w:rPr>
      </w:pPr>
      <w:r>
        <w:rPr>
          <w:rFonts w:hint="eastAsia" w:ascii="宋体" w:hAnsi="宋体"/>
          <w:color w:val="000000"/>
          <w:lang w:eastAsia="zh-CN"/>
        </w:rPr>
        <w:t>（一） 在执行本合同中发生的或与本合同有关的争端，双方应通过友好协商解决，经协商在20天内不能达成协议时，应提交甲方所在地人民法院提起诉讼，相关费用由败诉方负担。</w:t>
      </w:r>
    </w:p>
    <w:p w14:paraId="435D9B54">
      <w:pPr>
        <w:pStyle w:val="22"/>
        <w:spacing w:line="360" w:lineRule="auto"/>
        <w:rPr>
          <w:rFonts w:hint="eastAsia" w:ascii="宋体" w:hAnsi="宋体"/>
          <w:color w:val="000000"/>
          <w:lang w:eastAsia="zh-CN"/>
        </w:rPr>
      </w:pPr>
      <w:r>
        <w:rPr>
          <w:rFonts w:hint="eastAsia" w:ascii="宋体" w:hAnsi="宋体"/>
          <w:color w:val="000000"/>
          <w:lang w:eastAsia="zh-CN"/>
        </w:rPr>
        <w:t xml:space="preserve"> 第十一条 合同生效及其他 </w:t>
      </w:r>
    </w:p>
    <w:p w14:paraId="65FB97FE">
      <w:pPr>
        <w:pStyle w:val="22"/>
        <w:spacing w:line="360" w:lineRule="auto"/>
        <w:rPr>
          <w:rFonts w:hint="eastAsia" w:ascii="宋体" w:hAnsi="宋体"/>
          <w:color w:val="000000"/>
          <w:lang w:eastAsia="zh-CN"/>
        </w:rPr>
      </w:pPr>
      <w:r>
        <w:rPr>
          <w:rFonts w:hint="eastAsia" w:ascii="宋体" w:hAnsi="宋体"/>
          <w:color w:val="000000"/>
          <w:lang w:eastAsia="zh-CN"/>
        </w:rPr>
        <w:t xml:space="preserve">(一)合同经双方法定代表人或授权委托代理人签字并加盖单位公章后生效； </w:t>
      </w:r>
    </w:p>
    <w:p w14:paraId="6F18A069">
      <w:pPr>
        <w:pStyle w:val="22"/>
        <w:spacing w:line="360" w:lineRule="auto"/>
        <w:rPr>
          <w:rFonts w:hint="eastAsia" w:ascii="宋体" w:hAnsi="宋体"/>
          <w:color w:val="000000"/>
          <w:lang w:eastAsia="zh-CN"/>
        </w:rPr>
      </w:pPr>
      <w:r>
        <w:rPr>
          <w:rFonts w:hint="eastAsia" w:ascii="宋体" w:hAnsi="宋体"/>
          <w:color w:val="000000"/>
          <w:lang w:eastAsia="zh-CN"/>
        </w:rPr>
        <w:t xml:space="preserve">(二)合同执行中涉及采购内容修改或补充的，按照政策采购相关要求和规定须经政府采购监管部门审批，并签订书面补充协议报政府采购监督管理部门备案，方可作为主合同不可分割的一部分； </w:t>
      </w:r>
    </w:p>
    <w:p w14:paraId="703B000B">
      <w:pPr>
        <w:pStyle w:val="22"/>
        <w:spacing w:line="360" w:lineRule="auto"/>
        <w:rPr>
          <w:rFonts w:hint="eastAsia" w:ascii="宋体" w:hAnsi="宋体"/>
          <w:color w:val="000000"/>
          <w:lang w:eastAsia="zh-CN"/>
        </w:rPr>
      </w:pPr>
      <w:r>
        <w:rPr>
          <w:rFonts w:hint="eastAsia" w:ascii="宋体" w:hAnsi="宋体"/>
          <w:color w:val="000000"/>
          <w:lang w:eastAsia="zh-CN"/>
        </w:rPr>
        <w:t xml:space="preserve">(三)本合同一式4份，自双方签章之日起起效，其中甲方1份，乙方1份，政府采购代理机构1份，同级财政部门备案1份，具有同等法律效力。 </w:t>
      </w:r>
    </w:p>
    <w:p w14:paraId="511C0BC2">
      <w:pPr>
        <w:pStyle w:val="22"/>
        <w:spacing w:line="360" w:lineRule="auto"/>
        <w:rPr>
          <w:rFonts w:hint="eastAsia" w:ascii="宋体" w:hAnsi="宋体"/>
          <w:color w:val="000000"/>
          <w:lang w:eastAsia="zh-CN"/>
        </w:rPr>
      </w:pPr>
    </w:p>
    <w:p w14:paraId="55FEB971">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val="en-US" w:eastAsia="zh-CN"/>
        </w:rPr>
        <w:t>甲</w:t>
      </w:r>
      <w:r>
        <w:rPr>
          <w:rFonts w:hint="eastAsia" w:ascii="宋体" w:hAnsi="宋体"/>
          <w:color w:val="000000"/>
          <w:lang w:eastAsia="zh-CN"/>
        </w:rPr>
        <w:t>方：（盖章）</w:t>
      </w:r>
      <w:r>
        <w:rPr>
          <w:rFonts w:hint="eastAsia" w:ascii="宋体" w:hAnsi="宋体"/>
          <w:color w:val="000000"/>
          <w:lang w:val="en-US" w:eastAsia="zh-CN"/>
        </w:rPr>
        <w:t xml:space="preserve">                          乙</w:t>
      </w:r>
      <w:r>
        <w:rPr>
          <w:rFonts w:hint="eastAsia" w:ascii="宋体" w:hAnsi="宋体"/>
          <w:color w:val="000000"/>
          <w:lang w:eastAsia="zh-CN"/>
        </w:rPr>
        <w:t>方：（盖章）</w:t>
      </w:r>
    </w:p>
    <w:p w14:paraId="4745519F">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法定代表人：</w:t>
      </w:r>
      <w:r>
        <w:rPr>
          <w:rFonts w:hint="eastAsia" w:ascii="宋体" w:hAnsi="宋体"/>
          <w:color w:val="000000"/>
          <w:lang w:val="en-US" w:eastAsia="zh-CN"/>
        </w:rPr>
        <w:t xml:space="preserve">                            </w:t>
      </w:r>
      <w:r>
        <w:rPr>
          <w:rFonts w:hint="eastAsia" w:ascii="宋体" w:hAnsi="宋体"/>
          <w:color w:val="000000"/>
          <w:lang w:eastAsia="zh-CN"/>
        </w:rPr>
        <w:t>法定代表人：</w:t>
      </w:r>
    </w:p>
    <w:p w14:paraId="28F23227">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地 址：　　　　　　　</w:t>
      </w:r>
      <w:r>
        <w:rPr>
          <w:rFonts w:hint="eastAsia" w:ascii="宋体" w:hAnsi="宋体"/>
          <w:color w:val="000000"/>
          <w:lang w:val="en-US" w:eastAsia="zh-CN"/>
        </w:rPr>
        <w:t xml:space="preserve">                   </w:t>
      </w:r>
      <w:r>
        <w:rPr>
          <w:rFonts w:hint="eastAsia" w:ascii="宋体" w:hAnsi="宋体"/>
          <w:color w:val="000000"/>
          <w:lang w:eastAsia="zh-CN"/>
        </w:rPr>
        <w:t>地 址：</w:t>
      </w:r>
    </w:p>
    <w:p w14:paraId="4407BC4B">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开户银行：　　　　　　　</w:t>
      </w:r>
      <w:r>
        <w:rPr>
          <w:rFonts w:hint="eastAsia" w:ascii="宋体" w:hAnsi="宋体"/>
          <w:color w:val="000000"/>
          <w:lang w:val="en-US" w:eastAsia="zh-CN"/>
        </w:rPr>
        <w:t xml:space="preserve">              </w:t>
      </w:r>
      <w:r>
        <w:rPr>
          <w:rFonts w:hint="eastAsia" w:ascii="宋体" w:hAnsi="宋体"/>
          <w:color w:val="000000"/>
          <w:lang w:eastAsia="zh-CN"/>
        </w:rPr>
        <w:t xml:space="preserve">　开户银行： </w:t>
      </w:r>
    </w:p>
    <w:p w14:paraId="4B4C3DCC">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账号：　　　　　　　　　　</w:t>
      </w:r>
      <w:r>
        <w:rPr>
          <w:rFonts w:hint="eastAsia" w:ascii="宋体" w:hAnsi="宋体"/>
          <w:color w:val="000000"/>
          <w:lang w:val="en-US" w:eastAsia="zh-CN"/>
        </w:rPr>
        <w:t xml:space="preserve">              </w:t>
      </w:r>
      <w:r>
        <w:rPr>
          <w:rFonts w:hint="eastAsia" w:ascii="宋体" w:hAnsi="宋体"/>
          <w:color w:val="000000"/>
          <w:lang w:eastAsia="zh-CN"/>
        </w:rPr>
        <w:t xml:space="preserve">账号： </w:t>
      </w:r>
    </w:p>
    <w:p w14:paraId="33741EAD">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电 话：　　　　　　　　</w:t>
      </w:r>
      <w:r>
        <w:rPr>
          <w:rFonts w:hint="eastAsia" w:ascii="宋体" w:hAnsi="宋体"/>
          <w:color w:val="000000"/>
          <w:lang w:val="en-US" w:eastAsia="zh-CN"/>
        </w:rPr>
        <w:t xml:space="preserve">               </w:t>
      </w:r>
      <w:r>
        <w:rPr>
          <w:rFonts w:hint="eastAsia" w:ascii="宋体" w:hAnsi="宋体"/>
          <w:color w:val="000000"/>
          <w:lang w:eastAsia="zh-CN"/>
        </w:rPr>
        <w:t xml:space="preserve">　电 话： </w:t>
      </w:r>
    </w:p>
    <w:p w14:paraId="3E09EE7A">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传 真：　　　　　　　　　</w:t>
      </w:r>
      <w:r>
        <w:rPr>
          <w:rFonts w:hint="eastAsia" w:ascii="宋体" w:hAnsi="宋体"/>
          <w:color w:val="000000"/>
          <w:lang w:val="en-US" w:eastAsia="zh-CN"/>
        </w:rPr>
        <w:t xml:space="preserve">               </w:t>
      </w:r>
      <w:r>
        <w:rPr>
          <w:rFonts w:hint="eastAsia" w:ascii="宋体" w:hAnsi="宋体"/>
          <w:color w:val="000000"/>
          <w:lang w:eastAsia="zh-CN"/>
        </w:rPr>
        <w:t xml:space="preserve">传 真： </w:t>
      </w:r>
    </w:p>
    <w:p w14:paraId="20B1A06D">
      <w:pPr>
        <w:pStyle w:val="22"/>
        <w:spacing w:line="360" w:lineRule="auto"/>
        <w:ind w:left="0" w:leftChars="0" w:firstLine="0" w:firstLineChars="0"/>
        <w:rPr>
          <w:rFonts w:hint="eastAsia" w:ascii="宋体" w:hAnsi="宋体"/>
          <w:color w:val="000000"/>
          <w:lang w:eastAsia="zh-CN"/>
        </w:rPr>
      </w:pPr>
      <w:r>
        <w:rPr>
          <w:rFonts w:hint="eastAsia" w:ascii="宋体" w:hAnsi="宋体"/>
          <w:color w:val="000000"/>
          <w:lang w:eastAsia="zh-CN"/>
        </w:rPr>
        <w:t>签约日期：____年__月__日　　</w:t>
      </w:r>
      <w:r>
        <w:rPr>
          <w:rFonts w:hint="eastAsia" w:ascii="宋体" w:hAnsi="宋体"/>
          <w:color w:val="000000"/>
          <w:lang w:val="en-US" w:eastAsia="zh-CN"/>
        </w:rPr>
        <w:t xml:space="preserve">            </w:t>
      </w:r>
      <w:r>
        <w:rPr>
          <w:rFonts w:hint="eastAsia" w:ascii="宋体" w:hAnsi="宋体"/>
          <w:color w:val="000000"/>
          <w:lang w:eastAsia="zh-CN"/>
        </w:rPr>
        <w:t>签约日期：___</w:t>
      </w:r>
      <w:bookmarkStart w:id="0" w:name="_GoBack"/>
      <w:bookmarkEnd w:id="0"/>
      <w:r>
        <w:rPr>
          <w:rFonts w:hint="eastAsia" w:ascii="宋体" w:hAnsi="宋体"/>
          <w:color w:val="000000"/>
          <w:lang w:eastAsia="zh-CN"/>
        </w:rPr>
        <w:t>_年__月__日</w:t>
      </w:r>
    </w:p>
    <w:sectPr>
      <w:headerReference r:id="rId3" w:type="default"/>
      <w:footerReference r:id="rId4" w:type="default"/>
      <w:pgSz w:w="11906" w:h="16838"/>
      <w:pgMar w:top="1134" w:right="1474" w:bottom="1134" w:left="1474" w:header="851" w:footer="73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uns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3BF89">
    <w:pPr>
      <w:spacing w:line="171" w:lineRule="auto"/>
      <w:rPr>
        <w:rFonts w:ascii="Times New Roman" w:hAnsi="Times New Roman" w:eastAsia="Times New Roman" w:cs="Times New Roman"/>
        <w:sz w:val="15"/>
        <w:szCs w:val="1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00737">
    <w:pPr>
      <w:pStyle w:val="10"/>
      <w:pBdr>
        <w:bottom w:val="none" w:color="auto" w:sz="0" w:space="0"/>
      </w:pBdr>
      <w:jc w:val="both"/>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36B4D"/>
    <w:multiLevelType w:val="multilevel"/>
    <w:tmpl w:val="0C536B4D"/>
    <w:lvl w:ilvl="0" w:tentative="0">
      <w:start w:val="1"/>
      <w:numFmt w:val="decimal"/>
      <w:lvlText w:val="第 %1 章"/>
      <w:lvlJc w:val="left"/>
      <w:pPr>
        <w:tabs>
          <w:tab w:val="left" w:pos="0"/>
        </w:tabs>
        <w:ind w:left="432" w:hanging="432"/>
      </w:pPr>
      <w:rPr>
        <w:rFonts w:hint="eastAsia"/>
      </w:rPr>
    </w:lvl>
    <w:lvl w:ilvl="1" w:tentative="0">
      <w:start w:val="1"/>
      <w:numFmt w:val="decimal"/>
      <w:lvlText w:val="%1.%2"/>
      <w:lvlJc w:val="left"/>
      <w:pPr>
        <w:ind w:left="718" w:hanging="576"/>
      </w:pPr>
      <w:rPr>
        <w:rFonts w:hint="default" w:ascii="Times New Roman" w:hAnsi="Times New Roman"/>
        <w:b/>
        <w:i w:val="0"/>
        <w:sz w:val="24"/>
      </w:rPr>
    </w:lvl>
    <w:lvl w:ilvl="2" w:tentative="0">
      <w:start w:val="1"/>
      <w:numFmt w:val="decimal"/>
      <w:lvlText w:val="%1.%2.%3"/>
      <w:lvlJc w:val="left"/>
      <w:pPr>
        <w:tabs>
          <w:tab w:val="left" w:pos="0"/>
        </w:tabs>
        <w:ind w:left="720" w:hanging="720"/>
      </w:pPr>
      <w:rPr>
        <w:rFonts w:hint="eastAsia"/>
      </w:rPr>
    </w:lvl>
    <w:lvl w:ilvl="3" w:tentative="0">
      <w:start w:val="1"/>
      <w:numFmt w:val="decimal"/>
      <w:pStyle w:val="3"/>
      <w:lvlText w:val="%1.%2.%3.%4"/>
      <w:lvlJc w:val="left"/>
      <w:pPr>
        <w:ind w:left="864" w:hanging="864"/>
      </w:pPr>
      <w:rPr>
        <w:rFonts w:hint="default" w:ascii="Times New Roman" w:hAnsi="Times New Roman" w:cs="Times New Roman"/>
        <w:b/>
        <w:bCs w:val="0"/>
        <w:i w:val="0"/>
        <w:iCs w:val="0"/>
        <w:caps w:val="0"/>
        <w:smallCaps w:val="0"/>
        <w:strike w:val="0"/>
        <w:dstrike w:val="0"/>
        <w:vanish w:val="0"/>
        <w:color w:val="000000"/>
        <w:spacing w:val="0"/>
        <w:kern w:val="0"/>
        <w:position w:val="0"/>
        <w:sz w:val="24"/>
        <w:u w:val="none"/>
        <w:vertAlign w:val="baseline"/>
      </w:rPr>
    </w:lvl>
    <w:lvl w:ilvl="4" w:tentative="0">
      <w:start w:val="1"/>
      <w:numFmt w:val="decimal"/>
      <w:lvlText w:val="%1.%2.%3.%4.%5 "/>
      <w:lvlJc w:val="left"/>
      <w:pPr>
        <w:tabs>
          <w:tab w:val="left" w:pos="284"/>
        </w:tabs>
        <w:ind w:left="1292" w:hanging="1008"/>
      </w:pPr>
      <w:rPr>
        <w:rFonts w:hint="eastAsia"/>
      </w:rPr>
    </w:lvl>
    <w:lvl w:ilvl="5" w:tentative="0">
      <w:start w:val="1"/>
      <w:numFmt w:val="decimal"/>
      <w:lvlText w:val="%1.%2.%3.%4.%5.%6"/>
      <w:lvlJc w:val="left"/>
      <w:pPr>
        <w:tabs>
          <w:tab w:val="left" w:pos="0"/>
        </w:tabs>
        <w:ind w:left="1152" w:hanging="1152"/>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6" w:tentative="0">
      <w:start w:val="1"/>
      <w:numFmt w:val="decimal"/>
      <w:lvlText w:val="%7. "/>
      <w:lvlJc w:val="left"/>
      <w:pPr>
        <w:tabs>
          <w:tab w:val="left" w:pos="879"/>
        </w:tabs>
        <w:ind w:left="879" w:hanging="397"/>
      </w:pPr>
      <w:rPr>
        <w:rFonts w:hint="eastAsia"/>
      </w:rPr>
    </w:lvl>
    <w:lvl w:ilvl="7" w:tentative="0">
      <w:start w:val="1"/>
      <w:numFmt w:val="bullet"/>
      <w:lvlText w:val=""/>
      <w:lvlJc w:val="left"/>
      <w:pPr>
        <w:tabs>
          <w:tab w:val="left" w:pos="1281"/>
        </w:tabs>
        <w:ind w:left="1281" w:hanging="402"/>
      </w:pPr>
      <w:rPr>
        <w:rFonts w:hint="default" w:ascii="Symbol" w:hAnsi="Symbol"/>
        <w:color w:val="auto"/>
      </w:rPr>
    </w:lvl>
    <w:lvl w:ilvl="8" w:tentative="0">
      <w:start w:val="1"/>
      <w:numFmt w:val="decimal"/>
      <w:lvlText w:val="%1.%2.%3.%4.%5.%6.%7.%8.%9"/>
      <w:lvlJc w:val="left"/>
      <w:pPr>
        <w:tabs>
          <w:tab w:val="left" w:pos="0"/>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12B62D0"/>
    <w:rsid w:val="017A1B3F"/>
    <w:rsid w:val="01C0309B"/>
    <w:rsid w:val="01E21263"/>
    <w:rsid w:val="02E1151B"/>
    <w:rsid w:val="03DC1D72"/>
    <w:rsid w:val="03F67248"/>
    <w:rsid w:val="081859DF"/>
    <w:rsid w:val="09B43D19"/>
    <w:rsid w:val="0A2A37A7"/>
    <w:rsid w:val="0DB5782C"/>
    <w:rsid w:val="0E80498C"/>
    <w:rsid w:val="109A0F5B"/>
    <w:rsid w:val="10AA5642"/>
    <w:rsid w:val="19313A0D"/>
    <w:rsid w:val="194C3802"/>
    <w:rsid w:val="19C01025"/>
    <w:rsid w:val="1A976C37"/>
    <w:rsid w:val="1E542B21"/>
    <w:rsid w:val="1F7532BF"/>
    <w:rsid w:val="1FF32ECF"/>
    <w:rsid w:val="20A91567"/>
    <w:rsid w:val="214E366E"/>
    <w:rsid w:val="27673E35"/>
    <w:rsid w:val="28AF339E"/>
    <w:rsid w:val="2B9B71F5"/>
    <w:rsid w:val="2BDC315C"/>
    <w:rsid w:val="2D216834"/>
    <w:rsid w:val="30395C43"/>
    <w:rsid w:val="339F04B3"/>
    <w:rsid w:val="34014CC9"/>
    <w:rsid w:val="355F439E"/>
    <w:rsid w:val="37160A8C"/>
    <w:rsid w:val="376E2676"/>
    <w:rsid w:val="385E6B8E"/>
    <w:rsid w:val="393972B4"/>
    <w:rsid w:val="39900FC9"/>
    <w:rsid w:val="39F50E2C"/>
    <w:rsid w:val="39FB40DB"/>
    <w:rsid w:val="3C4A3743"/>
    <w:rsid w:val="3D262316"/>
    <w:rsid w:val="3DF833E6"/>
    <w:rsid w:val="40387CC5"/>
    <w:rsid w:val="43E066A9"/>
    <w:rsid w:val="44DD12F8"/>
    <w:rsid w:val="46F32B98"/>
    <w:rsid w:val="49C03205"/>
    <w:rsid w:val="4B0C4228"/>
    <w:rsid w:val="4BB26B7D"/>
    <w:rsid w:val="4C017B05"/>
    <w:rsid w:val="4DE60D60"/>
    <w:rsid w:val="502B514A"/>
    <w:rsid w:val="51D11D27"/>
    <w:rsid w:val="51E23E3F"/>
    <w:rsid w:val="550F5041"/>
    <w:rsid w:val="55147E09"/>
    <w:rsid w:val="56494582"/>
    <w:rsid w:val="56E46059"/>
    <w:rsid w:val="5714693E"/>
    <w:rsid w:val="5B3D3F8A"/>
    <w:rsid w:val="5D064F7B"/>
    <w:rsid w:val="5E4A533B"/>
    <w:rsid w:val="5F8959EF"/>
    <w:rsid w:val="61A45F46"/>
    <w:rsid w:val="62E62F4B"/>
    <w:rsid w:val="65A90B99"/>
    <w:rsid w:val="678834BD"/>
    <w:rsid w:val="69FE33CB"/>
    <w:rsid w:val="6E2C680B"/>
    <w:rsid w:val="6F13110F"/>
    <w:rsid w:val="6FEE1FCA"/>
    <w:rsid w:val="701A2DBF"/>
    <w:rsid w:val="708A181D"/>
    <w:rsid w:val="73012015"/>
    <w:rsid w:val="7656483B"/>
    <w:rsid w:val="7726078D"/>
    <w:rsid w:val="77CF26E1"/>
    <w:rsid w:val="77FE5D3C"/>
    <w:rsid w:val="78482494"/>
    <w:rsid w:val="7AD823EF"/>
    <w:rsid w:val="7AF81F4F"/>
    <w:rsid w:val="7D1B3CD3"/>
    <w:rsid w:val="7D3B041C"/>
    <w:rsid w:val="7E161C15"/>
    <w:rsid w:val="7FEB5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9"/>
    <w:pPr>
      <w:keepNext/>
      <w:keepLines/>
      <w:spacing w:before="120" w:after="120" w:line="360" w:lineRule="auto"/>
      <w:outlineLvl w:val="0"/>
    </w:pPr>
    <w:rPr>
      <w:rFonts w:eastAsia="黑体"/>
      <w:bCs/>
      <w:kern w:val="44"/>
      <w:sz w:val="32"/>
      <w:szCs w:val="44"/>
    </w:rPr>
  </w:style>
  <w:style w:type="paragraph" w:styleId="3">
    <w:name w:val="heading 4"/>
    <w:basedOn w:val="1"/>
    <w:next w:val="1"/>
    <w:qFormat/>
    <w:uiPriority w:val="0"/>
    <w:pPr>
      <w:numPr>
        <w:ilvl w:val="3"/>
        <w:numId w:val="1"/>
      </w:numPr>
      <w:tabs>
        <w:tab w:val="left" w:pos="0"/>
      </w:tabs>
      <w:spacing w:before="200" w:after="80" w:line="360" w:lineRule="auto"/>
      <w:outlineLvl w:val="3"/>
    </w:pPr>
    <w:rPr>
      <w:rFonts w:ascii="Times New Roman" w:hAnsi="Times New Roman" w:eastAsia="宋体" w:cs="Times New Roman"/>
      <w:b/>
      <w:iCs/>
      <w:sz w:val="24"/>
      <w:szCs w:val="24"/>
      <w:lang w:bidi="en-US"/>
    </w:rPr>
  </w:style>
  <w:style w:type="character" w:default="1" w:styleId="15">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Body Text"/>
    <w:basedOn w:val="1"/>
    <w:qFormat/>
    <w:uiPriority w:val="1"/>
    <w:rPr>
      <w:rFonts w:ascii="宋体" w:hAnsi="宋体" w:eastAsia="宋体" w:cs="宋体"/>
      <w:sz w:val="24"/>
      <w:lang w:val="zh-CN" w:bidi="zh-CN"/>
    </w:rPr>
  </w:style>
  <w:style w:type="paragraph" w:styleId="6">
    <w:name w:val="Body Text Indent"/>
    <w:basedOn w:val="1"/>
    <w:next w:val="7"/>
    <w:qFormat/>
    <w:uiPriority w:val="0"/>
    <w:pPr>
      <w:ind w:firstLine="552"/>
    </w:pPr>
    <w:rPr>
      <w:rFonts w:ascii="宋体"/>
      <w:sz w:val="28"/>
    </w:rPr>
  </w:style>
  <w:style w:type="paragraph" w:customStyle="1" w:styleId="7">
    <w:name w:val="font5"/>
    <w:basedOn w:val="1"/>
    <w:autoRedefine/>
    <w:qFormat/>
    <w:uiPriority w:val="0"/>
    <w:pPr>
      <w:spacing w:before="100" w:beforeAutospacing="1" w:after="100" w:afterAutospacing="1"/>
    </w:pPr>
    <w:rPr>
      <w:rFonts w:hint="eastAsia" w:ascii="宋体" w:hAnsi="宋体"/>
      <w:sz w:val="24"/>
      <w:szCs w:val="24"/>
    </w:rPr>
  </w:style>
  <w:style w:type="paragraph" w:styleId="8">
    <w:name w:val="Plain Text"/>
    <w:basedOn w:val="1"/>
    <w:qFormat/>
    <w:uiPriority w:val="0"/>
    <w:rPr>
      <w:rFonts w:ascii="宋体" w:hAnsi="Courier New"/>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1">
    <w:name w:val="Body Text First Indent"/>
    <w:basedOn w:val="5"/>
    <w:qFormat/>
    <w:uiPriority w:val="0"/>
    <w:pPr>
      <w:spacing w:line="360" w:lineRule="auto"/>
      <w:ind w:firstLine="200" w:firstLineChars="200"/>
    </w:pPr>
    <w:rPr>
      <w:rFonts w:ascii="仿宋_GB2312" w:hAnsi="Times New Roman" w:eastAsia="仿宋_GB2312"/>
      <w:sz w:val="30"/>
      <w:szCs w:val="30"/>
    </w:rPr>
  </w:style>
  <w:style w:type="paragraph" w:styleId="12">
    <w:name w:val="Body Text First Indent 2"/>
    <w:basedOn w:val="6"/>
    <w:next w:val="11"/>
    <w:qFormat/>
    <w:uiPriority w:val="0"/>
    <w:pPr>
      <w:ind w:firstLine="420" w:firstLineChars="200"/>
    </w:pPr>
    <w:rPr>
      <w:rFonts w:ascii="Times New Roman" w:hAnsi="Times New Roman" w:cs="Times New Roman"/>
      <w:szCs w:val="20"/>
    </w:rPr>
  </w:style>
  <w:style w:type="table" w:styleId="14">
    <w:name w:val="Table Grid"/>
    <w:basedOn w:val="1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一级条标题"/>
    <w:basedOn w:val="17"/>
    <w:next w:val="18"/>
    <w:autoRedefine/>
    <w:qFormat/>
    <w:uiPriority w:val="0"/>
    <w:pPr>
      <w:spacing w:line="240" w:lineRule="auto"/>
      <w:ind w:left="420"/>
      <w:outlineLvl w:val="2"/>
    </w:pPr>
  </w:style>
  <w:style w:type="paragraph" w:customStyle="1" w:styleId="17">
    <w:name w:val="章标题"/>
    <w:next w:val="1"/>
    <w:autoRedefine/>
    <w:qFormat/>
    <w:uiPriority w:val="0"/>
    <w:pPr>
      <w:spacing w:line="360" w:lineRule="auto"/>
      <w:jc w:val="center"/>
      <w:outlineLvl w:val="1"/>
    </w:pPr>
    <w:rPr>
      <w:rFonts w:ascii="黑体" w:hAnsi="黑体" w:eastAsia="宋体" w:cs="黑体"/>
      <w:b/>
      <w:sz w:val="32"/>
      <w:szCs w:val="21"/>
      <w:lang w:val="en-US" w:eastAsia="zh-CN" w:bidi="ar-SA"/>
    </w:rPr>
  </w:style>
  <w:style w:type="paragraph" w:customStyle="1" w:styleId="18">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黑体"/>
      <w:kern w:val="2"/>
      <w:sz w:val="21"/>
      <w:szCs w:val="22"/>
      <w:lang w:val="en-US" w:eastAsia="zh-CN" w:bidi="ar-SA"/>
    </w:rPr>
  </w:style>
  <w:style w:type="paragraph" w:customStyle="1" w:styleId="19">
    <w:name w:val="HTML 预设格式1"/>
    <w:basedOn w:val="1"/>
    <w:autoRedefine/>
    <w:qFormat/>
    <w:uiPriority w:val="0"/>
    <w:rPr>
      <w:rFonts w:ascii="Courier New" w:hAnsi="Courier New"/>
      <w:sz w:val="20"/>
    </w:rPr>
  </w:style>
  <w:style w:type="paragraph" w:styleId="20">
    <w:name w:val="List Paragraph"/>
    <w:basedOn w:val="1"/>
    <w:autoRedefine/>
    <w:qFormat/>
    <w:uiPriority w:val="34"/>
    <w:pPr>
      <w:ind w:firstLine="420" w:firstLineChars="200"/>
    </w:pPr>
    <w:rPr>
      <w:sz w:val="24"/>
    </w:rPr>
  </w:style>
  <w:style w:type="paragraph" w:customStyle="1" w:styleId="21">
    <w:name w:val="null3"/>
    <w:autoRedefine/>
    <w:hidden/>
    <w:qFormat/>
    <w:uiPriority w:val="0"/>
    <w:rPr>
      <w:rFonts w:hint="eastAsia" w:asciiTheme="minorHAnsi" w:hAnsiTheme="minorHAnsi" w:eastAsiaTheme="minorEastAsia" w:cstheme="minorBidi"/>
      <w:lang w:val="en-US" w:eastAsia="zh-CN" w:bidi="ar-SA"/>
    </w:rPr>
  </w:style>
  <w:style w:type="paragraph" w:customStyle="1" w:styleId="22">
    <w:name w:val="样式 首行缩进:  2 字符"/>
    <w:basedOn w:val="1"/>
    <w:qFormat/>
    <w:uiPriority w:val="99"/>
    <w:pPr>
      <w:spacing w:line="400" w:lineRule="exact"/>
      <w:ind w:firstLine="200" w:firstLineChars="200"/>
    </w:pPr>
    <w:rPr>
      <w:rFonts w:cs="宋体"/>
      <w:sz w:val="24"/>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1015</Words>
  <Characters>1027</Characters>
  <Lines>0</Lines>
  <Paragraphs>0</Paragraphs>
  <TotalTime>2</TotalTime>
  <ScaleCrop>false</ScaleCrop>
  <LinksUpToDate>false</LinksUpToDate>
  <CharactersWithSpaces>1387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2024-04-15T03:16:00Z</dcterms:created>
  <dc:creator>Administrator</dc:creator>
  <cp:lastModifiedBy>獨家記憶</cp:lastModifiedBy>
  <dcterms:modified xsi:type="dcterms:W3CDTF">2026-06-02T07:40:56Z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588226CA31D343D6804CFEDF2A141DAC_13</vt:lpwstr>
  </property>
  <property fmtid="{D5CDD505-2E9C-101B-9397-08002B2CF9AE}" pid="4" name="KSOTemplateDocerSaveRecord">
    <vt:lpwstr>eyJoZGlkIjoiNmZlMDk0ODRhNDQwYjg4YjlmZWI3M2E1NzRhYzJiODEiLCJ1c2VySWQiOiI5MjI1NDEzOTYifQ==</vt:lpwstr>
  </property>
</Properties>
</file>