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版本号：SCZB2026-ZB-0586-01120260731002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人工智能实训室建设项目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SCZB2026-ZB-0586-011</w:t>
      </w:r>
      <w:r>
        <w:br/>
      </w:r>
      <w:r>
        <w:br/>
      </w:r>
      <w:r>
        <w:br/>
      </w:r>
    </w:p>
    <w:p>
      <w:pPr>
        <w:pStyle w:val="null3"/>
        <w:jc w:val="center"/>
        <w:outlineLvl w:val="2"/>
      </w:pPr>
      <w:r>
        <w:rPr>
          <w:rFonts w:ascii="仿宋_GB2312" w:hAnsi="仿宋_GB2312" w:cs="仿宋_GB2312" w:eastAsia="仿宋_GB2312"/>
          <w:sz w:val="28"/>
          <w:b/>
        </w:rPr>
        <w:t>陕西青年职业学院</w:t>
      </w:r>
    </w:p>
    <w:p>
      <w:pPr>
        <w:pStyle w:val="null3"/>
        <w:jc w:val="center"/>
        <w:outlineLvl w:val="2"/>
      </w:pPr>
      <w:r>
        <w:rPr>
          <w:rFonts w:ascii="仿宋_GB2312" w:hAnsi="仿宋_GB2312" w:cs="仿宋_GB2312" w:eastAsia="仿宋_GB2312"/>
          <w:sz w:val="28"/>
          <w:b/>
        </w:rPr>
        <w:t>陕西省采购招标有限责任公司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2026年07月31日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陕西省采购招标有限责任公司</w:t>
      </w:r>
      <w:r>
        <w:rPr>
          <w:rFonts w:ascii="仿宋_GB2312" w:hAnsi="仿宋_GB2312" w:cs="仿宋_GB2312" w:eastAsia="仿宋_GB2312"/>
        </w:rPr>
        <w:t>（以下简称“代理机构”）受</w:t>
      </w:r>
      <w:r>
        <w:rPr>
          <w:rFonts w:ascii="仿宋_GB2312" w:hAnsi="仿宋_GB2312" w:cs="仿宋_GB2312" w:eastAsia="仿宋_GB2312"/>
        </w:rPr>
        <w:t>陕西青年职业学院</w:t>
      </w:r>
      <w:r>
        <w:rPr>
          <w:rFonts w:ascii="仿宋_GB2312" w:hAnsi="仿宋_GB2312" w:cs="仿宋_GB2312" w:eastAsia="仿宋_GB2312"/>
        </w:rPr>
        <w:t>委托，拟对</w:t>
      </w:r>
      <w:r>
        <w:rPr>
          <w:rFonts w:ascii="仿宋_GB2312" w:hAnsi="仿宋_GB2312" w:cs="仿宋_GB2312" w:eastAsia="仿宋_GB2312"/>
        </w:rPr>
        <w:t>人工智能实训室建设项目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SCZB2026-ZB-0586-011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人工智能实训室建设项目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搭建以人工智能综合实验箱、移动机器人应用开发平台为核心产品的基础实验室，在该实验室，学生将深入了解机器学习、数字图像处理、计算机视觉等基础理论，并通过实验验证算法的有效性，学习如何开发、部署、操作移动机器人，掌握其硬件结构和软件控制方法，实现课程实训与人工智能的基础技能对接。围绕《人工智能概论》、《Python编程基础》、《机器学习与数据挖掘》与《计算机网络》等专业基础课程，构建“硬件集成-软件开发-多模态交互”的基础实训环境，具体详细内容见采购文件。</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采购包1（人工智能实训室建设项目）：属于专门面向中小企业采购。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信用查询：投标人在递交投标文件截止时间前被“信用中国”网站（www.creditchina.gov.cn）和中国政府采购网（www.ccgp.gov.cn）上被列入失信被执行人、重大税收违法失信主体、政府采购严重违法失信行为记录名单的，不得参加投标；（以现场查询截图为准）</w:t>
      </w:r>
    </w:p>
    <w:p>
      <w:pPr>
        <w:pStyle w:val="null3"/>
      </w:pPr>
      <w:r>
        <w:rPr>
          <w:rFonts w:ascii="仿宋_GB2312" w:hAnsi="仿宋_GB2312" w:cs="仿宋_GB2312" w:eastAsia="仿宋_GB2312"/>
        </w:rPr>
        <w:t>2、授权书：投标人参加本项目的合法授权人授权委托书；供应商应授权合法的人员参加投标，其中法定代表人直接参加投标的，须出具法人身份证，并与营业执照上信息一致。法定代表人授权代表参加投标的，须出具法定代表人授权书及授权代表身份证、授权代表本单位证明（提供授权代表在本单位养老保险缴纳证明），被授权人须与开标时签到表的授权人保持一致。</w:t>
      </w:r>
    </w:p>
    <w:p>
      <w:pPr>
        <w:pStyle w:val="null3"/>
      </w:pPr>
      <w:r>
        <w:rPr>
          <w:rFonts w:ascii="仿宋_GB2312" w:hAnsi="仿宋_GB2312" w:cs="仿宋_GB2312" w:eastAsia="仿宋_GB2312"/>
        </w:rPr>
        <w:t>3、非联合体：参与投标人为非联合体（提供声明函）。</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陕西青年职业学院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陕西省西安市长安区常宁新区鱼包头街123号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陕西青年职业学院</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02961289691</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陕西省采购招标有限责任公司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西安市雁塔区锦业路都市之门C座9层招标二部</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710076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 xml:space="preserve"> 谭乐斌、张学强、年婷婷、刘艳</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029-88481271</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采购包1：540,000.00元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开户名称：陕西省采购招标有限责任公司</w:t>
            </w:r>
          </w:p>
          <w:p>
            <w:pPr>
              <w:pStyle w:val="null3"/>
            </w:pPr>
            <w:r>
              <w:rPr>
                <w:rFonts w:ascii="仿宋_GB2312" w:hAnsi="仿宋_GB2312" w:cs="仿宋_GB2312" w:eastAsia="仿宋_GB2312"/>
              </w:rPr>
              <w:t>开户银行：中国银行西安雁塔区支行营业部</w:t>
            </w:r>
          </w:p>
          <w:p>
            <w:pPr>
              <w:pStyle w:val="null3"/>
            </w:pPr>
            <w:r>
              <w:rPr>
                <w:rFonts w:ascii="仿宋_GB2312" w:hAnsi="仿宋_GB2312" w:cs="仿宋_GB2312" w:eastAsia="仿宋_GB2312"/>
              </w:rPr>
              <w:t>银行账号：102462457865</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代理服务费收费标准：代理服务费的收取参见国家计委颁布的《招标代理服务收费管理暂行办法》(计价格[2002]1980 号)和(发改办价格[2003]857 号)收费标准下浮40%收取。 招标代理服务费缴纳信息： 银行户名：陕西省采购招标有限责任公司 开户银行：中国光大银行西安友谊路支行 账 号：78560188000095264 联系人：财务部 联系电话：029-85263975。</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陕西青年职业学院</w:t>
      </w:r>
      <w:r>
        <w:rPr>
          <w:rFonts w:ascii="仿宋_GB2312" w:hAnsi="仿宋_GB2312" w:cs="仿宋_GB2312" w:eastAsia="仿宋_GB2312"/>
        </w:rPr>
        <w:t>和</w:t>
      </w:r>
      <w:r>
        <w:rPr>
          <w:rFonts w:ascii="仿宋_GB2312" w:hAnsi="仿宋_GB2312" w:cs="仿宋_GB2312" w:eastAsia="仿宋_GB2312"/>
        </w:rPr>
        <w:t>陕西省采购招标有限责任公司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陕西青年职业学院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陕西省采购招标有限责任公司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陕西青年职业学院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陕西省采购招标有限责任公司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详见合同</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60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联系人：代理机构</w:t>
      </w:r>
    </w:p>
    <w:p>
      <w:pPr>
        <w:pStyle w:val="null3"/>
      </w:pPr>
      <w:r>
        <w:rPr>
          <w:rFonts w:ascii="仿宋_GB2312" w:hAnsi="仿宋_GB2312" w:cs="仿宋_GB2312" w:eastAsia="仿宋_GB2312"/>
        </w:rPr>
        <w:t>联系电话：029-85235014</w:t>
      </w:r>
    </w:p>
    <w:p>
      <w:pPr>
        <w:pStyle w:val="null3"/>
      </w:pPr>
      <w:r>
        <w:rPr>
          <w:rFonts w:ascii="仿宋_GB2312" w:hAnsi="仿宋_GB2312" w:cs="仿宋_GB2312" w:eastAsia="仿宋_GB2312"/>
        </w:rPr>
        <w:t>地址：西安市雁塔区锦业路1号都市之门C座9层综合办公室</w:t>
      </w:r>
    </w:p>
    <w:p>
      <w:pPr>
        <w:pStyle w:val="null3"/>
      </w:pPr>
      <w:r>
        <w:rPr>
          <w:rFonts w:ascii="仿宋_GB2312" w:hAnsi="仿宋_GB2312" w:cs="仿宋_GB2312" w:eastAsia="仿宋_GB2312"/>
        </w:rPr>
        <w:t>邮编：710076</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搭建以人工智能综合实验箱、移动机器人应用开发平台为核心产品的基础实验室，在该实验室，学生将深入了解机器学习、数字图像处理、计算机视觉等基础理论，并通过实验验证算法的有效性，学习如何开发、部署、操作移动机器人，掌握其硬件结构和软件控制方法，实现课程实训与人工智能的基础技能对接。围绕《人工智能概论》、《Python编程基础》、《机器学习与数据挖掘》与《计算机网络》等专业基础课程，构建“硬件集成-软件开发-多模态交互”的基础实训环境，具体详细内容见采购文件。</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540,000.00</w:t>
      </w:r>
    </w:p>
    <w:p>
      <w:pPr>
        <w:pStyle w:val="null3"/>
      </w:pPr>
      <w:r>
        <w:rPr>
          <w:rFonts w:ascii="仿宋_GB2312" w:hAnsi="仿宋_GB2312" w:cs="仿宋_GB2312" w:eastAsia="仿宋_GB2312"/>
        </w:rPr>
        <w:t>采购包最高限价（元）: 540,000.00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实训室</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540,000.00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标的名称：实训室</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27"/>
              <w:gridCol w:w="354"/>
              <w:gridCol w:w="329"/>
              <w:gridCol w:w="1313"/>
              <w:gridCol w:w="203"/>
              <w:gridCol w:w="228"/>
            </w:tblGrid>
            <w:tr>
              <w:tc>
                <w:tcPr>
                  <w:tcW w:type="dxa" w:w="12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序号</w:t>
                  </w:r>
                </w:p>
              </w:tc>
              <w:tc>
                <w:tcPr>
                  <w:tcW w:type="dxa" w:w="35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设备名称</w:t>
                  </w:r>
                </w:p>
              </w:tc>
              <w:tc>
                <w:tcPr>
                  <w:tcW w:type="dxa" w:w="1642"/>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项目内容及参数</w:t>
                  </w:r>
                </w:p>
              </w:tc>
              <w:tc>
                <w:tcPr>
                  <w:tcW w:type="dxa" w:w="2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单位</w:t>
                  </w:r>
                </w:p>
              </w:tc>
              <w:tc>
                <w:tcPr>
                  <w:tcW w:type="dxa" w:w="22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数量</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1</w:t>
                  </w:r>
                </w:p>
              </w:tc>
              <w:tc>
                <w:tcPr>
                  <w:tcW w:type="dxa" w:w="3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人工智能综合实验箱</w:t>
                  </w:r>
                  <w:r>
                    <w:rPr>
                      <w:rFonts w:ascii="仿宋_GB2312" w:hAnsi="仿宋_GB2312" w:cs="仿宋_GB2312" w:eastAsia="仿宋_GB2312"/>
                      <w:sz w:val="19"/>
                      <w:color w:val="000000"/>
                    </w:rPr>
                    <w:t>（</w:t>
                  </w:r>
                  <w:r>
                    <w:rPr>
                      <w:rFonts w:ascii="仿宋_GB2312" w:hAnsi="仿宋_GB2312" w:cs="仿宋_GB2312" w:eastAsia="仿宋_GB2312"/>
                      <w:sz w:val="19"/>
                      <w:color w:val="000000"/>
                    </w:rPr>
                    <w:t>核心产品</w:t>
                  </w:r>
                  <w:r>
                    <w:rPr>
                      <w:rFonts w:ascii="仿宋_GB2312" w:hAnsi="仿宋_GB2312" w:cs="仿宋_GB2312" w:eastAsia="仿宋_GB2312"/>
                      <w:sz w:val="19"/>
                      <w:color w:val="000000"/>
                    </w:rPr>
                    <w:t>）</w:t>
                  </w:r>
                </w:p>
              </w:tc>
              <w:tc>
                <w:tcPr>
                  <w:tcW w:type="dxa" w:w="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集成了计算机视觉系统、语音处理系统、机械手臂、以及手势传感器、温湿度传感器、大气压传感器等多种嵌入式应用模块。</w:t>
                  </w:r>
                </w:p>
                <w:p>
                  <w:pPr>
                    <w:pStyle w:val="null3"/>
                    <w:jc w:val="center"/>
                  </w:pPr>
                </w:p>
              </w:tc>
              <w:tc>
                <w:tcPr>
                  <w:tcW w:type="dxa" w:w="13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pPr>
                  <w:r>
                    <w:rPr>
                      <w:rFonts w:ascii="仿宋_GB2312" w:hAnsi="仿宋_GB2312" w:cs="仿宋_GB2312" w:eastAsia="仿宋_GB2312"/>
                      <w:sz w:val="19"/>
                      <w:b/>
                      <w:color w:val="000000"/>
                    </w:rPr>
                    <w:t>边缘计算终端</w:t>
                  </w:r>
                </w:p>
                <w:p>
                  <w:pPr>
                    <w:pStyle w:val="null3"/>
                    <w:jc w:val="both"/>
                  </w:pPr>
                  <w:r>
                    <w:rPr>
                      <w:rFonts w:ascii="仿宋_GB2312" w:hAnsi="仿宋_GB2312" w:cs="仿宋_GB2312" w:eastAsia="仿宋_GB2312"/>
                      <w:sz w:val="19"/>
                      <w:color w:val="000000"/>
                    </w:rPr>
                    <w:t>（1）CPU</w:t>
                  </w:r>
                  <w:r>
                    <w:rPr>
                      <w:rFonts w:ascii="仿宋_GB2312" w:hAnsi="仿宋_GB2312" w:cs="仿宋_GB2312" w:eastAsia="仿宋_GB2312"/>
                      <w:sz w:val="19"/>
                    </w:rPr>
                    <w:t>≥</w:t>
                  </w:r>
                  <w:r>
                    <w:rPr>
                      <w:rFonts w:ascii="仿宋_GB2312" w:hAnsi="仿宋_GB2312" w:cs="仿宋_GB2312" w:eastAsia="仿宋_GB2312"/>
                      <w:sz w:val="19"/>
                      <w:color w:val="000000"/>
                    </w:rPr>
                    <w:t>6-core NVIDIA Carmel ARM CPU；内存</w:t>
                  </w:r>
                  <w:r>
                    <w:rPr>
                      <w:rFonts w:ascii="仿宋_GB2312" w:hAnsi="仿宋_GB2312" w:cs="仿宋_GB2312" w:eastAsia="仿宋_GB2312"/>
                      <w:sz w:val="19"/>
                    </w:rPr>
                    <w:t>≥</w:t>
                  </w:r>
                  <w:r>
                    <w:rPr>
                      <w:rFonts w:ascii="仿宋_GB2312" w:hAnsi="仿宋_GB2312" w:cs="仿宋_GB2312" w:eastAsia="仿宋_GB2312"/>
                      <w:sz w:val="19"/>
                      <w:color w:val="000000"/>
                    </w:rPr>
                    <w:t>8G；硬盘</w:t>
                  </w:r>
                  <w:r>
                    <w:rPr>
                      <w:rFonts w:ascii="仿宋_GB2312" w:hAnsi="仿宋_GB2312" w:cs="仿宋_GB2312" w:eastAsia="仿宋_GB2312"/>
                      <w:sz w:val="19"/>
                    </w:rPr>
                    <w:t>≥</w:t>
                  </w:r>
                  <w:r>
                    <w:rPr>
                      <w:rFonts w:ascii="仿宋_GB2312" w:hAnsi="仿宋_GB2312" w:cs="仿宋_GB2312" w:eastAsia="仿宋_GB2312"/>
                      <w:sz w:val="19"/>
                      <w:color w:val="000000"/>
                    </w:rPr>
                    <w:t>128G；GPU</w:t>
                  </w:r>
                  <w:r>
                    <w:rPr>
                      <w:rFonts w:ascii="仿宋_GB2312" w:hAnsi="仿宋_GB2312" w:cs="仿宋_GB2312" w:eastAsia="仿宋_GB2312"/>
                      <w:sz w:val="19"/>
                    </w:rPr>
                    <w:t>≥</w:t>
                  </w:r>
                  <w:r>
                    <w:rPr>
                      <w:rFonts w:ascii="仿宋_GB2312" w:hAnsi="仿宋_GB2312" w:cs="仿宋_GB2312" w:eastAsia="仿宋_GB2312"/>
                      <w:sz w:val="19"/>
                      <w:color w:val="000000"/>
                    </w:rPr>
                    <w:t>NVIDIA Volta架构；显存</w:t>
                  </w:r>
                  <w:r>
                    <w:rPr>
                      <w:rFonts w:ascii="仿宋_GB2312" w:hAnsi="仿宋_GB2312" w:cs="仿宋_GB2312" w:eastAsia="仿宋_GB2312"/>
                      <w:sz w:val="19"/>
                    </w:rPr>
                    <w:t>≥</w:t>
                  </w:r>
                  <w:r>
                    <w:rPr>
                      <w:rFonts w:ascii="仿宋_GB2312" w:hAnsi="仿宋_GB2312" w:cs="仿宋_GB2312" w:eastAsia="仿宋_GB2312"/>
                      <w:sz w:val="19"/>
                      <w:color w:val="000000"/>
                    </w:rPr>
                    <w:t>8GB；显示：HDMI和DP；</w:t>
                  </w:r>
                </w:p>
                <w:p>
                  <w:pPr>
                    <w:pStyle w:val="null3"/>
                    <w:jc w:val="both"/>
                  </w:pPr>
                  <w:r>
                    <w:rPr>
                      <w:rFonts w:ascii="仿宋_GB2312" w:hAnsi="仿宋_GB2312" w:cs="仿宋_GB2312" w:eastAsia="仿宋_GB2312"/>
                      <w:sz w:val="19"/>
                      <w:color w:val="000000"/>
                    </w:rPr>
                    <w:t>（2）支持linux嵌入式操作系统，满足嵌入式操作系统教学；</w:t>
                  </w:r>
                </w:p>
                <w:p>
                  <w:pPr>
                    <w:pStyle w:val="null3"/>
                    <w:jc w:val="both"/>
                  </w:pPr>
                  <w:r>
                    <w:rPr>
                      <w:rFonts w:ascii="仿宋_GB2312" w:hAnsi="仿宋_GB2312" w:cs="仿宋_GB2312" w:eastAsia="仿宋_GB2312"/>
                      <w:sz w:val="19"/>
                      <w:color w:val="000000"/>
                    </w:rPr>
                    <w:t>（3）内置Python3.5以上版本的运行环境；</w:t>
                  </w:r>
                </w:p>
                <w:p>
                  <w:pPr>
                    <w:pStyle w:val="null3"/>
                    <w:jc w:val="both"/>
                  </w:pPr>
                  <w:r>
                    <w:rPr>
                      <w:rFonts w:ascii="仿宋_GB2312" w:hAnsi="仿宋_GB2312" w:cs="仿宋_GB2312" w:eastAsia="仿宋_GB2312"/>
                      <w:sz w:val="19"/>
                      <w:color w:val="000000"/>
                    </w:rPr>
                    <w:t>（4）内置语音识别功能，满足语音+视觉+机器人的编程与教学；</w:t>
                  </w:r>
                </w:p>
                <w:p>
                  <w:pPr>
                    <w:pStyle w:val="null3"/>
                    <w:jc w:val="both"/>
                  </w:pPr>
                  <w:r>
                    <w:rPr>
                      <w:rFonts w:ascii="仿宋_GB2312" w:hAnsi="仿宋_GB2312" w:cs="仿宋_GB2312" w:eastAsia="仿宋_GB2312"/>
                      <w:sz w:val="19"/>
                      <w:color w:val="000000"/>
                    </w:rPr>
                    <w:t>（5）内置的AI算法库包括物体分类识别、目标检测、人脸识别、车牌识别、语音处理等，满足基础应用与开发教学；</w:t>
                  </w:r>
                </w:p>
                <w:p>
                  <w:pPr>
                    <w:pStyle w:val="null3"/>
                    <w:jc w:val="both"/>
                  </w:pPr>
                  <w:r>
                    <w:rPr>
                      <w:rFonts w:ascii="仿宋_GB2312" w:hAnsi="仿宋_GB2312" w:cs="仿宋_GB2312" w:eastAsia="仿宋_GB2312"/>
                      <w:sz w:val="19"/>
                      <w:color w:val="000000"/>
                    </w:rPr>
                    <w:t>（6）支持多种类计算机视觉、语音处理、机器人、复杂传感器与智能控制等关键技术的组合实验，可支持多种不同模块同时联动实验。</w:t>
                  </w:r>
                </w:p>
                <w:p>
                  <w:pPr>
                    <w:pStyle w:val="null3"/>
                    <w:numPr>
                      <w:ilvl w:val="0"/>
                      <w:numId w:val="1"/>
                    </w:numPr>
                  </w:pPr>
                  <w:r>
                    <w:rPr>
                      <w:rFonts w:ascii="仿宋_GB2312" w:hAnsi="仿宋_GB2312" w:cs="仿宋_GB2312" w:eastAsia="仿宋_GB2312"/>
                      <w:sz w:val="19"/>
                      <w:b/>
                      <w:color w:val="000000"/>
                    </w:rPr>
                    <w:t>2D视觉系统</w:t>
                  </w:r>
                </w:p>
                <w:p>
                  <w:pPr>
                    <w:pStyle w:val="null3"/>
                    <w:jc w:val="both"/>
                  </w:pPr>
                  <w:r>
                    <w:rPr>
                      <w:rFonts w:ascii="仿宋_GB2312" w:hAnsi="仿宋_GB2312" w:cs="仿宋_GB2312" w:eastAsia="仿宋_GB2312"/>
                      <w:sz w:val="19"/>
                      <w:color w:val="000000"/>
                    </w:rPr>
                    <w:t>（1）摄像头：像</w:t>
                  </w:r>
                  <w:r>
                    <w:rPr>
                      <w:rFonts w:ascii="仿宋_GB2312" w:hAnsi="仿宋_GB2312" w:cs="仿宋_GB2312" w:eastAsia="仿宋_GB2312"/>
                      <w:sz w:val="19"/>
                    </w:rPr>
                    <w:t>≥</w:t>
                  </w:r>
                  <w:r>
                    <w:rPr>
                      <w:rFonts w:ascii="仿宋_GB2312" w:hAnsi="仿宋_GB2312" w:cs="仿宋_GB2312" w:eastAsia="仿宋_GB2312"/>
                      <w:sz w:val="19"/>
                      <w:color w:val="000000"/>
                    </w:rPr>
                    <w:t>30万；分辨率</w:t>
                  </w:r>
                  <w:r>
                    <w:rPr>
                      <w:rFonts w:ascii="仿宋_GB2312" w:hAnsi="仿宋_GB2312" w:cs="仿宋_GB2312" w:eastAsia="仿宋_GB2312"/>
                      <w:sz w:val="19"/>
                    </w:rPr>
                    <w:t>≥</w:t>
                  </w:r>
                  <w:r>
                    <w:rPr>
                      <w:rFonts w:ascii="仿宋_GB2312" w:hAnsi="仿宋_GB2312" w:cs="仿宋_GB2312" w:eastAsia="仿宋_GB2312"/>
                      <w:sz w:val="19"/>
                      <w:color w:val="000000"/>
                    </w:rPr>
                    <w:t>640×480；帧率</w:t>
                  </w:r>
                  <w:r>
                    <w:rPr>
                      <w:rFonts w:ascii="仿宋_GB2312" w:hAnsi="仿宋_GB2312" w:cs="仿宋_GB2312" w:eastAsia="仿宋_GB2312"/>
                      <w:sz w:val="19"/>
                    </w:rPr>
                    <w:t>≥</w:t>
                  </w:r>
                  <w:r>
                    <w:rPr>
                      <w:rFonts w:ascii="仿宋_GB2312" w:hAnsi="仿宋_GB2312" w:cs="仿宋_GB2312" w:eastAsia="仿宋_GB2312"/>
                      <w:sz w:val="19"/>
                      <w:color w:val="000000"/>
                    </w:rPr>
                    <w:t>30fps；</w:t>
                  </w:r>
                </w:p>
                <w:p>
                  <w:pPr>
                    <w:pStyle w:val="null3"/>
                    <w:numPr>
                      <w:ilvl w:val="0"/>
                      <w:numId w:val="1"/>
                    </w:numPr>
                  </w:pPr>
                  <w:r>
                    <w:rPr>
                      <w:rFonts w:ascii="仿宋_GB2312" w:hAnsi="仿宋_GB2312" w:cs="仿宋_GB2312" w:eastAsia="仿宋_GB2312"/>
                      <w:sz w:val="19"/>
                      <w:b/>
                      <w:color w:val="000000"/>
                    </w:rPr>
                    <w:t>深度视觉系统</w:t>
                  </w:r>
                </w:p>
                <w:p>
                  <w:pPr>
                    <w:pStyle w:val="null3"/>
                    <w:jc w:val="both"/>
                  </w:pPr>
                  <w:r>
                    <w:rPr>
                      <w:rFonts w:ascii="仿宋_GB2312" w:hAnsi="仿宋_GB2312" w:cs="仿宋_GB2312" w:eastAsia="仿宋_GB2312"/>
                      <w:sz w:val="19"/>
                      <w:color w:val="000000"/>
                    </w:rPr>
                    <w:t>（1）最小深度距离</w:t>
                  </w:r>
                  <w:r>
                    <w:rPr>
                      <w:rFonts w:ascii="仿宋_GB2312" w:hAnsi="仿宋_GB2312" w:cs="仿宋_GB2312" w:eastAsia="仿宋_GB2312"/>
                      <w:sz w:val="19"/>
                    </w:rPr>
                    <w:t>≥</w:t>
                  </w:r>
                  <w:r>
                    <w:rPr>
                      <w:rFonts w:ascii="仿宋_GB2312" w:hAnsi="仿宋_GB2312" w:cs="仿宋_GB2312" w:eastAsia="仿宋_GB2312"/>
                      <w:sz w:val="19"/>
                      <w:color w:val="000000"/>
                    </w:rPr>
                    <w:t>30cm；深度流输出帧速率</w:t>
                  </w:r>
                  <w:r>
                    <w:rPr>
                      <w:rFonts w:ascii="仿宋_GB2312" w:hAnsi="仿宋_GB2312" w:cs="仿宋_GB2312" w:eastAsia="仿宋_GB2312"/>
                      <w:sz w:val="19"/>
                    </w:rPr>
                    <w:t>≥</w:t>
                  </w:r>
                  <w:r>
                    <w:rPr>
                      <w:rFonts w:ascii="仿宋_GB2312" w:hAnsi="仿宋_GB2312" w:cs="仿宋_GB2312" w:eastAsia="仿宋_GB2312"/>
                      <w:sz w:val="19"/>
                      <w:color w:val="000000"/>
                    </w:rPr>
                    <w:t>30fps； RGB传感器帧速率</w:t>
                  </w:r>
                  <w:r>
                    <w:rPr>
                      <w:rFonts w:ascii="仿宋_GB2312" w:hAnsi="仿宋_GB2312" w:cs="仿宋_GB2312" w:eastAsia="仿宋_GB2312"/>
                      <w:sz w:val="19"/>
                    </w:rPr>
                    <w:t>≥</w:t>
                  </w:r>
                  <w:r>
                    <w:rPr>
                      <w:rFonts w:ascii="仿宋_GB2312" w:hAnsi="仿宋_GB2312" w:cs="仿宋_GB2312" w:eastAsia="仿宋_GB2312"/>
                      <w:sz w:val="19"/>
                      <w:color w:val="000000"/>
                    </w:rPr>
                    <w:t>30fps；</w:t>
                  </w:r>
                </w:p>
                <w:p>
                  <w:pPr>
                    <w:pStyle w:val="null3"/>
                    <w:jc w:val="both"/>
                  </w:pPr>
                  <w:r>
                    <w:rPr>
                      <w:rFonts w:ascii="仿宋_GB2312" w:hAnsi="仿宋_GB2312" w:cs="仿宋_GB2312" w:eastAsia="仿宋_GB2312"/>
                      <w:sz w:val="19"/>
                      <w:color w:val="000000"/>
                    </w:rPr>
                    <w:t>（2）支持对视野中的人脸进行识别与跟踪，并输出处理结果；</w:t>
                  </w:r>
                </w:p>
                <w:p>
                  <w:pPr>
                    <w:pStyle w:val="null3"/>
                    <w:jc w:val="both"/>
                  </w:pPr>
                  <w:r>
                    <w:rPr>
                      <w:rFonts w:ascii="仿宋_GB2312" w:hAnsi="仿宋_GB2312" w:cs="仿宋_GB2312" w:eastAsia="仿宋_GB2312"/>
                      <w:sz w:val="19"/>
                      <w:color w:val="000000"/>
                    </w:rPr>
                    <w:t>（3）支持对视野中的动态目标进行识别与跟踪，并输出处理结果；</w:t>
                  </w:r>
                </w:p>
                <w:p>
                  <w:pPr>
                    <w:pStyle w:val="null3"/>
                    <w:jc w:val="both"/>
                  </w:pPr>
                  <w:r>
                    <w:rPr>
                      <w:rFonts w:ascii="仿宋_GB2312" w:hAnsi="仿宋_GB2312" w:cs="仿宋_GB2312" w:eastAsia="仿宋_GB2312"/>
                      <w:sz w:val="19"/>
                      <w:color w:val="000000"/>
                    </w:rPr>
                    <w:t>（4）支持实时的脸部特征抽取，可对当前视野中出现的人脸进行实时分析，获取人脸的脸部特征数据。</w:t>
                  </w:r>
                </w:p>
                <w:p>
                  <w:pPr>
                    <w:pStyle w:val="null3"/>
                    <w:numPr>
                      <w:ilvl w:val="0"/>
                      <w:numId w:val="1"/>
                    </w:numPr>
                  </w:pPr>
                  <w:r>
                    <w:rPr>
                      <w:rFonts w:ascii="仿宋_GB2312" w:hAnsi="仿宋_GB2312" w:cs="仿宋_GB2312" w:eastAsia="仿宋_GB2312"/>
                      <w:sz w:val="19"/>
                      <w:b/>
                      <w:color w:val="000000"/>
                    </w:rPr>
                    <w:t>语音识别单元</w:t>
                  </w:r>
                </w:p>
                <w:p>
                  <w:pPr>
                    <w:pStyle w:val="null3"/>
                    <w:jc w:val="both"/>
                  </w:pPr>
                  <w:r>
                    <w:rPr>
                      <w:rFonts w:ascii="仿宋_GB2312" w:hAnsi="仿宋_GB2312" w:cs="仿宋_GB2312" w:eastAsia="仿宋_GB2312"/>
                      <w:sz w:val="19"/>
                      <w:color w:val="000000"/>
                    </w:rPr>
                    <w:t>（1）即插即用，兼容win10、Linux系统；供电：5V；</w:t>
                  </w:r>
                </w:p>
                <w:p>
                  <w:pPr>
                    <w:pStyle w:val="null3"/>
                    <w:jc w:val="both"/>
                  </w:pPr>
                  <w:r>
                    <w:rPr>
                      <w:rFonts w:ascii="仿宋_GB2312" w:hAnsi="仿宋_GB2312" w:cs="仿宋_GB2312" w:eastAsia="仿宋_GB2312"/>
                      <w:sz w:val="19"/>
                      <w:color w:val="000000"/>
                    </w:rPr>
                    <w:t>（2）支持用户自定义指令，并控制机器人、视觉、传感器等组件执行指定的动作。</w:t>
                  </w:r>
                </w:p>
                <w:p>
                  <w:pPr>
                    <w:pStyle w:val="null3"/>
                    <w:numPr>
                      <w:ilvl w:val="0"/>
                      <w:numId w:val="1"/>
                    </w:numPr>
                  </w:pPr>
                  <w:r>
                    <w:rPr>
                      <w:rFonts w:ascii="仿宋_GB2312" w:hAnsi="仿宋_GB2312" w:cs="仿宋_GB2312" w:eastAsia="仿宋_GB2312"/>
                      <w:sz w:val="19"/>
                      <w:b/>
                      <w:color w:val="000000"/>
                    </w:rPr>
                    <w:t>机械手臂</w:t>
                  </w:r>
                </w:p>
                <w:p>
                  <w:pPr>
                    <w:pStyle w:val="null3"/>
                    <w:jc w:val="both"/>
                  </w:pPr>
                  <w:r>
                    <w:rPr>
                      <w:rFonts w:ascii="仿宋_GB2312" w:hAnsi="仿宋_GB2312" w:cs="仿宋_GB2312" w:eastAsia="仿宋_GB2312"/>
                      <w:sz w:val="19"/>
                      <w:color w:val="000000"/>
                    </w:rPr>
                    <w:t>（1）基础参数：有效负载≥200g；有效抓取范围半径≥15cm；自由度</w:t>
                  </w:r>
                  <w:r>
                    <w:rPr>
                      <w:rFonts w:ascii="仿宋_GB2312" w:hAnsi="仿宋_GB2312" w:cs="仿宋_GB2312" w:eastAsia="仿宋_GB2312"/>
                      <w:sz w:val="19"/>
                    </w:rPr>
                    <w:t>≥</w:t>
                  </w:r>
                  <w:r>
                    <w:rPr>
                      <w:rFonts w:ascii="仿宋_GB2312" w:hAnsi="仿宋_GB2312" w:cs="仿宋_GB2312" w:eastAsia="仿宋_GB2312"/>
                      <w:sz w:val="19"/>
                      <w:color w:val="000000"/>
                    </w:rPr>
                    <w:t>5自由度加夹持臂；</w:t>
                  </w:r>
                </w:p>
                <w:p>
                  <w:pPr>
                    <w:pStyle w:val="null3"/>
                    <w:jc w:val="both"/>
                  </w:pPr>
                  <w:r>
                    <w:rPr>
                      <w:rFonts w:ascii="仿宋_GB2312" w:hAnsi="仿宋_GB2312" w:cs="仿宋_GB2312" w:eastAsia="仿宋_GB2312"/>
                      <w:sz w:val="19"/>
                      <w:color w:val="000000"/>
                    </w:rPr>
                    <w:t>（2）支持逆运动学控制；</w:t>
                  </w:r>
                </w:p>
                <w:p>
                  <w:pPr>
                    <w:pStyle w:val="null3"/>
                    <w:jc w:val="both"/>
                  </w:pPr>
                  <w:r>
                    <w:rPr>
                      <w:rFonts w:ascii="仿宋_GB2312" w:hAnsi="仿宋_GB2312" w:cs="仿宋_GB2312" w:eastAsia="仿宋_GB2312"/>
                      <w:sz w:val="19"/>
                      <w:color w:val="000000"/>
                    </w:rPr>
                    <w:t>（3）支持语音控制机器人运动。</w:t>
                  </w:r>
                </w:p>
                <w:p>
                  <w:pPr>
                    <w:pStyle w:val="null3"/>
                    <w:numPr>
                      <w:ilvl w:val="0"/>
                      <w:numId w:val="1"/>
                    </w:numPr>
                  </w:pPr>
                  <w:r>
                    <w:rPr>
                      <w:rFonts w:ascii="仿宋_GB2312" w:hAnsi="仿宋_GB2312" w:cs="仿宋_GB2312" w:eastAsia="仿宋_GB2312"/>
                      <w:sz w:val="19"/>
                      <w:b/>
                      <w:color w:val="000000"/>
                    </w:rPr>
                    <w:t>嵌入式传感器</w:t>
                  </w:r>
                </w:p>
                <w:p>
                  <w:pPr>
                    <w:pStyle w:val="null3"/>
                    <w:jc w:val="both"/>
                  </w:pPr>
                  <w:r>
                    <w:rPr>
                      <w:rFonts w:ascii="仿宋_GB2312" w:hAnsi="仿宋_GB2312" w:cs="仿宋_GB2312" w:eastAsia="仿宋_GB2312"/>
                      <w:sz w:val="19"/>
                      <w:color w:val="000000"/>
                    </w:rPr>
                    <w:t>包括超声波传感器、人体检测传感器、温湿度传感器等组成。每一个传感器均可与边缘计算终端连接，根据用户编辑的功能执行相应的动作。</w:t>
                  </w:r>
                </w:p>
                <w:p>
                  <w:pPr>
                    <w:pStyle w:val="null3"/>
                    <w:numPr>
                      <w:ilvl w:val="0"/>
                      <w:numId w:val="1"/>
                    </w:numPr>
                  </w:pPr>
                  <w:r>
                    <w:rPr>
                      <w:rFonts w:ascii="仿宋_GB2312" w:hAnsi="仿宋_GB2312" w:cs="仿宋_GB2312" w:eastAsia="仿宋_GB2312"/>
                      <w:sz w:val="19"/>
                      <w:b/>
                      <w:color w:val="000000"/>
                    </w:rPr>
                    <w:t>高清显示屏</w:t>
                  </w:r>
                </w:p>
                <w:p>
                  <w:pPr>
                    <w:pStyle w:val="null3"/>
                    <w:jc w:val="both"/>
                  </w:pPr>
                  <w:r>
                    <w:rPr>
                      <w:rFonts w:ascii="仿宋_GB2312" w:hAnsi="仿宋_GB2312" w:cs="仿宋_GB2312" w:eastAsia="仿宋_GB2312"/>
                      <w:sz w:val="19"/>
                      <w:color w:val="000000"/>
                    </w:rPr>
                    <w:t>窄边框设计，屏幕尺寸≥17寸；1920×1080高清分辨率；IPS硬屏；钢化玻璃面板；接口：USB、HDMI、电源。</w:t>
                  </w:r>
                </w:p>
                <w:p>
                  <w:pPr>
                    <w:pStyle w:val="null3"/>
                    <w:jc w:val="both"/>
                  </w:pPr>
                  <w:r>
                    <w:rPr>
                      <w:rFonts w:ascii="仿宋_GB2312" w:hAnsi="仿宋_GB2312" w:cs="仿宋_GB2312" w:eastAsia="仿宋_GB2312"/>
                      <w:sz w:val="19"/>
                      <w:b/>
                      <w:color w:val="000000"/>
                    </w:rPr>
                    <w:t>课程及实训资源</w:t>
                  </w:r>
                </w:p>
                <w:p>
                  <w:pPr>
                    <w:pStyle w:val="null3"/>
                    <w:jc w:val="both"/>
                  </w:pPr>
                  <w:r>
                    <w:rPr>
                      <w:rFonts w:ascii="仿宋_GB2312" w:hAnsi="仿宋_GB2312" w:cs="仿宋_GB2312" w:eastAsia="仿宋_GB2312"/>
                      <w:sz w:val="19"/>
                    </w:rPr>
                    <w:t xml:space="preserve"> 提供《Python程序设计》、《机器学习》、《深度学习》、《机器视觉》与《基于视觉的机器人应用》等人工智能相关课程实训资源，多行业实拍数据集及检测方案，并配套完整实验与技术文档，开放全部软件框架和算法级源代码，支持二次开发，设备交付时提供完善的实验指导书和技术文档，全面满足教学实训及开发需求。</w:t>
                  </w:r>
                </w:p>
              </w:tc>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套</w:t>
                  </w:r>
                </w:p>
              </w:tc>
              <w:tc>
                <w:tcPr>
                  <w:tcW w:type="dxa" w:w="22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2</w:t>
                  </w:r>
                </w:p>
              </w:tc>
              <w:tc>
                <w:tcPr>
                  <w:tcW w:type="dxa" w:w="3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移动机器人应用开发平台</w:t>
                  </w:r>
                  <w:r>
                    <w:rPr>
                      <w:rFonts w:ascii="仿宋_GB2312" w:hAnsi="仿宋_GB2312" w:cs="仿宋_GB2312" w:eastAsia="仿宋_GB2312"/>
                      <w:sz w:val="19"/>
                      <w:color w:val="000000"/>
                    </w:rPr>
                    <w:t>（</w:t>
                  </w:r>
                  <w:r>
                    <w:rPr>
                      <w:rFonts w:ascii="仿宋_GB2312" w:hAnsi="仿宋_GB2312" w:cs="仿宋_GB2312" w:eastAsia="仿宋_GB2312"/>
                      <w:sz w:val="19"/>
                      <w:color w:val="000000"/>
                    </w:rPr>
                    <w:t>核心产品</w:t>
                  </w:r>
                  <w:r>
                    <w:rPr>
                      <w:rFonts w:ascii="仿宋_GB2312" w:hAnsi="仿宋_GB2312" w:cs="仿宋_GB2312" w:eastAsia="仿宋_GB2312"/>
                      <w:sz w:val="19"/>
                      <w:color w:val="000000"/>
                    </w:rPr>
                    <w:t>）</w:t>
                  </w:r>
                </w:p>
              </w:tc>
              <w:tc>
                <w:tcPr>
                  <w:tcW w:type="dxa" w:w="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以移动机器人为载体，配置视觉、激光雷达、语音、运动、超声波等各类传感器，使得机器人具备环境感知、路径规划、智能控制等多重功能。</w:t>
                  </w:r>
                </w:p>
              </w:tc>
              <w:tc>
                <w:tcPr>
                  <w:tcW w:type="dxa" w:w="13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pPr>
                  <w:r>
                    <w:rPr>
                      <w:rFonts w:ascii="仿宋_GB2312" w:hAnsi="仿宋_GB2312" w:cs="仿宋_GB2312" w:eastAsia="仿宋_GB2312"/>
                      <w:sz w:val="19"/>
                      <w:b/>
                      <w:color w:val="000000"/>
                    </w:rPr>
                    <w:t>系统性能</w:t>
                  </w:r>
                  <w:r>
                    <w:rPr>
                      <w:rFonts w:ascii="仿宋_GB2312" w:hAnsi="仿宋_GB2312" w:cs="仿宋_GB2312" w:eastAsia="仿宋_GB2312"/>
                      <w:sz w:val="19"/>
                    </w:rPr>
                    <w:t xml:space="preserve"> </w:t>
                  </w:r>
                </w:p>
                <w:p>
                  <w:pPr>
                    <w:pStyle w:val="null3"/>
                    <w:jc w:val="both"/>
                  </w:pPr>
                  <w:r>
                    <w:rPr>
                      <w:rFonts w:ascii="仿宋_GB2312" w:hAnsi="仿宋_GB2312" w:cs="仿宋_GB2312" w:eastAsia="仿宋_GB2312"/>
                      <w:sz w:val="19"/>
                      <w:color w:val="000000"/>
                    </w:rPr>
                    <w:t>（1）硬件平台  自重</w:t>
                  </w:r>
                  <w:r>
                    <w:rPr>
                      <w:rFonts w:ascii="仿宋_GB2312" w:hAnsi="仿宋_GB2312" w:cs="仿宋_GB2312" w:eastAsia="仿宋_GB2312"/>
                      <w:sz w:val="19"/>
                    </w:rPr>
                    <w:t>≥</w:t>
                  </w:r>
                  <w:r>
                    <w:rPr>
                      <w:rFonts w:ascii="仿宋_GB2312" w:hAnsi="仿宋_GB2312" w:cs="仿宋_GB2312" w:eastAsia="仿宋_GB2312"/>
                      <w:sz w:val="19"/>
                      <w:color w:val="000000"/>
                    </w:rPr>
                    <w:t>5kg；最大负载</w:t>
                  </w:r>
                  <w:r>
                    <w:rPr>
                      <w:rFonts w:ascii="仿宋_GB2312" w:hAnsi="仿宋_GB2312" w:cs="仿宋_GB2312" w:eastAsia="仿宋_GB2312"/>
                      <w:sz w:val="19"/>
                    </w:rPr>
                    <w:t>≥</w:t>
                  </w:r>
                  <w:r>
                    <w:rPr>
                      <w:rFonts w:ascii="仿宋_GB2312" w:hAnsi="仿宋_GB2312" w:cs="仿宋_GB2312" w:eastAsia="仿宋_GB2312"/>
                      <w:sz w:val="19"/>
                      <w:color w:val="000000"/>
                    </w:rPr>
                    <w:t>3kg。</w:t>
                  </w:r>
                </w:p>
                <w:p>
                  <w:pPr>
                    <w:pStyle w:val="null3"/>
                    <w:jc w:val="both"/>
                  </w:pPr>
                  <w:r>
                    <w:rPr>
                      <w:rFonts w:ascii="仿宋_GB2312" w:hAnsi="仿宋_GB2312" w:cs="仿宋_GB2312" w:eastAsia="仿宋_GB2312"/>
                      <w:sz w:val="19"/>
                      <w:color w:val="000000"/>
                    </w:rPr>
                    <w:t>（2）电池及续航  锂电池容量</w:t>
                  </w:r>
                  <w:r>
                    <w:rPr>
                      <w:rFonts w:ascii="仿宋_GB2312" w:hAnsi="仿宋_GB2312" w:cs="仿宋_GB2312" w:eastAsia="仿宋_GB2312"/>
                      <w:sz w:val="19"/>
                    </w:rPr>
                    <w:t>≥</w:t>
                  </w:r>
                  <w:r>
                    <w:rPr>
                      <w:rFonts w:ascii="仿宋_GB2312" w:hAnsi="仿宋_GB2312" w:cs="仿宋_GB2312" w:eastAsia="仿宋_GB2312"/>
                      <w:sz w:val="19"/>
                      <w:color w:val="000000"/>
                    </w:rPr>
                    <w:t>12V；具有充电保护功能以及过放、过充、短路、过压等多重保护；续航能力</w:t>
                  </w:r>
                  <w:r>
                    <w:rPr>
                      <w:rFonts w:ascii="仿宋_GB2312" w:hAnsi="仿宋_GB2312" w:cs="仿宋_GB2312" w:eastAsia="仿宋_GB2312"/>
                      <w:sz w:val="19"/>
                    </w:rPr>
                    <w:t>≥</w:t>
                  </w:r>
                  <w:r>
                    <w:rPr>
                      <w:rFonts w:ascii="仿宋_GB2312" w:hAnsi="仿宋_GB2312" w:cs="仿宋_GB2312" w:eastAsia="仿宋_GB2312"/>
                      <w:sz w:val="19"/>
                      <w:color w:val="000000"/>
                    </w:rPr>
                    <w:t>3小时。</w:t>
                  </w:r>
                </w:p>
                <w:p>
                  <w:pPr>
                    <w:pStyle w:val="null3"/>
                    <w:numPr>
                      <w:ilvl w:val="0"/>
                      <w:numId w:val="1"/>
                    </w:numPr>
                  </w:pPr>
                  <w:r>
                    <w:rPr>
                      <w:rFonts w:ascii="仿宋_GB2312" w:hAnsi="仿宋_GB2312" w:cs="仿宋_GB2312" w:eastAsia="仿宋_GB2312"/>
                      <w:sz w:val="19"/>
                      <w:b/>
                      <w:color w:val="000000"/>
                    </w:rPr>
                    <w:t>运动控制模块</w:t>
                  </w:r>
                </w:p>
                <w:p>
                  <w:pPr>
                    <w:pStyle w:val="null3"/>
                    <w:jc w:val="both"/>
                  </w:pPr>
                  <w:r>
                    <w:rPr>
                      <w:rFonts w:ascii="仿宋_GB2312" w:hAnsi="仿宋_GB2312" w:cs="仿宋_GB2312" w:eastAsia="仿宋_GB2312"/>
                      <w:sz w:val="19"/>
                      <w:color w:val="000000"/>
                    </w:rPr>
                    <w:t>包括：处理器、激光雷达，STM32控制器，电机、编码器、双路驱动、蓝牙、PS2有线手柄、航模遥控、陀螺仪等。</w:t>
                  </w:r>
                </w:p>
                <w:p>
                  <w:pPr>
                    <w:pStyle w:val="null3"/>
                    <w:numPr>
                      <w:ilvl w:val="0"/>
                      <w:numId w:val="1"/>
                    </w:numPr>
                  </w:pPr>
                  <w:r>
                    <w:rPr>
                      <w:rFonts w:ascii="仿宋_GB2312" w:hAnsi="仿宋_GB2312" w:cs="仿宋_GB2312" w:eastAsia="仿宋_GB2312"/>
                      <w:sz w:val="19"/>
                      <w:b/>
                      <w:color w:val="000000"/>
                    </w:rPr>
                    <w:t>ROS操作系统</w:t>
                  </w:r>
                </w:p>
                <w:p>
                  <w:pPr>
                    <w:pStyle w:val="null3"/>
                    <w:jc w:val="both"/>
                  </w:pPr>
                  <w:r>
                    <w:rPr>
                      <w:rFonts w:ascii="仿宋_GB2312" w:hAnsi="仿宋_GB2312" w:cs="仿宋_GB2312" w:eastAsia="仿宋_GB2312"/>
                      <w:sz w:val="19"/>
                      <w:color w:val="000000"/>
                    </w:rPr>
                    <w:t>ROS操作系统内置于中央处理器内，通过RTOS完成系统任务调度与管理。</w:t>
                  </w:r>
                </w:p>
                <w:p>
                  <w:pPr>
                    <w:pStyle w:val="null3"/>
                    <w:numPr>
                      <w:ilvl w:val="0"/>
                      <w:numId w:val="1"/>
                    </w:numPr>
                  </w:pPr>
                  <w:r>
                    <w:rPr>
                      <w:rFonts w:ascii="仿宋_GB2312" w:hAnsi="仿宋_GB2312" w:cs="仿宋_GB2312" w:eastAsia="仿宋_GB2312"/>
                      <w:sz w:val="19"/>
                      <w:b/>
                      <w:color w:val="000000"/>
                    </w:rPr>
                    <w:t>激光雷达和SLAM建图</w:t>
                  </w:r>
                </w:p>
                <w:p>
                  <w:pPr>
                    <w:pStyle w:val="null3"/>
                    <w:jc w:val="both"/>
                  </w:pPr>
                  <w:r>
                    <w:rPr>
                      <w:rFonts w:ascii="仿宋_GB2312" w:hAnsi="仿宋_GB2312" w:cs="仿宋_GB2312" w:eastAsia="仿宋_GB2312"/>
                      <w:sz w:val="19"/>
                      <w:color w:val="000000"/>
                    </w:rPr>
                    <w:t>（1）最大测距范围</w:t>
                  </w:r>
                  <w:r>
                    <w:rPr>
                      <w:rFonts w:ascii="仿宋_GB2312" w:hAnsi="仿宋_GB2312" w:cs="仿宋_GB2312" w:eastAsia="仿宋_GB2312"/>
                      <w:sz w:val="19"/>
                    </w:rPr>
                    <w:t>≥10m</w:t>
                  </w:r>
                  <w:r>
                    <w:rPr>
                      <w:rFonts w:ascii="仿宋_GB2312" w:hAnsi="仿宋_GB2312" w:cs="仿宋_GB2312" w:eastAsia="仿宋_GB2312"/>
                      <w:sz w:val="19"/>
                      <w:color w:val="000000"/>
                    </w:rPr>
                    <w:t>；最大扫描频率</w:t>
                  </w:r>
                  <w:r>
                    <w:rPr>
                      <w:rFonts w:ascii="仿宋_GB2312" w:hAnsi="仿宋_GB2312" w:cs="仿宋_GB2312" w:eastAsia="仿宋_GB2312"/>
                      <w:sz w:val="19"/>
                    </w:rPr>
                    <w:t>≥</w:t>
                  </w:r>
                  <w:r>
                    <w:rPr>
                      <w:rFonts w:ascii="仿宋_GB2312" w:hAnsi="仿宋_GB2312" w:cs="仿宋_GB2312" w:eastAsia="仿宋_GB2312"/>
                      <w:sz w:val="19"/>
                      <w:color w:val="000000"/>
                    </w:rPr>
                    <w:t>12Hz；测量频率</w:t>
                  </w:r>
                  <w:r>
                    <w:rPr>
                      <w:rFonts w:ascii="仿宋_GB2312" w:hAnsi="仿宋_GB2312" w:cs="仿宋_GB2312" w:eastAsia="仿宋_GB2312"/>
                      <w:sz w:val="19"/>
                    </w:rPr>
                    <w:t>≥</w:t>
                  </w:r>
                  <w:r>
                    <w:rPr>
                      <w:rFonts w:ascii="仿宋_GB2312" w:hAnsi="仿宋_GB2312" w:cs="仿宋_GB2312" w:eastAsia="仿宋_GB2312"/>
                      <w:sz w:val="19"/>
                      <w:color w:val="000000"/>
                    </w:rPr>
                    <w:t>8000Hz；</w:t>
                  </w:r>
                </w:p>
                <w:p>
                  <w:pPr>
                    <w:pStyle w:val="null3"/>
                    <w:jc w:val="both"/>
                  </w:pPr>
                  <w:r>
                    <w:rPr>
                      <w:rFonts w:ascii="仿宋_GB2312" w:hAnsi="仿宋_GB2312" w:cs="仿宋_GB2312" w:eastAsia="仿宋_GB2312"/>
                      <w:sz w:val="19"/>
                      <w:color w:val="000000"/>
                    </w:rPr>
                    <w:t>（2）支持基于ROS操作系统实现激光雷达的点云信息的输出和障碍物的检测；</w:t>
                  </w:r>
                </w:p>
                <w:p>
                  <w:pPr>
                    <w:pStyle w:val="null3"/>
                    <w:jc w:val="both"/>
                  </w:pPr>
                  <w:r>
                    <w:rPr>
                      <w:rFonts w:ascii="仿宋_GB2312" w:hAnsi="仿宋_GB2312" w:cs="仿宋_GB2312" w:eastAsia="仿宋_GB2312"/>
                      <w:sz w:val="19"/>
                      <w:color w:val="000000"/>
                    </w:rPr>
                    <w:t>（3）支持基于算法的学习，并完成地图的构建；</w:t>
                  </w:r>
                </w:p>
                <w:p>
                  <w:pPr>
                    <w:pStyle w:val="null3"/>
                    <w:jc w:val="both"/>
                  </w:pPr>
                  <w:r>
                    <w:rPr>
                      <w:rFonts w:ascii="仿宋_GB2312" w:hAnsi="仿宋_GB2312" w:cs="仿宋_GB2312" w:eastAsia="仿宋_GB2312"/>
                      <w:sz w:val="19"/>
                      <w:color w:val="000000"/>
                    </w:rPr>
                    <w:t>（4）支持基于ROS导航功能包的定位与路径规划。</w:t>
                  </w:r>
                </w:p>
                <w:p>
                  <w:pPr>
                    <w:pStyle w:val="null3"/>
                    <w:numPr>
                      <w:ilvl w:val="0"/>
                      <w:numId w:val="1"/>
                    </w:numPr>
                  </w:pPr>
                  <w:r>
                    <w:rPr>
                      <w:rFonts w:ascii="仿宋_GB2312" w:hAnsi="仿宋_GB2312" w:cs="仿宋_GB2312" w:eastAsia="仿宋_GB2312"/>
                      <w:sz w:val="19"/>
                      <w:b/>
                      <w:color w:val="000000"/>
                    </w:rPr>
                    <w:t>视觉识别系统</w:t>
                  </w:r>
                </w:p>
                <w:p>
                  <w:pPr>
                    <w:pStyle w:val="null3"/>
                    <w:jc w:val="both"/>
                  </w:pPr>
                  <w:r>
                    <w:rPr>
                      <w:rFonts w:ascii="仿宋_GB2312" w:hAnsi="仿宋_GB2312" w:cs="仿宋_GB2312" w:eastAsia="仿宋_GB2312"/>
                      <w:sz w:val="19"/>
                      <w:color w:val="000000"/>
                    </w:rPr>
                    <w:t>（1）分辨率：1920×1080；视频帧率：30fps；</w:t>
                  </w:r>
                </w:p>
                <w:p>
                  <w:pPr>
                    <w:pStyle w:val="null3"/>
                    <w:jc w:val="both"/>
                  </w:pPr>
                  <w:r>
                    <w:rPr>
                      <w:rFonts w:ascii="仿宋_GB2312" w:hAnsi="仿宋_GB2312" w:cs="仿宋_GB2312" w:eastAsia="仿宋_GB2312"/>
                      <w:sz w:val="19"/>
                      <w:color w:val="000000"/>
                    </w:rPr>
                    <w:t>（2）支持进行视野中的动态行人识别与跟踪，并输出处理结果；</w:t>
                  </w:r>
                </w:p>
                <w:p>
                  <w:pPr>
                    <w:pStyle w:val="null3"/>
                    <w:jc w:val="both"/>
                  </w:pPr>
                  <w:r>
                    <w:rPr>
                      <w:rFonts w:ascii="仿宋_GB2312" w:hAnsi="仿宋_GB2312" w:cs="仿宋_GB2312" w:eastAsia="仿宋_GB2312"/>
                      <w:sz w:val="19"/>
                      <w:color w:val="000000"/>
                    </w:rPr>
                    <w:t>（3）支持进行视野中的交通标识识别与判断，并引导机器人执行指定动作。</w:t>
                  </w:r>
                </w:p>
                <w:p>
                  <w:pPr>
                    <w:pStyle w:val="null3"/>
                    <w:numPr>
                      <w:ilvl w:val="0"/>
                      <w:numId w:val="1"/>
                    </w:numPr>
                  </w:pPr>
                  <w:r>
                    <w:rPr>
                      <w:rFonts w:ascii="仿宋_GB2312" w:hAnsi="仿宋_GB2312" w:cs="仿宋_GB2312" w:eastAsia="仿宋_GB2312"/>
                      <w:sz w:val="19"/>
                      <w:b/>
                      <w:color w:val="000000"/>
                    </w:rPr>
                    <w:t>姿态与环境传感系统</w:t>
                  </w:r>
                </w:p>
                <w:p>
                  <w:pPr>
                    <w:pStyle w:val="null3"/>
                    <w:jc w:val="both"/>
                  </w:pPr>
                  <w:r>
                    <w:rPr>
                      <w:rFonts w:ascii="仿宋_GB2312" w:hAnsi="仿宋_GB2312" w:cs="仿宋_GB2312" w:eastAsia="仿宋_GB2312"/>
                      <w:sz w:val="19"/>
                      <w:color w:val="000000"/>
                    </w:rPr>
                    <w:t>（1）配置三轴加速度传感器，可测量维度；</w:t>
                  </w:r>
                </w:p>
                <w:p>
                  <w:pPr>
                    <w:pStyle w:val="null3"/>
                    <w:jc w:val="both"/>
                  </w:pPr>
                  <w:r>
                    <w:rPr>
                      <w:rFonts w:ascii="仿宋_GB2312" w:hAnsi="仿宋_GB2312" w:cs="仿宋_GB2312" w:eastAsia="仿宋_GB2312"/>
                      <w:sz w:val="19"/>
                      <w:color w:val="000000"/>
                    </w:rPr>
                    <w:t>（2）配置各类传感器，可以对障碍物等多种信息检测监测，并实时响应；</w:t>
                  </w:r>
                </w:p>
                <w:p>
                  <w:pPr>
                    <w:pStyle w:val="null3"/>
                    <w:jc w:val="both"/>
                  </w:pPr>
                  <w:r>
                    <w:rPr>
                      <w:rFonts w:ascii="仿宋_GB2312" w:hAnsi="仿宋_GB2312" w:cs="仿宋_GB2312" w:eastAsia="仿宋_GB2312"/>
                      <w:sz w:val="19"/>
                      <w:color w:val="000000"/>
                    </w:rPr>
                    <w:t>（3）可以监测机器人的位姿等信息，并输出相关信息。</w:t>
                  </w:r>
                </w:p>
                <w:p>
                  <w:pPr>
                    <w:pStyle w:val="null3"/>
                    <w:numPr>
                      <w:ilvl w:val="0"/>
                      <w:numId w:val="1"/>
                    </w:numPr>
                  </w:pPr>
                  <w:r>
                    <w:rPr>
                      <w:rFonts w:ascii="仿宋_GB2312" w:hAnsi="仿宋_GB2312" w:cs="仿宋_GB2312" w:eastAsia="仿宋_GB2312"/>
                      <w:sz w:val="19"/>
                      <w:b/>
                      <w:color w:val="000000"/>
                    </w:rPr>
                    <w:t>车载处理单元</w:t>
                  </w:r>
                </w:p>
                <w:p>
                  <w:pPr>
                    <w:pStyle w:val="null3"/>
                    <w:jc w:val="both"/>
                  </w:pPr>
                  <w:r>
                    <w:rPr>
                      <w:rFonts w:ascii="仿宋_GB2312" w:hAnsi="仿宋_GB2312" w:cs="仿宋_GB2312" w:eastAsia="仿宋_GB2312"/>
                      <w:sz w:val="19"/>
                      <w:color w:val="000000"/>
                    </w:rPr>
                    <w:t>（1）处理器：64位四核；GPU：128核；内存：</w:t>
                  </w:r>
                  <w:r>
                    <w:rPr>
                      <w:rFonts w:ascii="仿宋_GB2312" w:hAnsi="仿宋_GB2312" w:cs="仿宋_GB2312" w:eastAsia="仿宋_GB2312"/>
                      <w:sz w:val="19"/>
                    </w:rPr>
                    <w:t>≥</w:t>
                  </w:r>
                  <w:r>
                    <w:rPr>
                      <w:rFonts w:ascii="仿宋_GB2312" w:hAnsi="仿宋_GB2312" w:cs="仿宋_GB2312" w:eastAsia="仿宋_GB2312"/>
                      <w:sz w:val="19"/>
                      <w:color w:val="000000"/>
                    </w:rPr>
                    <w:t>4GB；板载存储：128GB；接口：USB3.0、Micro USB、HDMI等电源接口；</w:t>
                  </w:r>
                </w:p>
                <w:p>
                  <w:pPr>
                    <w:pStyle w:val="null3"/>
                    <w:jc w:val="both"/>
                  </w:pPr>
                  <w:r>
                    <w:rPr>
                      <w:rFonts w:ascii="仿宋_GB2312" w:hAnsi="仿宋_GB2312" w:cs="仿宋_GB2312" w:eastAsia="仿宋_GB2312"/>
                      <w:sz w:val="19"/>
                      <w:color w:val="000000"/>
                    </w:rPr>
                    <w:t>（2）支持linux嵌入式操作系统，满足嵌入式操作系统教学；</w:t>
                  </w:r>
                </w:p>
                <w:p>
                  <w:pPr>
                    <w:pStyle w:val="null3"/>
                    <w:jc w:val="both"/>
                  </w:pPr>
                  <w:r>
                    <w:rPr>
                      <w:rFonts w:ascii="仿宋_GB2312" w:hAnsi="仿宋_GB2312" w:cs="仿宋_GB2312" w:eastAsia="仿宋_GB2312"/>
                      <w:sz w:val="19"/>
                      <w:color w:val="000000"/>
                    </w:rPr>
                    <w:t>（3）支持ROS系统，满足智能机器人系统教学；</w:t>
                  </w:r>
                </w:p>
                <w:p>
                  <w:pPr>
                    <w:pStyle w:val="null3"/>
                    <w:jc w:val="both"/>
                  </w:pPr>
                  <w:r>
                    <w:rPr>
                      <w:rFonts w:ascii="仿宋_GB2312" w:hAnsi="仿宋_GB2312" w:cs="仿宋_GB2312" w:eastAsia="仿宋_GB2312"/>
                      <w:sz w:val="19"/>
                      <w:color w:val="000000"/>
                    </w:rPr>
                    <w:t>（4）内置Python3.5以上版本的运行环境。</w:t>
                  </w:r>
                </w:p>
                <w:p>
                  <w:pPr>
                    <w:pStyle w:val="null3"/>
                    <w:jc w:val="both"/>
                  </w:pPr>
                  <w:r>
                    <w:rPr>
                      <w:rFonts w:ascii="仿宋_GB2312" w:hAnsi="仿宋_GB2312" w:cs="仿宋_GB2312" w:eastAsia="仿宋_GB2312"/>
                      <w:sz w:val="19"/>
                      <w:b/>
                      <w:color w:val="000000"/>
                    </w:rPr>
                    <w:t>课程及实训资源</w:t>
                  </w:r>
                </w:p>
                <w:p>
                  <w:pPr>
                    <w:pStyle w:val="null3"/>
                    <w:jc w:val="both"/>
                  </w:pPr>
                  <w:r>
                    <w:rPr>
                      <w:rFonts w:ascii="仿宋_GB2312" w:hAnsi="仿宋_GB2312" w:cs="仿宋_GB2312" w:eastAsia="仿宋_GB2312"/>
                      <w:sz w:val="19"/>
                    </w:rPr>
                    <w:t>本项目需提供基础实验（训）项目课程资源， 包括但不限于ROS 机器人系统等实训课程资源，配套相关实战案例并开源代码，提供操作说明与技术文档，全部资源支持二次开发，满足日常实践教学需求。</w:t>
                  </w:r>
                </w:p>
              </w:tc>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套</w:t>
                  </w:r>
                </w:p>
              </w:tc>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3</w:t>
                  </w:r>
                </w:p>
              </w:tc>
              <w:tc>
                <w:tcPr>
                  <w:tcW w:type="dxa" w:w="3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学生六边形实训桌</w:t>
                  </w:r>
                </w:p>
              </w:tc>
              <w:tc>
                <w:tcPr>
                  <w:tcW w:type="dxa" w:w="164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六边形实训桌：800*1600*750mm</w:t>
                  </w:r>
                </w:p>
                <w:p>
                  <w:pPr>
                    <w:pStyle w:val="null3"/>
                    <w:jc w:val="left"/>
                  </w:pPr>
                  <w:r>
                    <w:rPr>
                      <w:rFonts w:ascii="仿宋_GB2312" w:hAnsi="仿宋_GB2312" w:cs="仿宋_GB2312" w:eastAsia="仿宋_GB2312"/>
                      <w:sz w:val="19"/>
                    </w:rPr>
                    <w:t>椅子：靠背座椅</w:t>
                  </w:r>
                </w:p>
                <w:p>
                  <w:pPr>
                    <w:pStyle w:val="null3"/>
                    <w:jc w:val="left"/>
                  </w:pPr>
                  <w:r>
                    <w:rPr>
                      <w:rFonts w:ascii="仿宋_GB2312" w:hAnsi="仿宋_GB2312" w:cs="仿宋_GB2312" w:eastAsia="仿宋_GB2312"/>
                      <w:sz w:val="19"/>
                    </w:rPr>
                    <w:t>材料： 环保板，刚性结构</w:t>
                  </w:r>
                </w:p>
              </w:tc>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4</w:t>
                  </w:r>
                </w:p>
              </w:tc>
              <w:tc>
                <w:tcPr>
                  <w:tcW w:type="dxa" w:w="3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教师电脑桌椅</w:t>
                  </w:r>
                </w:p>
              </w:tc>
              <w:tc>
                <w:tcPr>
                  <w:tcW w:type="dxa" w:w="164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长方形将桌1200*60*75mm</w:t>
                  </w:r>
                </w:p>
                <w:p>
                  <w:pPr>
                    <w:pStyle w:val="null3"/>
                    <w:jc w:val="left"/>
                  </w:pPr>
                  <w:r>
                    <w:rPr>
                      <w:rFonts w:ascii="仿宋_GB2312" w:hAnsi="仿宋_GB2312" w:cs="仿宋_GB2312" w:eastAsia="仿宋_GB2312"/>
                      <w:sz w:val="19"/>
                    </w:rPr>
                    <w:t>椅子：靠背座椅</w:t>
                  </w:r>
                </w:p>
                <w:p>
                  <w:pPr>
                    <w:pStyle w:val="null3"/>
                    <w:jc w:val="left"/>
                  </w:pPr>
                  <w:r>
                    <w:rPr>
                      <w:rFonts w:ascii="仿宋_GB2312" w:hAnsi="仿宋_GB2312" w:cs="仿宋_GB2312" w:eastAsia="仿宋_GB2312"/>
                      <w:sz w:val="19"/>
                    </w:rPr>
                    <w:t>材料： 环保板，刚性结构</w:t>
                  </w:r>
                </w:p>
              </w:tc>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5</w:t>
                  </w:r>
                </w:p>
              </w:tc>
              <w:tc>
                <w:tcPr>
                  <w:tcW w:type="dxa" w:w="3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网络交换机及机柜</w:t>
                  </w:r>
                </w:p>
              </w:tc>
              <w:tc>
                <w:tcPr>
                  <w:tcW w:type="dxa" w:w="164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24个千兆端口</w:t>
                  </w:r>
                </w:p>
                <w:p>
                  <w:pPr>
                    <w:pStyle w:val="null3"/>
                    <w:jc w:val="both"/>
                  </w:pPr>
                  <w:r>
                    <w:rPr>
                      <w:rFonts w:ascii="仿宋_GB2312" w:hAnsi="仿宋_GB2312" w:cs="仿宋_GB2312" w:eastAsia="仿宋_GB2312"/>
                      <w:sz w:val="19"/>
                    </w:rPr>
                    <w:t>网络标准：IEEE 802.3 、IEEE 802.3u IEEE 802.3ab、IEEE 802.3x</w:t>
                  </w:r>
                </w:p>
              </w:tc>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6</w:t>
                  </w:r>
                </w:p>
              </w:tc>
              <w:tc>
                <w:tcPr>
                  <w:tcW w:type="dxa" w:w="3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试验箱收纳柜</w:t>
                  </w:r>
                </w:p>
              </w:tc>
              <w:tc>
                <w:tcPr>
                  <w:tcW w:type="dxa" w:w="164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长*宽*高：2.0*0.4*2.0m</w:t>
                  </w:r>
                </w:p>
                <w:p>
                  <w:pPr>
                    <w:pStyle w:val="null3"/>
                    <w:jc w:val="both"/>
                  </w:pPr>
                  <w:r>
                    <w:rPr>
                      <w:rFonts w:ascii="仿宋_GB2312" w:hAnsi="仿宋_GB2312" w:cs="仿宋_GB2312" w:eastAsia="仿宋_GB2312"/>
                      <w:sz w:val="19"/>
                    </w:rPr>
                    <w:t>材质：环保板，刚性架构</w:t>
                  </w:r>
                </w:p>
              </w:tc>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7</w:t>
                  </w:r>
                </w:p>
              </w:tc>
              <w:tc>
                <w:tcPr>
                  <w:tcW w:type="dxa" w:w="3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文化建设</w:t>
                  </w:r>
                </w:p>
              </w:tc>
              <w:tc>
                <w:tcPr>
                  <w:tcW w:type="dxa" w:w="164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室内文化设计与布置：与所建专业相关的墙面文化建设，亚克力或PVC材质，按照学院要求进行设计，包含运输、人工安装及配套辅料。</w:t>
                  </w:r>
                </w:p>
              </w:tc>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8</w:t>
                  </w:r>
                </w:p>
              </w:tc>
              <w:tc>
                <w:tcPr>
                  <w:tcW w:type="dxa" w:w="3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窗帘</w:t>
                  </w:r>
                </w:p>
              </w:tc>
              <w:tc>
                <w:tcPr>
                  <w:tcW w:type="dxa" w:w="164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窗帘配备并安装调试到位，2.2*4米左右1个，3.5*2.5米左右1个，1*2.2米左右1个，优质遮光材料及配件，具体以现场测量为准。</w:t>
                  </w:r>
                </w:p>
              </w:tc>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组</w:t>
                  </w:r>
                </w:p>
              </w:tc>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9</w:t>
                  </w:r>
                </w:p>
              </w:tc>
              <w:tc>
                <w:tcPr>
                  <w:tcW w:type="dxa" w:w="3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白板</w:t>
                  </w:r>
                </w:p>
              </w:tc>
              <w:tc>
                <w:tcPr>
                  <w:tcW w:type="dxa" w:w="164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90×180cm，优质白板，上墙固定，白板擦及白板笔</w:t>
                  </w:r>
                </w:p>
              </w:tc>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10</w:t>
                  </w:r>
                </w:p>
              </w:tc>
              <w:tc>
                <w:tcPr>
                  <w:tcW w:type="dxa" w:w="3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电路网络改造</w:t>
                  </w:r>
                </w:p>
              </w:tc>
              <w:tc>
                <w:tcPr>
                  <w:tcW w:type="dxa" w:w="164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国标电路改造，包含开关、插座、网口等点位综合布线</w:t>
                  </w:r>
                </w:p>
              </w:tc>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项</w:t>
                  </w:r>
                </w:p>
              </w:tc>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11</w:t>
                  </w:r>
                </w:p>
              </w:tc>
              <w:tc>
                <w:tcPr>
                  <w:tcW w:type="dxa" w:w="3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材料运输:垃圾清运、保洁</w:t>
                  </w:r>
                </w:p>
              </w:tc>
              <w:tc>
                <w:tcPr>
                  <w:tcW w:type="dxa" w:w="164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辅料运输、搬运费、将垃圾由楼上运到物业指定垃圾堆放点的费用。含外运、保洁等</w:t>
                  </w:r>
                </w:p>
              </w:tc>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项</w:t>
                  </w:r>
                </w:p>
              </w:tc>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bl>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drawing>
                <wp:inline distT="0" distR="0" distB="0" distL="0">
                  <wp:extent cx="1621155" cy="919066"/>
                  <wp:docPr id="1" name="Drawing 1" descr="img"/>
                  <a:graphic xmlns:a="http://schemas.openxmlformats.org/drawingml/2006/main">
                    <a:graphicData uri="http://schemas.openxmlformats.org/drawingml/2006/picture">
                      <pic:pic xmlns:pic="http://schemas.openxmlformats.org/drawingml/2006/picture">
                        <pic:nvPicPr>
                          <pic:cNvPr id="0" name="Picture 1" descr="img"/>
                          <pic:cNvPicPr>
                            <a:picLocks noChangeAspect="true"/>
                          </pic:cNvPicPr>
                        </pic:nvPicPr>
                        <pic:blipFill>
                          <a:blip r:embed="rId7"/>
                          <a:stretch>
                            <a:fillRect/>
                          </a:stretch>
                        </pic:blipFill>
                        <pic:spPr>
                          <a:xfrm>
                            <a:off x="0" y="0"/>
                            <a:ext cx="1621155" cy="919066"/>
                          </a:xfrm>
                          <a:prstGeom prst="rect">
                            <a:avLst/>
                          </a:prstGeom>
                        </pic:spPr>
                      </pic:pic>
                    </a:graphicData>
                  </a:graphic>
                </wp:inline>
              </w:drawing>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自合同签订之日起30日历天内完成交付、安装及调试。</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预付款，合同签订后，货物运抵现场并经甲方初步核对数量、外观、型号无误，达到付款条件后，达到付款条件起10个工作日内，支付合同总金额的40.0%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进度款，产品安装调试完成，学校全部设备最终验收合格，乙方持《终验合格单》原件并向甲方提供合同总金额的全额增值税专用发票后，达到付款条件起10个工作日内，支付合同总金额的60.0%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1.其他补充事宜 1.1、落实政府采购政策： 1.1.1《关于进一步加大政府采购支持中小企业力度的通知》（财库〔2022〕19号）、《政府采购促进中小企业发展管理办法》（财库〔2020〕46号）、《财政部 司法部关于政府采购支持监狱企业发展有关问题的通知》（财库〔2014〕68号）、《关于促进残疾人就业政府采购政策的通知》（财库〔2017〕141号）。 1.1.2《国务院办公厅关于建立政府强制采购节能产品制度的通知》（国办发〔2007〕51号）、《财政部 发展改革委 生态环境部 市场监管总局关于调整优化节能产品、环境标志产品政府采购执行机制的通知》（财库〔2019〕9号）、《关于印发环境标志产品政府采购品目清单的通知》（财库〔2019〕18号）、《关于印发节能产品政府采购品目清单的通知》（财库〔2019〕19号）。 1.1.3《关于运用政府采购政策支持乡村产业振兴的通知》（财库〔2021〕19 号）、《关于印发&lt;关于深入开展政府采购脱贫地区农副产品工作推进乡村产业振兴的实施意见&gt;的通知》（财库〔2021〕20 号）。 1.1.4《国家互联网信息办公室 工业和信息化部 公安部 财政部 国家认证认可监督管理委员会关于调整网络安全专用产品安全管理有关事项的公告》（2023年第1号）。 1.1.5《陕西省财政厅关于加快推进我省中小企业政府采购信用融资工作的通知》（陕财办采〔2020〕15 号）、《陕西省财政厅关于印发&lt;陕西省中小企业政府采购信用融资办法&gt;的通知》（陕财办采〔2018〕23 号）。 1.1.6《关于扩大政府采购支持绿色建材促进建筑品质提升政策实施范围的通知》（财库〔2022〕35号）、《财政部办公厅 住房城乡建设部办公厅 工业和信息化部办公厅关于印发&lt;政府采购支持绿色建材促进建筑品质提升政策项目实施指南&gt;的通知》（财办库〔2023〕52号）。 1.1.7《国务院办公厅关于在政府采购中实施本国产品标准及相关政策的通知》（国办发〔2025〕34号）。</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投标人需在项目电子化交易系统中按要求填写《投标函》完成承诺并在资格证明材料中响应同时进行电子签章。</w:t>
            </w:r>
          </w:p>
        </w:tc>
        <w:tc>
          <w:tcPr>
            <w:tcW w:type="dxa" w:w="1661"/>
          </w:tcPr>
          <w:p>
            <w:pPr>
              <w:pStyle w:val="null3"/>
            </w:pPr>
            <w:r>
              <w:rPr>
                <w:rFonts w:ascii="仿宋_GB2312" w:hAnsi="仿宋_GB2312" w:cs="仿宋_GB2312" w:eastAsia="仿宋_GB2312"/>
              </w:rPr>
              <w:t>投标人应提交的相关资格证明材料.docx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财务状况报告：提供（1）或提供（2）： （1）提供2024年或2025年任意一个年度经审计的财务报告，应满足以下要求： ①投标人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2022年10月1日后出具的审计报告应当经过注册会计师行业统一监管平台备案赋码。 ②投标人适用《事业单位会计准则》的，财务报告是指上述指定年度整个会计年度财务报表（不要求必须是经审计的），复印件至少须包括资产负债表、收入支出表（或收入费用表）、财政补助收入支出表。 ③投标人适用《政府会计准则》的，财务报告是指上述指定年度整个会计年度财务报表（不要求必须是经审计的），复印件至少须包括资产负债表、收入费用表。 ④投标人适用《民间非营利组织会计制度》的，财务报告是指上述指定年度整个会计年度财务报表（不要求必须是经审计的），复印件至少须包括资产负债表、业务活动表、现金流量表。 ⑤投标人是上述四种情况以外情况的，按照其依法适用的会计制度、财务规则或会计准则提供财务报表复印件（不要求必须是经审计的）。 （2）提供资信证明原件或复印件，应满足以下要求： ①资信证明须为递交投标文件截止时间前三个月内由投标人基本账户开户银行出具（须提供基本开户信息）。 ②无论开具银行是否标明“复印无效”，投标人提供的复印件在本次投标中予以认可（即不因“复印无效”字样而认定资信证明复印件无效）。 ③银行出具的存款证明不能替代银行资信证明。</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投标人需在项目电子化交易系统中按要求填写《投标函》完成承诺并在资格证明材料中响应同时进行电子签章。</w:t>
            </w:r>
          </w:p>
        </w:tc>
        <w:tc>
          <w:tcPr>
            <w:tcW w:type="dxa" w:w="1661"/>
          </w:tcPr>
          <w:p>
            <w:pPr>
              <w:pStyle w:val="null3"/>
            </w:pPr>
            <w:r>
              <w:rPr>
                <w:rFonts w:ascii="仿宋_GB2312" w:hAnsi="仿宋_GB2312" w:cs="仿宋_GB2312" w:eastAsia="仿宋_GB2312"/>
              </w:rPr>
              <w:t>投标人应提交的相关资格证明材料.docx 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投标人在递交投标文件截止时间前被“信用中国”网站（www.creditchina.gov.cn）和中国政府采购网（www.ccgp.gov.cn）上被列入失信被执行人、重大税收违法失信主体、政府采购严重违法失信行为记录名单的，不得参加投标；（以现场查询截图为准）</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授权书</w:t>
            </w:r>
          </w:p>
        </w:tc>
        <w:tc>
          <w:tcPr>
            <w:tcW w:type="dxa" w:w="3322"/>
          </w:tcPr>
          <w:p>
            <w:pPr>
              <w:pStyle w:val="null3"/>
            </w:pPr>
            <w:r>
              <w:rPr>
                <w:rFonts w:ascii="仿宋_GB2312" w:hAnsi="仿宋_GB2312" w:cs="仿宋_GB2312" w:eastAsia="仿宋_GB2312"/>
              </w:rPr>
              <w:t>投标人参加本项目的合法授权人授权委托书；供应商应授权合法的人员参加投标，其中法定代表人直接参加投标的，须出具法人身份证，并与营业执照上信息一致。法定代表人授权代表参加投标的，须出具法定代表人授权书及授权代表身份证、授权代表本单位证明（提供授权代表在本单位养老保险缴纳证明），被授权人须与开标时签到表的授权人保持一致。</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非联合体</w:t>
            </w:r>
          </w:p>
        </w:tc>
        <w:tc>
          <w:tcPr>
            <w:tcW w:type="dxa" w:w="3322"/>
          </w:tcPr>
          <w:p>
            <w:pPr>
              <w:pStyle w:val="null3"/>
            </w:pPr>
            <w:r>
              <w:rPr>
                <w:rFonts w:ascii="仿宋_GB2312" w:hAnsi="仿宋_GB2312" w:cs="仿宋_GB2312" w:eastAsia="仿宋_GB2312"/>
              </w:rPr>
              <w:t>参与投标人为非联合体（提供声明函）。</w:t>
            </w:r>
          </w:p>
        </w:tc>
        <w:tc>
          <w:tcPr>
            <w:tcW w:type="dxa" w:w="1661"/>
          </w:tcPr>
          <w:p>
            <w:pPr>
              <w:pStyle w:val="null3"/>
            </w:pPr>
            <w:r>
              <w:rPr>
                <w:rFonts w:ascii="仿宋_GB2312" w:hAnsi="仿宋_GB2312" w:cs="仿宋_GB2312" w:eastAsia="仿宋_GB2312"/>
              </w:rPr>
              <w:t>投标人应提交的相关资格证明材料.docx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投标分项报价表.docx 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投标有效期满足招标文件要求的</w:t>
            </w:r>
          </w:p>
        </w:tc>
        <w:tc>
          <w:tcPr>
            <w:tcW w:type="dxa" w:w="1661"/>
          </w:tcPr>
          <w:p>
            <w:pPr>
              <w:pStyle w:val="null3"/>
            </w:pPr>
            <w:r>
              <w:rPr>
                <w:rFonts w:ascii="仿宋_GB2312" w:hAnsi="仿宋_GB2312" w:cs="仿宋_GB2312" w:eastAsia="仿宋_GB2312"/>
              </w:rPr>
              <w:t>投标函 商务应答表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投标文件按招标文件要求签署、盖章</w:t>
            </w:r>
          </w:p>
        </w:tc>
        <w:tc>
          <w:tcPr>
            <w:tcW w:type="dxa" w:w="1661"/>
          </w:tcPr>
          <w:p>
            <w:pPr>
              <w:pStyle w:val="null3"/>
            </w:pPr>
            <w:r>
              <w:rPr>
                <w:rFonts w:ascii="仿宋_GB2312" w:hAnsi="仿宋_GB2312" w:cs="仿宋_GB2312" w:eastAsia="仿宋_GB2312"/>
              </w:rPr>
              <w:t>开标一览表 投标保证金支付凭证或担保函.docx 业绩一览表.docx 中小企业声明函 投标方案或技术方案.docx 商务应答表 投标分项报价表.docx 产品技术参数表 投标人应提交的相关资格证明材料.docx 投标函 残疾人福利性单位声明函 标的清单 关于符合本国产品标准的声明函 投标文件封面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投标人投标报价没有超出采购预算和最高限价</w:t>
            </w:r>
          </w:p>
        </w:tc>
        <w:tc>
          <w:tcPr>
            <w:tcW w:type="dxa" w:w="1661"/>
          </w:tcPr>
          <w:p>
            <w:pPr>
              <w:pStyle w:val="null3"/>
            </w:pPr>
            <w:r>
              <w:rPr>
                <w:rFonts w:ascii="仿宋_GB2312" w:hAnsi="仿宋_GB2312" w:cs="仿宋_GB2312" w:eastAsia="仿宋_GB2312"/>
              </w:rPr>
              <w:t>开标一览表 投标分项报价表.docx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投标保证金已按招标文件规定提交且金额、形式、缴纳时间（投标截止时间前）符合招标文件要求。</w:t>
            </w:r>
          </w:p>
        </w:tc>
        <w:tc>
          <w:tcPr>
            <w:tcW w:type="dxa" w:w="1661"/>
          </w:tcPr>
          <w:p>
            <w:pPr>
              <w:pStyle w:val="null3"/>
            </w:pPr>
            <w:r>
              <w:rPr>
                <w:rFonts w:ascii="仿宋_GB2312" w:hAnsi="仿宋_GB2312" w:cs="仿宋_GB2312" w:eastAsia="仿宋_GB2312"/>
              </w:rPr>
              <w:t>投标保证金支付凭证或担保函.docx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商务要求实质性响应</w:t>
            </w:r>
          </w:p>
        </w:tc>
        <w:tc>
          <w:tcPr>
            <w:tcW w:type="dxa" w:w="3322"/>
          </w:tcPr>
          <w:p>
            <w:pPr>
              <w:pStyle w:val="null3"/>
            </w:pPr>
            <w:r>
              <w:rPr>
                <w:rFonts w:ascii="仿宋_GB2312" w:hAnsi="仿宋_GB2312" w:cs="仿宋_GB2312" w:eastAsia="仿宋_GB2312"/>
              </w:rPr>
              <w:t>投标文件的交货期、交货地点、质保期、付款方式、合同等商务内容符合招标文件要求。</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遵循公平竞争的原则，没有弄虚作假、恶意串通或妨碍其他投标人的竞争行为，损害采购人或者其他投标人的合法权益。</w:t>
            </w:r>
          </w:p>
        </w:tc>
        <w:tc>
          <w:tcPr>
            <w:tcW w:type="dxa" w:w="1661"/>
          </w:tcPr>
          <w:p>
            <w:pPr>
              <w:pStyle w:val="null3"/>
            </w:pPr>
            <w:r>
              <w:rPr>
                <w:rFonts w:ascii="仿宋_GB2312" w:hAnsi="仿宋_GB2312" w:cs="仿宋_GB2312" w:eastAsia="仿宋_GB2312"/>
              </w:rPr>
              <w:t>开标一览表 投标保证金支付凭证或担保函.docx 业绩一览表.docx 中小企业声明函 投标方案或技术方案.docx 商务应答表 投标分项报价表.docx 产品技术参数表 投标人应提交的相关资格证明材料.docx 投标函 残疾人福利性单位声明函 标的清单 关于符合本国产品标准的声明函 投标文件封面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其它</w:t>
            </w:r>
          </w:p>
        </w:tc>
        <w:tc>
          <w:tcPr>
            <w:tcW w:type="dxa" w:w="3322"/>
          </w:tcPr>
          <w:p>
            <w:pPr>
              <w:pStyle w:val="null3"/>
            </w:pPr>
            <w:r>
              <w:rPr>
                <w:rFonts w:ascii="仿宋_GB2312" w:hAnsi="仿宋_GB2312" w:cs="仿宋_GB2312" w:eastAsia="仿宋_GB2312"/>
              </w:rPr>
              <w:t>不存在其它不符合法律法规或招标文件规定的投标无效条款的情形</w:t>
            </w:r>
          </w:p>
        </w:tc>
        <w:tc>
          <w:tcPr>
            <w:tcW w:type="dxa" w:w="1661"/>
          </w:tcPr>
          <w:p>
            <w:pPr>
              <w:pStyle w:val="null3"/>
            </w:pPr>
            <w:r>
              <w:rPr>
                <w:rFonts w:ascii="仿宋_GB2312" w:hAnsi="仿宋_GB2312" w:cs="仿宋_GB2312" w:eastAsia="仿宋_GB2312"/>
              </w:rPr>
              <w:t>投标人应提交的相关资格证明材料.docx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投标人所投产品含有属于政府优先采购产品类别的产品，须按照《财政部 发展改革委 生态环境部 市场监管总局关于调整优化节能产品、环境标志产品政府采购执行机制的通知》（财库〔2019〕9 号）、《关于印发节能产品政府采购品目清单的通知》（财库〔2019〕19 号）、《关于印发环境标志产品政府采购品目清单的通知》（财库〔2019〕18 号）、《市场监管总局关于发布参与实施政府采购节能产品、环境标志产品认证机构名录的公告》（2019 年第 16 号）要求提供国家确定的认证机构出具的、处于有效期之内的节能产品或环境标志产品认证证书，每提供一个得0.5分，满分1分。政府强制采购产品不予加分。 备注：以加盖投标人公章的证明材料为计分依据。</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投标方案或技术方案.docx</w:t>
            </w:r>
          </w:p>
        </w:tc>
      </w:tr>
      <w:tr>
        <w:tc>
          <w:tcPr>
            <w:tcW w:type="dxa" w:w="831"/>
            <w:vMerge/>
          </w:tcP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1、常规项参数指标（共44项，不包含文化建设、窗帘、电路网络改造、材料运输:垃圾清运、保洁），满分44分，有一项不满足扣1分。 注：须提供证明材料，不限于：制造商出具的产品规格表、产品宣传彩页、技术白皮书、制造商官方网站发布的产品信息、说明书、检测报告或相关承诺等等相关证明材料。参数未提供有效证明文件的其参数评审按负偏离计。参数的技术支持资料需在产品技术参数表中标注页码。投标人/制造商提供自身产品的参数，投标文件不能完全复制招标参数。</w:t>
            </w:r>
          </w:p>
        </w:tc>
        <w:tc>
          <w:tcPr>
            <w:tcW w:type="dxa" w:w="831"/>
          </w:tcPr>
          <w:p>
            <w:pPr>
              <w:pStyle w:val="null3"/>
              <w:jc w:val="right"/>
            </w:pPr>
            <w:r>
              <w:rPr>
                <w:rFonts w:ascii="仿宋_GB2312" w:hAnsi="仿宋_GB2312" w:cs="仿宋_GB2312" w:eastAsia="仿宋_GB2312"/>
              </w:rPr>
              <w:t>44.0000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投标人提供所投产品类似合同业绩（2023年1月至今，以合同签订时间为准并提供完整的合同复印件加盖公章），每提供一份得2.5分，满分5分。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投标人根据采购内容及要求制定实施方案。包括但不限于： ①项目实施计划及配送方案； ②设备调试方案； ③人员配备方案（包括但不限于项目负责人、安装调试人员、配送人员、培训人员、售后服务技术人员等）； ④应急预案及特殊情况处理措施； ⑤产品供货渠道（包括但不限于原厂授权、销售协议、代理协议等资料）； ⑥质量保证措施（包括但不限于设备品质、制造工艺、易损易耗品响应方案等）； ⑦售后服务保障内容（包括但不限于质保期内和质保期后的正常维护和维修响应时间等售后服务措施）； ⑧产品使用培训方案（包括但不限于培训安排、培训目的、培训目标、培训计划等）。 评审标准:上述每项方案内容无缺陷得2分，满分为16分。方案内容每存在1处缺陷：扣0.5分，扣完为止； （评审内容中的缺陷是指:内容不完整或缺少关键点、内容描述过于简单、条理不清晰、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投标方案或技术方案.docx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供应商针对本项目提出具体的售后服务方案，方案各部分内容全面详细、阐述条理清晰详尽、符合采购要求。方案内容包含: ①售后服务机构地址，电话联系人、售后服务人员组织； ②售后服务保障措施，产品交付采购方后出现质量问题的响应时间； ③供货不及时、出现残次品等补货换货解决方案； ④售后服务承诺及培训要求。 评审标准:上述每项方案内容无缺陷得1分，满分为4分。方案内容每存在1处缺陷：扣0.5分，扣完为止； （评审内容中的缺陷是指:内容不完整或缺少关键点、内容描述过于简单、条理不清晰、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投标方案或技术方案.docx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投标分项报价表.docx</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满足招标文件要求且投标报价最低的为评标基准价，其价格分为满分。其他投标供应商的价格分统一按照下列公式计算：投标报价得分=（评标基准价/投标报价）×权值。 注：①本项目为货物类采购项目，根据《政府采购促进中小企业发展管理办法》[2020]46号文件规定，仅当投标人所投产品的制造商均为小微企业或监狱企业或残疾人福利性单位时可享受价格扣除10%，投标人须如实填写《中小企业声明函》或《残疾人福利性单位声明函》或《监狱企业的证明文件》。 ②（政府采购货物项目和服务项目中涉及的货物，当采购项目或采购包的采购标的仅包含单一产品时，政府采购活动中既有本国产品又有非本国产品参与竞争的，依法对本国产品给予价格评审优惠，对本国产品的报价给予20%的价格扣除，用扣除后的价格参与评审。当采购项目或者采购包的采购标的中含有多种产品，供应商为该采购项目或者采购包提供的符合本国产品标准的产品成本之和占该供应商提供的全部产品成本之和的比例达到80%以上时，且供应商在投标（响应）文件中对此作出承诺的，则依法对该供应商提供的全部产品给予价格评审优惠，即对该供应商提供的全部产品的总报价给予20%的价格扣除，用扣除后的价格参与评审。全部产品是指货物或服务采购项目或采购包中包含的全部货物、服务产品。）</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投标分项报价表.docx</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详见附件：投标保证金支付凭证或担保函.docx</w:t>
      </w:r>
    </w:p>
    <w:p>
      <w:pPr>
        <w:pStyle w:val="null3"/>
        <w:ind w:firstLine="960"/>
      </w:pPr>
      <w:r>
        <w:rPr>
          <w:rFonts w:ascii="仿宋_GB2312" w:hAnsi="仿宋_GB2312" w:cs="仿宋_GB2312" w:eastAsia="仿宋_GB2312"/>
        </w:rPr>
        <w:t>详见附件：投标方案或技术方案.docx</w:t>
      </w:r>
    </w:p>
    <w:p>
      <w:pPr>
        <w:pStyle w:val="null3"/>
        <w:ind w:firstLine="960"/>
      </w:pPr>
      <w:r>
        <w:rPr>
          <w:rFonts w:ascii="仿宋_GB2312" w:hAnsi="仿宋_GB2312" w:cs="仿宋_GB2312" w:eastAsia="仿宋_GB2312"/>
        </w:rPr>
        <w:t>详见附件：投标分项报价表.docx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详见附件：投标人应提交的相关资格证明材料.docx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详见附件：拟签订的合同文本.docx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 Id="rId7" Target="media/image1.png" Type="http://schemas.openxmlformats.org/officeDocument/2006/relationships/imag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