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705EE">
      <w:pPr>
        <w:spacing w:line="360" w:lineRule="auto"/>
        <w:jc w:val="center"/>
        <w:outlineLvl w:val="0"/>
        <w:rPr>
          <w:rFonts w:eastAsia="仿宋"/>
          <w:sz w:val="32"/>
          <w:szCs w:val="32"/>
        </w:rPr>
      </w:pPr>
      <w:r>
        <w:rPr>
          <w:rStyle w:val="7"/>
          <w:rFonts w:ascii="Times New Roman" w:hAnsi="Times New Roman" w:eastAsia="仿宋"/>
          <w:szCs w:val="32"/>
        </w:rPr>
        <w:t>拟签订的合同</w:t>
      </w:r>
      <w:bookmarkStart w:id="0" w:name="_Hlt487972895"/>
      <w:bookmarkEnd w:id="0"/>
      <w:bookmarkStart w:id="1" w:name="_Toc487900382"/>
      <w:bookmarkStart w:id="2" w:name="_Toc216513788"/>
      <w:r>
        <w:rPr>
          <w:rStyle w:val="7"/>
          <w:rFonts w:ascii="Times New Roman" w:hAnsi="Times New Roman" w:eastAsia="仿宋"/>
          <w:szCs w:val="32"/>
        </w:rPr>
        <w:t>文本</w:t>
      </w:r>
    </w:p>
    <w:bookmarkEnd w:id="1"/>
    <w:bookmarkEnd w:id="2"/>
    <w:p w14:paraId="6FD27070">
      <w:pPr>
        <w:tabs>
          <w:tab w:val="left" w:pos="735"/>
        </w:tabs>
        <w:autoSpaceDE w:val="0"/>
        <w:autoSpaceDN w:val="0"/>
        <w:adjustRightInd w:val="0"/>
        <w:snapToGrid w:val="0"/>
        <w:spacing w:before="312" w:beforeLines="100" w:line="360" w:lineRule="auto"/>
        <w:rPr>
          <w:rFonts w:eastAsia="仿宋"/>
          <w:b/>
          <w:bCs/>
          <w:sz w:val="24"/>
          <w:lang w:val="zh-CN"/>
        </w:rPr>
      </w:pPr>
      <w:r>
        <w:rPr>
          <w:rFonts w:eastAsia="仿宋"/>
          <w:b/>
          <w:bCs/>
          <w:sz w:val="24"/>
          <w:lang w:val="zh-CN"/>
        </w:rPr>
        <w:t>甲方：</w:t>
      </w:r>
      <w:r>
        <w:rPr>
          <w:rFonts w:eastAsia="仿宋"/>
          <w:bCs/>
          <w:sz w:val="24"/>
          <w:lang w:val="zh-CN"/>
        </w:rPr>
        <w:t>（前款所称采购人）     住所：</w:t>
      </w:r>
    </w:p>
    <w:p w14:paraId="532724FF">
      <w:pPr>
        <w:tabs>
          <w:tab w:val="left" w:pos="735"/>
        </w:tabs>
        <w:autoSpaceDE w:val="0"/>
        <w:autoSpaceDN w:val="0"/>
        <w:adjustRightInd w:val="0"/>
        <w:snapToGrid w:val="0"/>
        <w:spacing w:line="360" w:lineRule="auto"/>
        <w:rPr>
          <w:rFonts w:eastAsia="仿宋"/>
          <w:bCs/>
          <w:sz w:val="24"/>
          <w:lang w:val="zh-CN"/>
        </w:rPr>
      </w:pPr>
      <w:r>
        <w:rPr>
          <w:rFonts w:eastAsia="仿宋"/>
          <w:b/>
          <w:bCs/>
          <w:sz w:val="24"/>
          <w:lang w:val="zh-CN"/>
        </w:rPr>
        <w:t>乙方：</w:t>
      </w:r>
      <w:r>
        <w:rPr>
          <w:rFonts w:eastAsia="仿宋"/>
          <w:bCs/>
          <w:sz w:val="24"/>
          <w:lang w:val="zh-CN"/>
        </w:rPr>
        <w:t>（前款所称中标人）     住所：</w:t>
      </w:r>
    </w:p>
    <w:p w14:paraId="04F96AC5">
      <w:pPr>
        <w:pStyle w:val="4"/>
        <w:rPr>
          <w:rFonts w:ascii="Times New Roman" w:hAnsi="Times New Roman" w:eastAsia="仿宋"/>
          <w:lang w:val="zh-CN"/>
        </w:rPr>
      </w:pPr>
    </w:p>
    <w:p w14:paraId="4EA59D9E">
      <w:pPr>
        <w:numPr>
          <w:ilvl w:val="0"/>
          <w:numId w:val="1"/>
        </w:numPr>
        <w:adjustRightInd w:val="0"/>
        <w:snapToGrid w:val="0"/>
        <w:spacing w:line="360" w:lineRule="auto"/>
        <w:ind w:firstLine="480" w:firstLineChars="200"/>
        <w:rPr>
          <w:rFonts w:eastAsia="仿宋"/>
          <w:sz w:val="24"/>
        </w:rPr>
      </w:pPr>
      <w:bookmarkStart w:id="3" w:name="_Toc19515384"/>
      <w:r>
        <w:rPr>
          <w:rFonts w:eastAsia="仿宋"/>
          <w:sz w:val="24"/>
        </w:rPr>
        <w:t>合同内容（标的、数量、质量等）:</w:t>
      </w:r>
      <w:bookmarkEnd w:id="3"/>
    </w:p>
    <w:p w14:paraId="6EE2A11F">
      <w:pPr>
        <w:adjustRightInd w:val="0"/>
        <w:snapToGrid w:val="0"/>
        <w:spacing w:line="360" w:lineRule="auto"/>
        <w:ind w:firstLine="480" w:firstLineChars="200"/>
        <w:rPr>
          <w:rFonts w:eastAsia="仿宋"/>
          <w:sz w:val="24"/>
        </w:rPr>
      </w:pPr>
      <w:r>
        <w:rPr>
          <w:rFonts w:eastAsia="仿宋"/>
          <w:sz w:val="24"/>
        </w:rPr>
        <w:t>1.内容：人工智能实训室建设</w:t>
      </w:r>
    </w:p>
    <w:p w14:paraId="3EF0E892">
      <w:pPr>
        <w:adjustRightInd w:val="0"/>
        <w:snapToGrid w:val="0"/>
        <w:spacing w:line="360" w:lineRule="auto"/>
        <w:ind w:firstLine="480" w:firstLineChars="200"/>
        <w:rPr>
          <w:rFonts w:eastAsia="仿宋"/>
          <w:sz w:val="24"/>
          <w:highlight w:val="yellow"/>
        </w:rPr>
      </w:pPr>
      <w:r>
        <w:rPr>
          <w:rFonts w:eastAsia="仿宋"/>
          <w:sz w:val="24"/>
        </w:rPr>
        <w:t>2.数量：详见采购清单。</w:t>
      </w:r>
    </w:p>
    <w:p w14:paraId="07F68FD8">
      <w:pPr>
        <w:adjustRightInd w:val="0"/>
        <w:snapToGrid w:val="0"/>
        <w:spacing w:line="360" w:lineRule="auto"/>
        <w:ind w:firstLine="480" w:firstLineChars="200"/>
        <w:rPr>
          <w:rFonts w:eastAsia="仿宋"/>
          <w:sz w:val="24"/>
        </w:rPr>
      </w:pPr>
      <w:r>
        <w:rPr>
          <w:rFonts w:eastAsia="仿宋"/>
          <w:sz w:val="24"/>
        </w:rPr>
        <w:t>3.质量：</w:t>
      </w:r>
    </w:p>
    <w:p w14:paraId="474A7326">
      <w:pPr>
        <w:adjustRightInd w:val="0"/>
        <w:snapToGrid w:val="0"/>
        <w:spacing w:line="360" w:lineRule="auto"/>
        <w:ind w:firstLine="480" w:firstLineChars="200"/>
        <w:rPr>
          <w:rFonts w:eastAsia="仿宋"/>
          <w:sz w:val="24"/>
        </w:rPr>
      </w:pPr>
      <w:bookmarkStart w:id="4" w:name="_Toc19515385"/>
      <w:r>
        <w:rPr>
          <w:rFonts w:eastAsia="仿宋"/>
          <w:sz w:val="24"/>
        </w:rPr>
        <w:t>二、合同价款</w:t>
      </w:r>
      <w:bookmarkEnd w:id="4"/>
    </w:p>
    <w:p w14:paraId="08A1AEF3">
      <w:pPr>
        <w:adjustRightInd w:val="0"/>
        <w:snapToGrid w:val="0"/>
        <w:spacing w:line="360" w:lineRule="auto"/>
        <w:ind w:firstLine="480" w:firstLineChars="200"/>
        <w:rPr>
          <w:rFonts w:eastAsia="仿宋"/>
          <w:sz w:val="24"/>
        </w:rPr>
      </w:pPr>
      <w:r>
        <w:rPr>
          <w:rFonts w:eastAsia="仿宋"/>
          <w:sz w:val="24"/>
        </w:rPr>
        <w:t>1、合同总价：本合同款项金额：</w:t>
      </w:r>
      <w:r>
        <w:rPr>
          <w:rFonts w:eastAsia="仿宋"/>
          <w:sz w:val="24"/>
          <w:u w:val="single"/>
        </w:rPr>
        <w:t xml:space="preserve"> </w:t>
      </w:r>
      <w:r>
        <w:rPr>
          <w:rFonts w:hint="eastAsia" w:eastAsia="仿宋"/>
          <w:sz w:val="24"/>
          <w:u w:val="single"/>
        </w:rPr>
        <w:t xml:space="preserve">    </w:t>
      </w:r>
      <w:r>
        <w:rPr>
          <w:rFonts w:eastAsia="仿宋"/>
          <w:sz w:val="24"/>
          <w:u w:val="single"/>
        </w:rPr>
        <w:t xml:space="preserve">  </w:t>
      </w:r>
      <w:r>
        <w:rPr>
          <w:rFonts w:eastAsia="仿宋"/>
          <w:sz w:val="24"/>
        </w:rPr>
        <w:t>万元</w:t>
      </w:r>
    </w:p>
    <w:p w14:paraId="13EA1D8E">
      <w:pPr>
        <w:adjustRightInd w:val="0"/>
        <w:snapToGrid w:val="0"/>
        <w:spacing w:line="360" w:lineRule="auto"/>
        <w:ind w:firstLine="480" w:firstLineChars="200"/>
        <w:rPr>
          <w:rFonts w:eastAsia="仿宋"/>
          <w:sz w:val="24"/>
        </w:rPr>
      </w:pPr>
      <w:r>
        <w:rPr>
          <w:rFonts w:eastAsia="仿宋"/>
          <w:sz w:val="24"/>
        </w:rPr>
        <w:t>2、合同总价包括：货物费、运杂费、配送费、税费等为完成本项目所需的一切费用。</w:t>
      </w:r>
    </w:p>
    <w:p w14:paraId="71C69DDA">
      <w:pPr>
        <w:adjustRightInd w:val="0"/>
        <w:snapToGrid w:val="0"/>
        <w:spacing w:line="360" w:lineRule="auto"/>
        <w:ind w:firstLine="480" w:firstLineChars="200"/>
        <w:rPr>
          <w:rFonts w:eastAsia="仿宋"/>
        </w:rPr>
      </w:pPr>
      <w:r>
        <w:rPr>
          <w:rFonts w:eastAsia="仿宋"/>
          <w:sz w:val="24"/>
        </w:rPr>
        <w:t>3、本合同为总价包死合同。</w:t>
      </w:r>
    </w:p>
    <w:p w14:paraId="70933978">
      <w:pPr>
        <w:adjustRightInd w:val="0"/>
        <w:snapToGrid w:val="0"/>
        <w:spacing w:line="360" w:lineRule="auto"/>
        <w:ind w:firstLine="480" w:firstLineChars="200"/>
        <w:rPr>
          <w:rFonts w:eastAsia="仿宋"/>
          <w:sz w:val="24"/>
        </w:rPr>
      </w:pPr>
      <w:bookmarkStart w:id="5" w:name="_Toc19515386"/>
      <w:r>
        <w:rPr>
          <w:rFonts w:eastAsia="仿宋"/>
          <w:sz w:val="24"/>
        </w:rPr>
        <w:t>三、合同结算</w:t>
      </w:r>
      <w:bookmarkEnd w:id="5"/>
    </w:p>
    <w:p w14:paraId="30234815">
      <w:pPr>
        <w:adjustRightInd w:val="0"/>
        <w:snapToGrid w:val="0"/>
        <w:spacing w:line="360" w:lineRule="auto"/>
        <w:ind w:firstLine="480" w:firstLineChars="200"/>
        <w:rPr>
          <w:rFonts w:hint="eastAsia" w:eastAsia="仿宋"/>
          <w:sz w:val="24"/>
        </w:rPr>
      </w:pPr>
      <w:r>
        <w:rPr>
          <w:rFonts w:hint="eastAsia" w:eastAsia="仿宋"/>
          <w:sz w:val="24"/>
        </w:rPr>
        <w:t>1、付款比例：</w:t>
      </w:r>
      <w:bookmarkStart w:id="9" w:name="_GoBack"/>
      <w:r>
        <w:rPr>
          <w:rFonts w:hint="eastAsia" w:eastAsia="仿宋"/>
          <w:sz w:val="24"/>
        </w:rPr>
        <w:t>合同签订后，货物运抵现场并经甲方初步核对数量、外观、型号无误后</w:t>
      </w:r>
      <w:bookmarkEnd w:id="9"/>
      <w:r>
        <w:rPr>
          <w:rFonts w:hint="eastAsia" w:eastAsia="仿宋"/>
          <w:sz w:val="24"/>
        </w:rPr>
        <w:t>，乙方开具对应金额的正式发票，甲方在收到发票后10个工作日内，支付合同总金额的40.0%（如遇到假期，双方协商后顺延支付），产品安装调试完成，全部设备经学校最终验收合格并经结算审计后，乙方持《终验合格单》原件并向甲方提供对应金额的正式发票后，甲方在收到发票后10个工作日内，一次性付清。</w:t>
      </w:r>
    </w:p>
    <w:p w14:paraId="7B06046A">
      <w:pPr>
        <w:adjustRightInd w:val="0"/>
        <w:snapToGrid w:val="0"/>
        <w:spacing w:line="360" w:lineRule="auto"/>
        <w:ind w:firstLine="480" w:firstLineChars="200"/>
        <w:rPr>
          <w:rFonts w:eastAsia="仿宋"/>
          <w:sz w:val="24"/>
        </w:rPr>
      </w:pPr>
      <w:r>
        <w:rPr>
          <w:rFonts w:eastAsia="仿宋"/>
          <w:sz w:val="24"/>
        </w:rPr>
        <w:t>2、结算方式：银行转账。供货方向采购方提供按实际付款额开具的国家正式税务发票。</w:t>
      </w:r>
      <w:bookmarkStart w:id="6" w:name="_Toc19515393"/>
    </w:p>
    <w:p w14:paraId="5C82D2BC">
      <w:pPr>
        <w:adjustRightInd w:val="0"/>
        <w:snapToGrid w:val="0"/>
        <w:spacing w:line="360" w:lineRule="auto"/>
        <w:ind w:firstLine="480" w:firstLineChars="200"/>
        <w:rPr>
          <w:rFonts w:eastAsia="仿宋"/>
          <w:sz w:val="24"/>
        </w:rPr>
      </w:pPr>
      <w:r>
        <w:rPr>
          <w:rFonts w:eastAsia="仿宋"/>
          <w:sz w:val="24"/>
        </w:rPr>
        <w:t>四、售后服务</w:t>
      </w:r>
    </w:p>
    <w:p w14:paraId="35608187">
      <w:pPr>
        <w:adjustRightInd w:val="0"/>
        <w:snapToGrid w:val="0"/>
        <w:spacing w:line="360" w:lineRule="auto"/>
        <w:ind w:firstLine="480" w:firstLineChars="200"/>
        <w:rPr>
          <w:rFonts w:eastAsia="仿宋"/>
          <w:sz w:val="24"/>
        </w:rPr>
      </w:pPr>
      <w:r>
        <w:rPr>
          <w:rFonts w:eastAsia="仿宋"/>
          <w:sz w:val="24"/>
        </w:rPr>
        <w:t>1、乙方在接到甲方电话通知后在</w:t>
      </w:r>
      <w:r>
        <w:rPr>
          <w:rFonts w:eastAsia="仿宋"/>
          <w:sz w:val="24"/>
          <w:u w:val="single"/>
        </w:rPr>
        <w:t xml:space="preserve">   </w:t>
      </w:r>
      <w:r>
        <w:rPr>
          <w:rFonts w:eastAsia="仿宋"/>
          <w:sz w:val="24"/>
        </w:rPr>
        <w:t>小时内派出合格的服务人员到达现场进行服务，承担相应费用。</w:t>
      </w:r>
    </w:p>
    <w:p w14:paraId="2BC25B07">
      <w:pPr>
        <w:adjustRightInd w:val="0"/>
        <w:snapToGrid w:val="0"/>
        <w:spacing w:line="360" w:lineRule="auto"/>
        <w:ind w:firstLine="480" w:firstLineChars="200"/>
        <w:rPr>
          <w:rFonts w:eastAsia="仿宋"/>
          <w:sz w:val="24"/>
        </w:rPr>
      </w:pPr>
      <w:r>
        <w:rPr>
          <w:rFonts w:eastAsia="仿宋"/>
          <w:sz w:val="24"/>
        </w:rPr>
        <w:t>2、如果乙方在收到通知后两天内没有弥补缺陷，甲方可采取必要的补救措施，但其风险和费用将由乙方承担，甲方根据合同规定对乙方行使的其它权力不受影响。</w:t>
      </w:r>
    </w:p>
    <w:p w14:paraId="22054989">
      <w:pPr>
        <w:adjustRightInd w:val="0"/>
        <w:snapToGrid w:val="0"/>
        <w:spacing w:line="360" w:lineRule="auto"/>
        <w:ind w:firstLine="480" w:firstLineChars="200"/>
        <w:rPr>
          <w:rFonts w:eastAsia="仿宋"/>
          <w:sz w:val="24"/>
        </w:rPr>
      </w:pPr>
      <w:r>
        <w:rPr>
          <w:rFonts w:eastAsia="仿宋"/>
          <w:sz w:val="24"/>
        </w:rPr>
        <w:t>3、其他乙方响应的售后方案。</w:t>
      </w:r>
    </w:p>
    <w:p w14:paraId="3F4AEC17">
      <w:pPr>
        <w:adjustRightInd w:val="0"/>
        <w:snapToGrid w:val="0"/>
        <w:spacing w:line="360" w:lineRule="auto"/>
        <w:ind w:firstLine="480" w:firstLineChars="200"/>
        <w:rPr>
          <w:rFonts w:eastAsia="仿宋"/>
          <w:sz w:val="24"/>
        </w:rPr>
      </w:pPr>
      <w:r>
        <w:rPr>
          <w:rFonts w:eastAsia="仿宋"/>
          <w:sz w:val="24"/>
        </w:rPr>
        <w:t>五、交货</w:t>
      </w:r>
    </w:p>
    <w:p w14:paraId="692F46B7">
      <w:pPr>
        <w:adjustRightInd w:val="0"/>
        <w:snapToGrid w:val="0"/>
        <w:spacing w:line="360" w:lineRule="auto"/>
        <w:ind w:firstLine="480" w:firstLineChars="200"/>
        <w:rPr>
          <w:rFonts w:eastAsia="仿宋"/>
          <w:sz w:val="24"/>
        </w:rPr>
      </w:pPr>
      <w:r>
        <w:rPr>
          <w:rFonts w:eastAsia="仿宋"/>
          <w:sz w:val="24"/>
        </w:rPr>
        <w:t>1、交货周期：</w:t>
      </w:r>
    </w:p>
    <w:p w14:paraId="0AEC7EEB">
      <w:pPr>
        <w:adjustRightInd w:val="0"/>
        <w:snapToGrid w:val="0"/>
        <w:spacing w:line="360" w:lineRule="auto"/>
        <w:ind w:firstLine="480" w:firstLineChars="200"/>
        <w:rPr>
          <w:rFonts w:eastAsia="仿宋"/>
          <w:sz w:val="24"/>
        </w:rPr>
      </w:pPr>
      <w:r>
        <w:rPr>
          <w:rFonts w:eastAsia="仿宋"/>
          <w:sz w:val="24"/>
        </w:rPr>
        <w:t>2、交货地点：采购方指定地点。</w:t>
      </w:r>
    </w:p>
    <w:p w14:paraId="3F6ADC4C">
      <w:pPr>
        <w:adjustRightInd w:val="0"/>
        <w:snapToGrid w:val="0"/>
        <w:spacing w:line="360" w:lineRule="auto"/>
        <w:ind w:firstLine="480" w:firstLineChars="200"/>
        <w:rPr>
          <w:rFonts w:eastAsia="仿宋"/>
          <w:sz w:val="24"/>
        </w:rPr>
      </w:pPr>
      <w:r>
        <w:rPr>
          <w:rFonts w:eastAsia="仿宋"/>
          <w:sz w:val="24"/>
        </w:rPr>
        <w:t>六、检验与验收</w:t>
      </w:r>
    </w:p>
    <w:p w14:paraId="3A5803D5">
      <w:pPr>
        <w:adjustRightInd w:val="0"/>
        <w:snapToGrid w:val="0"/>
        <w:spacing w:line="360" w:lineRule="auto"/>
        <w:ind w:firstLine="480" w:firstLineChars="200"/>
        <w:rPr>
          <w:rFonts w:eastAsia="仿宋"/>
          <w:sz w:val="24"/>
        </w:rPr>
      </w:pPr>
      <w:r>
        <w:rPr>
          <w:rFonts w:eastAsia="仿宋"/>
          <w:sz w:val="24"/>
        </w:rPr>
        <w:t>1、验收：乙方完成供货内容后，向甲方提出验收申请，甲方接到乙方验收申请后组织验收（必要时可聘请相应专家或委托相应部门验收），验收合格后，出具使用验收合格证明。</w:t>
      </w:r>
    </w:p>
    <w:p w14:paraId="1351CFB6">
      <w:pPr>
        <w:adjustRightInd w:val="0"/>
        <w:snapToGrid w:val="0"/>
        <w:spacing w:line="360" w:lineRule="auto"/>
        <w:ind w:firstLine="480" w:firstLineChars="200"/>
        <w:rPr>
          <w:rFonts w:eastAsia="仿宋"/>
          <w:sz w:val="24"/>
        </w:rPr>
      </w:pPr>
      <w:r>
        <w:rPr>
          <w:rFonts w:eastAsia="仿宋"/>
          <w:sz w:val="24"/>
        </w:rPr>
        <w:t>2、最终验收：最终验收结果作为付款依据，乙方填写验收单，并向甲方提交实施过程中的所有资料，以便甲方日后管理和维护。</w:t>
      </w:r>
    </w:p>
    <w:p w14:paraId="06A6706A">
      <w:pPr>
        <w:adjustRightInd w:val="0"/>
        <w:snapToGrid w:val="0"/>
        <w:spacing w:line="360" w:lineRule="auto"/>
        <w:ind w:firstLine="480" w:firstLineChars="200"/>
        <w:rPr>
          <w:rFonts w:eastAsia="仿宋"/>
          <w:sz w:val="24"/>
        </w:rPr>
      </w:pPr>
      <w:r>
        <w:rPr>
          <w:rFonts w:eastAsia="仿宋"/>
          <w:sz w:val="24"/>
        </w:rPr>
        <w:t>3、质保期满后：由乙方出具质保期运行质量报告，若存在质量问题，应按相应规定协商处理。</w:t>
      </w:r>
    </w:p>
    <w:p w14:paraId="36A74C93">
      <w:pPr>
        <w:adjustRightInd w:val="0"/>
        <w:snapToGrid w:val="0"/>
        <w:spacing w:line="360" w:lineRule="auto"/>
        <w:ind w:firstLine="480" w:firstLineChars="200"/>
        <w:rPr>
          <w:rFonts w:eastAsia="仿宋"/>
          <w:sz w:val="24"/>
        </w:rPr>
      </w:pPr>
      <w:r>
        <w:rPr>
          <w:rFonts w:eastAsia="仿宋"/>
          <w:sz w:val="24"/>
        </w:rPr>
        <w:t>4、验收依据：</w:t>
      </w:r>
    </w:p>
    <w:p w14:paraId="675B81DD">
      <w:pPr>
        <w:adjustRightInd w:val="0"/>
        <w:snapToGrid w:val="0"/>
        <w:spacing w:line="360" w:lineRule="auto"/>
        <w:ind w:firstLine="480" w:firstLineChars="200"/>
        <w:rPr>
          <w:rFonts w:eastAsia="仿宋"/>
          <w:sz w:val="24"/>
        </w:rPr>
      </w:pPr>
      <w:r>
        <w:rPr>
          <w:rFonts w:eastAsia="仿宋"/>
          <w:sz w:val="24"/>
        </w:rPr>
        <w:t>4-1、合同文本、合同附件、招标文件、投标文件。</w:t>
      </w:r>
    </w:p>
    <w:p w14:paraId="025C7404">
      <w:pPr>
        <w:adjustRightInd w:val="0"/>
        <w:snapToGrid w:val="0"/>
        <w:spacing w:line="360" w:lineRule="auto"/>
        <w:ind w:firstLine="480" w:firstLineChars="200"/>
        <w:rPr>
          <w:rFonts w:eastAsia="仿宋"/>
          <w:sz w:val="24"/>
        </w:rPr>
      </w:pPr>
      <w:r>
        <w:rPr>
          <w:rFonts w:eastAsia="仿宋"/>
          <w:sz w:val="24"/>
        </w:rPr>
        <w:t>4-2、国内相应的标准、规范。</w:t>
      </w:r>
    </w:p>
    <w:p w14:paraId="0364344D">
      <w:pPr>
        <w:adjustRightInd w:val="0"/>
        <w:snapToGrid w:val="0"/>
        <w:spacing w:line="360" w:lineRule="auto"/>
        <w:ind w:firstLine="480" w:firstLineChars="200"/>
        <w:rPr>
          <w:rFonts w:eastAsia="仿宋"/>
          <w:sz w:val="24"/>
        </w:rPr>
      </w:pPr>
      <w:r>
        <w:rPr>
          <w:rFonts w:eastAsia="仿宋"/>
          <w:sz w:val="24"/>
        </w:rPr>
        <w:t>4-3招标文件；</w:t>
      </w:r>
    </w:p>
    <w:p w14:paraId="3C20E408">
      <w:pPr>
        <w:adjustRightInd w:val="0"/>
        <w:snapToGrid w:val="0"/>
        <w:spacing w:line="360" w:lineRule="auto"/>
        <w:ind w:firstLine="480" w:firstLineChars="200"/>
        <w:rPr>
          <w:rFonts w:eastAsia="仿宋"/>
          <w:sz w:val="24"/>
        </w:rPr>
      </w:pPr>
      <w:r>
        <w:rPr>
          <w:rFonts w:eastAsia="仿宋"/>
          <w:sz w:val="24"/>
        </w:rPr>
        <w:t>4-4乙方投标文件及服务承诺。</w:t>
      </w:r>
    </w:p>
    <w:p w14:paraId="453A0E72">
      <w:pPr>
        <w:adjustRightInd w:val="0"/>
        <w:snapToGrid w:val="0"/>
        <w:spacing w:line="360" w:lineRule="auto"/>
        <w:ind w:firstLine="480" w:firstLineChars="200"/>
        <w:rPr>
          <w:rFonts w:eastAsia="仿宋"/>
          <w:sz w:val="24"/>
        </w:rPr>
      </w:pPr>
      <w:r>
        <w:rPr>
          <w:rFonts w:eastAsia="仿宋"/>
          <w:sz w:val="24"/>
        </w:rPr>
        <w:t>七、违约责任</w:t>
      </w:r>
    </w:p>
    <w:p w14:paraId="50B3D4E2">
      <w:pPr>
        <w:adjustRightInd w:val="0"/>
        <w:snapToGrid w:val="0"/>
        <w:spacing w:line="360" w:lineRule="auto"/>
        <w:ind w:firstLine="480" w:firstLineChars="200"/>
        <w:rPr>
          <w:rFonts w:eastAsia="仿宋"/>
          <w:sz w:val="24"/>
        </w:rPr>
      </w:pPr>
      <w:r>
        <w:rPr>
          <w:rFonts w:eastAsia="仿宋"/>
          <w:sz w:val="24"/>
        </w:rPr>
        <w:t>1、按《中华人民共和国民法典》中的相关条款执行。</w:t>
      </w:r>
    </w:p>
    <w:p w14:paraId="41A5D0A2">
      <w:pPr>
        <w:adjustRightInd w:val="0"/>
        <w:snapToGrid w:val="0"/>
        <w:spacing w:line="360" w:lineRule="auto"/>
        <w:ind w:firstLine="480" w:firstLineChars="200"/>
        <w:rPr>
          <w:rFonts w:eastAsia="仿宋"/>
          <w:sz w:val="24"/>
        </w:rPr>
      </w:pPr>
      <w:r>
        <w:rPr>
          <w:rFonts w:eastAsia="仿宋"/>
          <w:sz w:val="24"/>
        </w:rPr>
        <w:t>2、乙方履约延误</w:t>
      </w:r>
    </w:p>
    <w:p w14:paraId="30EBEA98">
      <w:pPr>
        <w:adjustRightInd w:val="0"/>
        <w:snapToGrid w:val="0"/>
        <w:spacing w:line="360" w:lineRule="auto"/>
        <w:ind w:firstLine="480" w:firstLineChars="200"/>
        <w:rPr>
          <w:rFonts w:eastAsia="仿宋"/>
          <w:sz w:val="24"/>
        </w:rPr>
      </w:pPr>
      <w:r>
        <w:rPr>
          <w:rFonts w:eastAsia="仿宋"/>
          <w:sz w:val="24"/>
        </w:rPr>
        <w:t>2-1、如乙方事先未征得甲方同意并得到甲方的谅解而单方面延迟执行合同，将按违约终止合同。</w:t>
      </w:r>
    </w:p>
    <w:p w14:paraId="1791BE2F">
      <w:pPr>
        <w:adjustRightInd w:val="0"/>
        <w:snapToGrid w:val="0"/>
        <w:spacing w:line="360" w:lineRule="auto"/>
        <w:ind w:firstLine="480" w:firstLineChars="200"/>
        <w:rPr>
          <w:rFonts w:eastAsia="仿宋"/>
          <w:sz w:val="24"/>
        </w:rPr>
      </w:pPr>
      <w:r>
        <w:rPr>
          <w:rFonts w:eastAsia="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三（3%）计收，直至提供服务为止。误期赔偿费的最高限额为合同价格的百分之三十（30%）。一旦达到误期赔偿费的最高限额，甲方可终止合同。</w:t>
      </w:r>
    </w:p>
    <w:p w14:paraId="2C88385B">
      <w:pPr>
        <w:adjustRightInd w:val="0"/>
        <w:snapToGrid w:val="0"/>
        <w:spacing w:line="360" w:lineRule="auto"/>
        <w:ind w:firstLine="480" w:firstLineChars="200"/>
        <w:rPr>
          <w:rFonts w:eastAsia="仿宋"/>
          <w:sz w:val="24"/>
        </w:rPr>
      </w:pPr>
      <w:r>
        <w:rPr>
          <w:rFonts w:eastAsia="仿宋"/>
          <w:sz w:val="24"/>
        </w:rPr>
        <w:t>3、违约终止合同：未按合同要求提供服务或不能满足技术要求，甲方会同监督机构有权终止合同，对乙方违约行为进行追究，同时按政府采购法的有关规定进行相应的处罚。</w:t>
      </w:r>
    </w:p>
    <w:p w14:paraId="0EE5ACB9">
      <w:pPr>
        <w:adjustRightInd w:val="0"/>
        <w:snapToGrid w:val="0"/>
        <w:spacing w:line="360" w:lineRule="auto"/>
        <w:ind w:firstLine="480" w:firstLineChars="200"/>
        <w:rPr>
          <w:rFonts w:eastAsia="仿宋"/>
          <w:sz w:val="24"/>
        </w:rPr>
      </w:pPr>
      <w:r>
        <w:rPr>
          <w:rFonts w:eastAsia="仿宋"/>
          <w:sz w:val="24"/>
        </w:rPr>
        <w:t>八、合同组成</w:t>
      </w:r>
      <w:bookmarkEnd w:id="6"/>
    </w:p>
    <w:p w14:paraId="59D9F928">
      <w:pPr>
        <w:adjustRightInd w:val="0"/>
        <w:snapToGrid w:val="0"/>
        <w:spacing w:line="360" w:lineRule="auto"/>
        <w:ind w:firstLine="480" w:firstLineChars="200"/>
        <w:rPr>
          <w:rFonts w:eastAsia="仿宋"/>
          <w:sz w:val="24"/>
        </w:rPr>
      </w:pPr>
      <w:r>
        <w:rPr>
          <w:rFonts w:eastAsia="仿宋"/>
          <w:sz w:val="24"/>
        </w:rPr>
        <w:t>1、中标通知书</w:t>
      </w:r>
    </w:p>
    <w:p w14:paraId="245BD3F6">
      <w:pPr>
        <w:adjustRightInd w:val="0"/>
        <w:snapToGrid w:val="0"/>
        <w:spacing w:line="360" w:lineRule="auto"/>
        <w:ind w:firstLine="480" w:firstLineChars="200"/>
        <w:rPr>
          <w:rFonts w:eastAsia="仿宋"/>
          <w:sz w:val="24"/>
        </w:rPr>
      </w:pPr>
      <w:r>
        <w:rPr>
          <w:rFonts w:eastAsia="仿宋"/>
          <w:sz w:val="24"/>
        </w:rPr>
        <w:t>2、合同文件</w:t>
      </w:r>
    </w:p>
    <w:p w14:paraId="537A0A2D">
      <w:pPr>
        <w:adjustRightInd w:val="0"/>
        <w:snapToGrid w:val="0"/>
        <w:spacing w:line="360" w:lineRule="auto"/>
        <w:ind w:firstLine="480" w:firstLineChars="200"/>
        <w:rPr>
          <w:rFonts w:eastAsia="仿宋"/>
          <w:sz w:val="24"/>
        </w:rPr>
      </w:pPr>
      <w:r>
        <w:rPr>
          <w:rFonts w:eastAsia="仿宋"/>
          <w:sz w:val="24"/>
        </w:rPr>
        <w:t>3、国家相关规范及标准</w:t>
      </w:r>
    </w:p>
    <w:p w14:paraId="61405D02">
      <w:pPr>
        <w:adjustRightInd w:val="0"/>
        <w:snapToGrid w:val="0"/>
        <w:spacing w:line="360" w:lineRule="auto"/>
        <w:ind w:firstLine="480" w:firstLineChars="200"/>
        <w:rPr>
          <w:rFonts w:eastAsia="仿宋"/>
          <w:sz w:val="24"/>
        </w:rPr>
      </w:pPr>
      <w:r>
        <w:rPr>
          <w:rFonts w:eastAsia="仿宋"/>
          <w:sz w:val="24"/>
        </w:rPr>
        <w:t>4、招标文件</w:t>
      </w:r>
    </w:p>
    <w:p w14:paraId="60B3B3AE">
      <w:pPr>
        <w:adjustRightInd w:val="0"/>
        <w:snapToGrid w:val="0"/>
        <w:spacing w:line="360" w:lineRule="auto"/>
        <w:ind w:firstLine="480" w:firstLineChars="200"/>
        <w:rPr>
          <w:rFonts w:eastAsia="仿宋"/>
          <w:sz w:val="24"/>
        </w:rPr>
      </w:pPr>
      <w:r>
        <w:rPr>
          <w:rFonts w:eastAsia="仿宋"/>
          <w:sz w:val="24"/>
        </w:rPr>
        <w:t>5、投标文件</w:t>
      </w:r>
    </w:p>
    <w:p w14:paraId="1B7D9D9E">
      <w:pPr>
        <w:adjustRightInd w:val="0"/>
        <w:snapToGrid w:val="0"/>
        <w:spacing w:line="360" w:lineRule="auto"/>
        <w:ind w:firstLine="480" w:firstLineChars="200"/>
        <w:rPr>
          <w:rFonts w:eastAsia="仿宋"/>
          <w:sz w:val="24"/>
        </w:rPr>
      </w:pPr>
      <w:bookmarkStart w:id="7" w:name="_Toc19515394"/>
      <w:r>
        <w:rPr>
          <w:rFonts w:eastAsia="仿宋"/>
          <w:sz w:val="24"/>
        </w:rPr>
        <w:t>九、解决争议的方法</w:t>
      </w:r>
      <w:bookmarkEnd w:id="7"/>
    </w:p>
    <w:p w14:paraId="0209A151">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  ）种争议解决方式：</w:t>
      </w:r>
    </w:p>
    <w:p w14:paraId="71EF83B9">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1、甲、乙双方均同意向（甲方所在地人民法院）提起诉讼。</w:t>
      </w:r>
    </w:p>
    <w:p w14:paraId="4A6390A8">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0D3BBECD">
      <w:pPr>
        <w:adjustRightInd w:val="0"/>
        <w:snapToGrid w:val="0"/>
        <w:spacing w:line="360" w:lineRule="auto"/>
        <w:ind w:firstLine="480" w:firstLineChars="200"/>
        <w:rPr>
          <w:rFonts w:eastAsia="仿宋"/>
          <w:sz w:val="24"/>
        </w:rPr>
      </w:pPr>
      <w:bookmarkStart w:id="8" w:name="_Toc19515395"/>
      <w:r>
        <w:rPr>
          <w:rFonts w:eastAsia="仿宋"/>
          <w:sz w:val="24"/>
        </w:rPr>
        <w:t>十、合同生效及其它</w:t>
      </w:r>
      <w:bookmarkEnd w:id="8"/>
    </w:p>
    <w:p w14:paraId="57F4EECB">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1D144A67">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73909860">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13850EC1">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4、生效时间：</w:t>
      </w:r>
      <w:r>
        <w:rPr>
          <w:rFonts w:eastAsia="仿宋"/>
          <w:kern w:val="0"/>
          <w:sz w:val="24"/>
          <w:u w:val="single"/>
        </w:rPr>
        <w:t xml:space="preserve">   </w:t>
      </w:r>
      <w:r>
        <w:rPr>
          <w:rFonts w:eastAsia="仿宋"/>
          <w:kern w:val="0"/>
          <w:sz w:val="24"/>
        </w:rPr>
        <w:t>年</w:t>
      </w:r>
      <w:r>
        <w:rPr>
          <w:rFonts w:eastAsia="仿宋"/>
          <w:kern w:val="0"/>
          <w:sz w:val="24"/>
          <w:u w:val="single"/>
        </w:rPr>
        <w:t xml:space="preserve">  </w:t>
      </w:r>
      <w:r>
        <w:rPr>
          <w:rFonts w:eastAsia="仿宋"/>
          <w:kern w:val="0"/>
          <w:sz w:val="24"/>
        </w:rPr>
        <w:t>月</w:t>
      </w:r>
      <w:r>
        <w:rPr>
          <w:rFonts w:eastAsia="仿宋"/>
          <w:kern w:val="0"/>
          <w:sz w:val="24"/>
          <w:u w:val="single"/>
        </w:rPr>
        <w:t xml:space="preserve">  </w:t>
      </w:r>
      <w:r>
        <w:rPr>
          <w:rFonts w:eastAsia="仿宋"/>
          <w:kern w:val="0"/>
          <w:sz w:val="24"/>
        </w:rPr>
        <w:t>日</w:t>
      </w:r>
    </w:p>
    <w:p w14:paraId="6E8B696A">
      <w:pPr>
        <w:widowControl/>
        <w:tabs>
          <w:tab w:val="left" w:pos="8391"/>
        </w:tabs>
        <w:autoSpaceDE w:val="0"/>
        <w:autoSpaceDN w:val="0"/>
        <w:snapToGrid w:val="0"/>
        <w:spacing w:line="360" w:lineRule="auto"/>
        <w:ind w:right="-69" w:firstLine="840" w:firstLineChars="350"/>
        <w:textAlignment w:val="bottom"/>
        <w:rPr>
          <w:rFonts w:eastAsia="仿宋"/>
          <w:kern w:val="0"/>
          <w:sz w:val="24"/>
        </w:rPr>
      </w:pPr>
      <w:r>
        <w:rPr>
          <w:rFonts w:eastAsia="仿宋"/>
          <w:kern w:val="0"/>
          <w:sz w:val="24"/>
        </w:rPr>
        <w:br w:type="page"/>
      </w:r>
    </w:p>
    <w:tbl>
      <w:tblPr>
        <w:tblStyle w:val="5"/>
        <w:tblW w:w="9286" w:type="dxa"/>
        <w:jc w:val="center"/>
        <w:tblLayout w:type="fixed"/>
        <w:tblCellMar>
          <w:top w:w="0" w:type="dxa"/>
          <w:left w:w="108" w:type="dxa"/>
          <w:bottom w:w="0" w:type="dxa"/>
          <w:right w:w="108" w:type="dxa"/>
        </w:tblCellMar>
      </w:tblPr>
      <w:tblGrid>
        <w:gridCol w:w="4643"/>
        <w:gridCol w:w="4643"/>
      </w:tblGrid>
      <w:tr w14:paraId="60C890B5">
        <w:tblPrEx>
          <w:tblCellMar>
            <w:top w:w="0" w:type="dxa"/>
            <w:left w:w="108" w:type="dxa"/>
            <w:bottom w:w="0" w:type="dxa"/>
            <w:right w:w="108" w:type="dxa"/>
          </w:tblCellMar>
        </w:tblPrEx>
        <w:trPr>
          <w:jc w:val="center"/>
        </w:trPr>
        <w:tc>
          <w:tcPr>
            <w:tcW w:w="4643" w:type="dxa"/>
          </w:tcPr>
          <w:p w14:paraId="31A98490">
            <w:pPr>
              <w:widowControl/>
              <w:autoSpaceDE w:val="0"/>
              <w:autoSpaceDN w:val="0"/>
              <w:snapToGrid w:val="0"/>
              <w:spacing w:line="360" w:lineRule="auto"/>
              <w:ind w:right="-154"/>
              <w:textAlignment w:val="bottom"/>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14:paraId="2F8A2C44">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4ECDBC37">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3A1271E9">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5DB811EC">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22794DF1">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c>
          <w:tcPr>
            <w:tcW w:w="4643" w:type="dxa"/>
          </w:tcPr>
          <w:p w14:paraId="74D7945B">
            <w:pPr>
              <w:widowControl/>
              <w:autoSpaceDE w:val="0"/>
              <w:autoSpaceDN w:val="0"/>
              <w:snapToGrid w:val="0"/>
              <w:spacing w:line="360" w:lineRule="auto"/>
              <w:ind w:right="-154"/>
              <w:textAlignment w:val="bottom"/>
              <w:rPr>
                <w:rFonts w:eastAsia="仿宋"/>
                <w:kern w:val="0"/>
                <w:sz w:val="24"/>
              </w:rPr>
            </w:pPr>
            <w:r>
              <w:rPr>
                <w:rFonts w:eastAsia="仿宋"/>
                <w:kern w:val="0"/>
                <w:sz w:val="24"/>
              </w:rPr>
              <w:t>乙方名称</w:t>
            </w:r>
            <w:r>
              <w:rPr>
                <w:rFonts w:eastAsia="仿宋"/>
                <w:spacing w:val="-20"/>
                <w:kern w:val="0"/>
                <w:sz w:val="24"/>
              </w:rPr>
              <w:t>（盖章）</w:t>
            </w:r>
            <w:r>
              <w:rPr>
                <w:rFonts w:eastAsia="仿宋"/>
                <w:kern w:val="0"/>
                <w:sz w:val="24"/>
              </w:rPr>
              <w:t>:</w:t>
            </w:r>
          </w:p>
          <w:p w14:paraId="6A93C15C">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3040BA50">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7FE7B42C">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3F522FED">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2D1C2286">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r>
    </w:tbl>
    <w:p w14:paraId="19B05A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AABF0"/>
    <w:multiLevelType w:val="singleLevel"/>
    <w:tmpl w:val="093AABF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F854DA"/>
    <w:rsid w:val="00034E48"/>
    <w:rsid w:val="0023494E"/>
    <w:rsid w:val="00962337"/>
    <w:rsid w:val="00E14D4D"/>
    <w:rsid w:val="0CF854DA"/>
    <w:rsid w:val="17AD665E"/>
    <w:rsid w:val="247B62F4"/>
    <w:rsid w:val="58AC6D4C"/>
    <w:rsid w:val="601D4F28"/>
    <w:rsid w:val="67024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340" w:after="330" w:line="576" w:lineRule="auto"/>
      <w:jc w:val="center"/>
      <w:outlineLvl w:val="0"/>
    </w:pPr>
    <w:rPr>
      <w:rFonts w:asciiTheme="minorHAnsi" w:hAnsiTheme="minorHAnsi"/>
      <w:b/>
      <w:kern w:val="44"/>
      <w:sz w:val="32"/>
    </w:rPr>
  </w:style>
  <w:style w:type="paragraph" w:styleId="3">
    <w:name w:val="heading 2"/>
    <w:basedOn w:val="1"/>
    <w:next w:val="1"/>
    <w:semiHidden/>
    <w:unhideWhenUsed/>
    <w:qFormat/>
    <w:uiPriority w:val="0"/>
    <w:pPr>
      <w:keepNext/>
      <w:keepLines/>
      <w:spacing w:before="260" w:after="260" w:line="413" w:lineRule="auto"/>
      <w:jc w:val="left"/>
      <w:outlineLvl w:val="1"/>
    </w:pPr>
    <w:rPr>
      <w:rFonts w:ascii="Arial" w:hAnsi="Arial" w:eastAsia="仿宋"/>
      <w:b/>
      <w:sz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pPr>
      <w:tabs>
        <w:tab w:val="left" w:pos="567"/>
      </w:tabs>
      <w:spacing w:before="120" w:line="22" w:lineRule="atLeast"/>
    </w:pPr>
    <w:rPr>
      <w:rFonts w:ascii="宋体" w:hAnsi="宋体"/>
      <w:sz w:val="24"/>
    </w:rPr>
  </w:style>
  <w:style w:type="character" w:customStyle="1" w:styleId="7">
    <w:name w:val="标题 1 字符"/>
    <w:link w:val="2"/>
    <w:qFormat/>
    <w:uiPriority w:val="0"/>
    <w:rPr>
      <w:rFonts w:asciiTheme="minorHAnsi" w:hAnsiTheme="minorHAnsi"/>
      <w:b/>
      <w:kern w:val="44"/>
      <w:sz w:val="32"/>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536</Words>
  <Characters>546</Characters>
  <Lines>55</Lines>
  <Paragraphs>73</Paragraphs>
  <TotalTime>9</TotalTime>
  <ScaleCrop>false</ScaleCrop>
  <LinksUpToDate>false</LinksUpToDate>
  <CharactersWithSpaces>566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2026-07-28T10:03:00Z</dcterms:created>
  <dc:creator>℡Autism ミ</dc:creator>
  <cp:lastModifiedBy>L.bing</cp:lastModifiedBy>
  <dcterms:modified xsi:type="dcterms:W3CDTF">2026-07-29T02:28:21Z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C46BD70E615D46D887B3AD8D6E28EF8F_13</vt:lpwstr>
  </property>
  <property fmtid="{D5CDD505-2E9C-101B-9397-08002B2CF9AE}" pid="4" name="KSOTemplateDocerSaveRecord">
    <vt:lpwstr>eyJoZGlkIjoiNTlkNGE3MDhmNGZlOTM5Y2U1ZmM3NDNlNjA1YTY1ZjAiLCJ1c2VySWQiOiI1Mzg3MTYzOTEifQ==</vt:lpwstr>
  </property>
</Properties>
</file>