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版本号：SXJTZB-ZC-DY2026042620260526001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2026年远程医疗维保项目建设</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SXJTZB-ZC-DY20260426</w:t>
      </w:r>
      <w:r>
        <w:br/>
      </w:r>
      <w:r>
        <w:br/>
      </w:r>
      <w:r>
        <w:br/>
      </w:r>
    </w:p>
    <w:p>
      <w:pPr>
        <w:pStyle w:val="null3"/>
        <w:jc w:val="center"/>
        <w:outlineLvl w:val="5"/>
      </w:pPr>
      <w:r>
        <w:rPr>
          <w:rFonts w:ascii="仿宋_GB2312" w:hAnsi="仿宋_GB2312" w:cs="仿宋_GB2312" w:eastAsia="仿宋_GB2312"/>
          <w:sz w:val="15"/>
          <w:b/>
        </w:rPr>
        <w:t>西安市中心医院</w:t>
      </w:r>
    </w:p>
    <w:p>
      <w:pPr>
        <w:pStyle w:val="null3"/>
        <w:jc w:val="center"/>
        <w:outlineLvl w:val="5"/>
      </w:pPr>
      <w:r>
        <w:rPr>
          <w:rFonts w:ascii="仿宋_GB2312" w:hAnsi="仿宋_GB2312" w:cs="仿宋_GB2312" w:eastAsia="仿宋_GB2312"/>
          <w:sz w:val="15"/>
          <w:b/>
        </w:rPr>
        <w:t>陕西嘉唐建设项目管理有限公司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2026年远程医疗维保项目建设</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SXJTZB-ZC-DY20260426</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2026年远程医疗维保项目建设</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中心医院医联体远程信息平台覆盖多家基层医疗机构，承载远程会诊、影像诊断、双向转诊、数据共享、远程教学等关键业务，串联核心医院与基层网点的诊疗数据流与业务流。平台软硬件设备、数据库、网络传输模块长期高频运行。需通过专项维保，可实现 7×24 小时故障响应、定期巡检优化、隐患提前排查，保障平台高可用、低延迟运转，维系医联体常态化医疗协同能力。为了保障西安市中心医院医联体远程信息平台正常运转，本次采购各相关脱保软硬件的维保服务。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或2025年度完整有效的财务审计报告复印件（财务报告是指经会计师事务所审计的上述指定年度整个会计年度财务报表,复印件至少须包括报告正文、资产负债表、现金流量表、所有者权益变动表及利润表、附注和会计师事务所营业执照，报告正文应当有会计师事务所公章和2名注册会计师的签字及盖章。且审计报告应当经过注册会计师行业统一监管平台备案赋码）或在响应文件递交截止时间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3、税收缴纳证明：提供已缴纳的2025年5月起至少一个月的纳税证明或完税证明，纳税证明或完税证明上应有代收机构或税务机关的公章或业务专用章。依法免税的供应商应提供相关文件证明；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4、具有履行合同所必需的设备和专业技术能力的承诺：供应商须提供具有履行合同所必需的设备和专业技术能力的承诺；</w:t>
      </w:r>
    </w:p>
    <w:p>
      <w:pPr>
        <w:pStyle w:val="null3"/>
      </w:pPr>
      <w:r>
        <w:rPr>
          <w:rFonts w:ascii="仿宋_GB2312" w:hAnsi="仿宋_GB2312" w:cs="仿宋_GB2312" w:eastAsia="仿宋_GB2312"/>
        </w:rPr>
        <w:t>5、社会保障资金缴纳证明：提供已缴存的2025年5月起至少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6、参加本次政府采购活动前三年内在经营活动中没有重大违法记录的书面声明：出具参加本次政府采购活动前三年内在经营活动中没有重大违法记录的书面声明；</w:t>
      </w:r>
    </w:p>
    <w:p>
      <w:pPr>
        <w:pStyle w:val="null3"/>
      </w:pPr>
      <w:r>
        <w:rPr>
          <w:rFonts w:ascii="仿宋_GB2312" w:hAnsi="仿宋_GB2312" w:cs="仿宋_GB2312" w:eastAsia="仿宋_GB2312"/>
        </w:rPr>
        <w:t>7、法定代表人授权委托书：法定代表人参加单一来源采购协商的提供法定代表人身份证明及身份证，委托代理人参加单一来源采购协商的提供授权委托书及委托代理人身份证；并提供被授权人在本单位缴纳的社保记录（近3个月内，提交响应文件截止时间当月不计入）；</w:t>
      </w:r>
    </w:p>
    <w:p>
      <w:pPr>
        <w:pStyle w:val="null3"/>
      </w:pPr>
      <w:r>
        <w:rPr>
          <w:rFonts w:ascii="仿宋_GB2312" w:hAnsi="仿宋_GB2312" w:cs="仿宋_GB2312" w:eastAsia="仿宋_GB2312"/>
        </w:rPr>
        <w:t>8、本项目不接受联合体响应：本项目不接受联合体响应（提供书面声明）。</w:t>
      </w:r>
    </w:p>
    <w:p>
      <w:pPr>
        <w:pStyle w:val="null3"/>
      </w:pPr>
      <w:r>
        <w:rPr>
          <w:rFonts w:ascii="仿宋_GB2312" w:hAnsi="仿宋_GB2312" w:cs="仿宋_GB2312" w:eastAsia="仿宋_GB2312"/>
        </w:rPr>
        <w:t>9、承诺书：本项目不接受西安市中心医院职工及其亲属投资开办企业参与本单位的采购活动（提供承诺书）。</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西安市后宰门185号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西安市未央区凤城五路与明光路十字天朗经开中心25楼2501室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张荷、廖丽、贾婵、段冬梅、王琳娜、曾小旦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采购包1：140,000.00元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采购包1：140,000.00元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代理服务费收费标准：定额收取肆仟元。服务费交纳信息： 银行户名：陕西嘉唐建设项目管理有限公司 开户银行：西安银行股份有限公司含光门支行 账 号：112011580000141313 联 系 人：王工 联系电话：029-89351397。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符合采购人要求标准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中心医院医联体远程信息平台覆盖多家基层医疗机构，承载远程会诊、影像诊断、双向转诊、数据共享、远程教学等关键业务，串联核心医院与基层网点的诊疗数据流与业务流。平台软硬件设备、数据库、网络传输模块长期高频运行。需通过专项维保，可实现 7×24 小时故障响应、定期巡检优化、隐患提前排查，保障平台高可用、低延迟运转，维系医联体常态化医疗协同能力。为了保障西安市中心医院医联体远程信息平台正常运转，本次采购各相关脱保软硬件的维保服务。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w:t>
      </w:r>
    </w:p>
    <w:p>
      <w:pPr>
        <w:pStyle w:val="null3"/>
      </w:pPr>
      <w:r>
        <w:rPr>
          <w:rFonts w:ascii="仿宋_GB2312" w:hAnsi="仿宋_GB2312" w:cs="仿宋_GB2312" w:eastAsia="仿宋_GB2312"/>
        </w:rPr>
        <w:t>采购包最高限价（元）: 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2026年远程医疗维保项目建设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标的名称：2026年远程医疗维保项目建设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一、质量要求</w:t>
            </w:r>
          </w:p>
          <w:p>
            <w:pPr>
              <w:pStyle w:val="null3"/>
            </w:pPr>
            <w:r>
              <w:rPr>
                <w:rFonts w:ascii="仿宋_GB2312" w:hAnsi="仿宋_GB2312" w:cs="仿宋_GB2312" w:eastAsia="仿宋_GB2312"/>
              </w:rPr>
              <w:t>服务商具备医疗信息化同类项目维保经验，熟悉陕西区域医联体远程平台架构；</w:t>
            </w:r>
          </w:p>
          <w:p>
            <w:pPr>
              <w:pStyle w:val="null3"/>
            </w:pPr>
            <w:r>
              <w:rPr>
                <w:rFonts w:ascii="仿宋_GB2312" w:hAnsi="仿宋_GB2312" w:cs="仿宋_GB2312" w:eastAsia="仿宋_GB2312"/>
              </w:rPr>
              <w:t>维保全过程符合国家《网络安全等级保护</w:t>
            </w:r>
            <w:r>
              <w:rPr>
                <w:rFonts w:ascii="仿宋_GB2312" w:hAnsi="仿宋_GB2312" w:cs="仿宋_GB2312" w:eastAsia="仿宋_GB2312"/>
              </w:rPr>
              <w:t>2.0》《医疗大数据安全标准》《互联网 + 医疗健康信息化规范》；</w:t>
            </w:r>
          </w:p>
          <w:p>
            <w:pPr>
              <w:pStyle w:val="null3"/>
            </w:pPr>
            <w:r>
              <w:rPr>
                <w:rFonts w:ascii="仿宋_GB2312" w:hAnsi="仿宋_GB2312" w:cs="仿宋_GB2312" w:eastAsia="仿宋_GB2312"/>
              </w:rPr>
              <w:t>建立标准化巡检台账、运维日志、故障处理档案，维保质量可追溯、可考核；</w:t>
            </w:r>
          </w:p>
          <w:p>
            <w:pPr>
              <w:pStyle w:val="null3"/>
            </w:pPr>
            <w:r>
              <w:rPr>
                <w:rFonts w:ascii="仿宋_GB2312" w:hAnsi="仿宋_GB2312" w:cs="仿宋_GB2312" w:eastAsia="仿宋_GB2312"/>
              </w:rPr>
              <w:t>保障平台核心功能可用率</w:t>
            </w:r>
            <w:r>
              <w:rPr>
                <w:rFonts w:ascii="仿宋_GB2312" w:hAnsi="仿宋_GB2312" w:cs="仿宋_GB2312" w:eastAsia="仿宋_GB2312"/>
              </w:rPr>
              <w:t>≥99.5%，核心业务无长时间中断。</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服务商具备医疗信息化同类项目维保经验，熟悉陕西区域医联体远程平台架构；</w:t>
            </w:r>
          </w:p>
          <w:p>
            <w:pPr>
              <w:pStyle w:val="null3"/>
            </w:pPr>
            <w:r>
              <w:rPr>
                <w:rFonts w:ascii="仿宋_GB2312" w:hAnsi="仿宋_GB2312" w:cs="仿宋_GB2312" w:eastAsia="仿宋_GB2312"/>
              </w:rPr>
              <w:t>维保全过程符合国家《网络安全等级保护</w:t>
            </w:r>
            <w:r>
              <w:rPr>
                <w:rFonts w:ascii="仿宋_GB2312" w:hAnsi="仿宋_GB2312" w:cs="仿宋_GB2312" w:eastAsia="仿宋_GB2312"/>
              </w:rPr>
              <w:t>2.0》《医疗大数据安全标准》《互联网 + 医疗健康信息化规范》；</w:t>
            </w:r>
          </w:p>
          <w:p>
            <w:pPr>
              <w:pStyle w:val="null3"/>
            </w:pPr>
            <w:r>
              <w:rPr>
                <w:rFonts w:ascii="仿宋_GB2312" w:hAnsi="仿宋_GB2312" w:cs="仿宋_GB2312" w:eastAsia="仿宋_GB2312"/>
              </w:rPr>
              <w:t>建立标准化巡检台账、运维日志、故障处理档案，维保质量可追溯、可考核；</w:t>
            </w:r>
          </w:p>
          <w:p>
            <w:pPr>
              <w:pStyle w:val="null3"/>
            </w:pPr>
            <w:r>
              <w:rPr>
                <w:rFonts w:ascii="仿宋_GB2312" w:hAnsi="仿宋_GB2312" w:cs="仿宋_GB2312" w:eastAsia="仿宋_GB2312"/>
              </w:rPr>
              <w:t>保障平台核心功能可用率</w:t>
            </w:r>
            <w:r>
              <w:rPr>
                <w:rFonts w:ascii="仿宋_GB2312" w:hAnsi="仿宋_GB2312" w:cs="仿宋_GB2312" w:eastAsia="仿宋_GB2312"/>
              </w:rPr>
              <w:t>≥99.5%，核心业务无长时间中断。</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提供远程运维服务模式；</w:t>
            </w:r>
          </w:p>
          <w:p>
            <w:pPr>
              <w:pStyle w:val="null3"/>
            </w:pPr>
            <w:r>
              <w:rPr>
                <w:rFonts w:ascii="仿宋_GB2312" w:hAnsi="仿宋_GB2312" w:cs="仿宋_GB2312" w:eastAsia="仿宋_GB2312"/>
              </w:rPr>
              <w:t>定期月度巡检、季度深度优化、年度全面体检；</w:t>
            </w:r>
          </w:p>
          <w:p>
            <w:pPr>
              <w:pStyle w:val="null3"/>
            </w:pPr>
            <w:r>
              <w:rPr>
                <w:rFonts w:ascii="仿宋_GB2312" w:hAnsi="仿宋_GB2312" w:cs="仿宋_GB2312" w:eastAsia="仿宋_GB2312"/>
              </w:rPr>
              <w:t>免费提供常规功能微调、参数配置、基础适配升级及技术咨询；</w:t>
            </w:r>
          </w:p>
          <w:p>
            <w:pPr>
              <w:pStyle w:val="null3"/>
            </w:pPr>
            <w:r>
              <w:rPr>
                <w:rFonts w:ascii="仿宋_GB2312" w:hAnsi="仿宋_GB2312" w:cs="仿宋_GB2312" w:eastAsia="仿宋_GB2312"/>
              </w:rPr>
              <w:t>四、商务要求</w:t>
            </w:r>
          </w:p>
          <w:p>
            <w:pPr>
              <w:pStyle w:val="null3"/>
            </w:pPr>
            <w:r>
              <w:rPr>
                <w:rFonts w:ascii="仿宋_GB2312" w:hAnsi="仿宋_GB2312" w:cs="仿宋_GB2312" w:eastAsia="仿宋_GB2312"/>
              </w:rPr>
              <w:t>服务期：自合同签订之日起一年。</w:t>
            </w:r>
          </w:p>
          <w:p>
            <w:pPr>
              <w:pStyle w:val="null3"/>
            </w:pPr>
            <w:r>
              <w:rPr>
                <w:rFonts w:ascii="仿宋_GB2312" w:hAnsi="仿宋_GB2312" w:cs="仿宋_GB2312" w:eastAsia="仿宋_GB2312"/>
              </w:rPr>
              <w:t>款项结算：</w:t>
            </w:r>
            <w:r>
              <w:rPr>
                <w:rFonts w:ascii="仿宋_GB2312" w:hAnsi="仿宋_GB2312" w:cs="仿宋_GB2312" w:eastAsia="仿宋_GB2312"/>
              </w:rPr>
              <w:t>合同生效后，服务期满半年后一次性支付合同额的50%，服务期满一年后一次性支付合同额剩下的50%。</w:t>
            </w:r>
          </w:p>
          <w:p>
            <w:pPr>
              <w:pStyle w:val="null3"/>
            </w:pPr>
            <w:r>
              <w:rPr>
                <w:rFonts w:ascii="仿宋_GB2312" w:hAnsi="仿宋_GB2312" w:cs="仿宋_GB2312" w:eastAsia="仿宋_GB2312"/>
              </w:rPr>
              <w:t>五、其他</w:t>
            </w:r>
          </w:p>
          <w:p>
            <w:pPr>
              <w:pStyle w:val="null3"/>
            </w:pP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）进度要求</w:t>
            </w:r>
          </w:p>
          <w:p>
            <w:pPr>
              <w:pStyle w:val="null3"/>
            </w:pPr>
            <w:r>
              <w:rPr>
                <w:rFonts w:ascii="仿宋_GB2312" w:hAnsi="仿宋_GB2312" w:cs="仿宋_GB2312" w:eastAsia="仿宋_GB2312"/>
              </w:rPr>
              <w:t>1、2026年5月30日前完成外业调查工作。</w:t>
            </w:r>
          </w:p>
          <w:p>
            <w:pPr>
              <w:pStyle w:val="null3"/>
            </w:pPr>
            <w:r>
              <w:rPr>
                <w:rFonts w:ascii="仿宋_GB2312" w:hAnsi="仿宋_GB2312" w:cs="仿宋_GB2312" w:eastAsia="仿宋_GB2312"/>
              </w:rPr>
              <w:t>2、2026年12月30日完成内业整</w:t>
            </w:r>
            <w:r>
              <w:rPr>
                <w:rFonts w:ascii="仿宋_GB2312" w:hAnsi="仿宋_GB2312" w:cs="仿宋_GB2312" w:eastAsia="仿宋_GB2312"/>
              </w:rPr>
              <w:t>理、总结以及成果评审等工作。</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）成果交付要求</w:t>
            </w:r>
          </w:p>
          <w:p>
            <w:pPr>
              <w:pStyle w:val="null3"/>
            </w:pPr>
            <w:r>
              <w:rPr>
                <w:rFonts w:ascii="仿宋_GB2312" w:hAnsi="仿宋_GB2312" w:cs="仿宋_GB2312" w:eastAsia="仿宋_GB2312"/>
              </w:rPr>
              <w:t>接口对接维护报告：数据交互异常排查记录、接口调优方案。</w:t>
            </w:r>
          </w:p>
          <w:p>
            <w:pPr>
              <w:pStyle w:val="null3"/>
            </w:pPr>
            <w:r>
              <w:rPr>
                <w:rFonts w:ascii="仿宋_GB2312" w:hAnsi="仿宋_GB2312" w:cs="仿宋_GB2312" w:eastAsia="仿宋_GB2312"/>
              </w:rPr>
              <w:t>医联体数据同步报告：跨院区患者数据、诊疗数据同步进度、数据一致性校验结果、同步异常处理记录。</w:t>
            </w:r>
          </w:p>
          <w:p>
            <w:pPr>
              <w:pStyle w:val="null3"/>
            </w:pPr>
            <w:r>
              <w:rPr>
                <w:rFonts w:ascii="仿宋_GB2312" w:hAnsi="仿宋_GB2312" w:cs="仿宋_GB2312" w:eastAsia="仿宋_GB2312"/>
              </w:rPr>
              <w:t>医联体运维培训资料：针对分院区运维人员的远程平台操作、故障排查。</w:t>
            </w:r>
          </w:p>
          <w:p>
            <w:pPr>
              <w:pStyle w:val="null3"/>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）质量验收标准或规范</w:t>
            </w:r>
          </w:p>
          <w:p>
            <w:pPr>
              <w:pStyle w:val="null3"/>
            </w:pPr>
            <w:r>
              <w:rPr>
                <w:rFonts w:ascii="仿宋_GB2312" w:hAnsi="仿宋_GB2312" w:cs="仿宋_GB2312" w:eastAsia="仿宋_GB2312"/>
              </w:rPr>
              <w:t>年度运维服务报告：全年服务</w:t>
            </w:r>
            <w:r>
              <w:rPr>
                <w:rFonts w:ascii="仿宋_GB2312" w:hAnsi="仿宋_GB2312" w:cs="仿宋_GB2312" w:eastAsia="仿宋_GB2312"/>
              </w:rPr>
              <w:t xml:space="preserve"> KPI 达成情况（系统可用性≥99.9%、故障响应及时率≥</w:t>
            </w:r>
            <w:r>
              <w:rPr>
                <w:rFonts w:ascii="仿宋_GB2312" w:hAnsi="仿宋_GB2312" w:cs="仿宋_GB2312" w:eastAsia="仿宋_GB2312"/>
              </w:rPr>
              <w:t>99.5%</w:t>
            </w:r>
            <w:r>
              <w:rPr>
                <w:rFonts w:ascii="仿宋_GB2312" w:hAnsi="仿宋_GB2312" w:cs="仿宋_GB2312" w:eastAsia="仿宋_GB2312"/>
              </w:rPr>
              <w:t>）、医联体协同业务统计、问题分析与优化建议。</w:t>
            </w:r>
          </w:p>
          <w:p>
            <w:pPr>
              <w:pStyle w:val="null3"/>
            </w:pPr>
            <w:r>
              <w:rPr>
                <w:rFonts w:ascii="仿宋_GB2312" w:hAnsi="仿宋_GB2312" w:cs="仿宋_GB2312" w:eastAsia="仿宋_GB2312"/>
              </w:rPr>
              <w:t>维保验收申请与报告：对照合同条款的服务完成情况、交付物完整性验证、双方签字确认。</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进度款，合同生效后，服务期满半年后，达到付款条件起10个工作日内，支付合同总金额的50.0%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进度款，服务期满一年后，达到付款条件起10个工作日内，支付合同总金额的50.0%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采购人按照政府采购合同规定的技术、服务、安全标准组织对供应商履约情况进行验收，并出具验收书。</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2、按合同要求提供服务或服务质量不能满足技术要求，采购人有权终止合同，并对供方违约行为进行追究，同时按《中华人民共和国民政府采购法》的有关规定进行处罚。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小企业划分标准：本项目采购标的所属行业为其他未列明行业。其他未列明行业的划型标准为：从业人员300人以下的为中小微型企业。其中，从业人员100人及以上的为中型企业；从业人员10人及以上的为小型企业；从业人员10人以下的为微型企业。 2.付款方式以合同签订为准。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完整有效的财务审计报告复印件（财务报告是指经会计师事务所审计的上述指定年度整个会计年度财务报表,复印件至少须包括报告正文、资产负债表、现金流量表、所有者权益变动表及利润表、附注和会计师事务所营业执照，报告正文应当有会计师事务所公章和2名注册会计师的签字及盖章。且审计报告应当经过注册会计师行业统一监管平台备案赋码）或在响应文件递交截止时间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审计报告复印件（财务报告是指经会计师事务所审计的上述指定年度整个会计年度财务报表,复印件至少须包括报告正文、资产负债表、现金流量表、所有者权益变动表及利润表、附注和会计师事务所营业执照，报告正文应当有会计师事务所公章和2名注册会计师的签字及盖章。且审计报告应当经过注册会计师行业统一监管平台备案赋码）或在响应文件递交截止时间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提供已缴纳的2025年5月起至少一个月的纳税证明或完税证明，纳税证明或完税证明上应有代收机构或税务机关的公章或业务专用章。依法免税的供应商应提供相关文件证明；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2025年5月起至少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单一来源采购协商的提供法定代表人身份证明及身份证，委托代理人参加单一来源采购协商的提供授权委托书及委托代理人身份证；并提供被授权人在本单位缴纳的社保记录（近3个月内，提交响应文件截止时间当月不计入）；</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本项目不接受联合体响应</w:t>
            </w:r>
          </w:p>
        </w:tc>
        <w:tc>
          <w:tcPr>
            <w:tcW w:type="dxa" w:w="3322"/>
          </w:tcPr>
          <w:p>
            <w:pPr>
              <w:pStyle w:val="null3"/>
            </w:pPr>
            <w:r>
              <w:rPr>
                <w:rFonts w:ascii="仿宋_GB2312" w:hAnsi="仿宋_GB2312" w:cs="仿宋_GB2312" w:eastAsia="仿宋_GB2312"/>
              </w:rPr>
              <w:t>本项目不接受联合体响应（提供书面声明）。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本项目不接受西安市中心医院职工及其亲属投资开办企业参与本单位的采购活动（提供承诺书）。</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承诺书.docx 标的清单 报价表 供应商资格证明文件.docx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协商响应内容是否有重大缺漏项</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承诺书.docx 报价表 供应商资格证明文件.docx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响应文件的签署、加盖印章是否有效</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承诺书.docx 报价表 供应商资格证明文件.docx 响应函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协商响应报价是否未超过采购预算；协商响应有效期是否符合单一来源采购文件的要求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承诺书.docx 报价表 供应商资格证明文件.docx 响应函 服务方案.docx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