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版本号：ZXGJ-ZB14-2026-00920260508001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2026年西安市碑林区精神障碍社区康复服务项目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ZXGJ-ZB14-2026-009</w:t>
      </w:r>
      <w:r>
        <w:br/>
      </w:r>
      <w:r>
        <w:br/>
      </w:r>
      <w:r>
        <w:br/>
      </w:r>
    </w:p>
    <w:p>
      <w:pPr>
        <w:pStyle w:val="null3"/>
        <w:jc w:val="center"/>
        <w:outlineLvl w:val="2"/>
      </w:pPr>
      <w:r>
        <w:rPr>
          <w:rFonts w:ascii="仿宋_GB2312" w:hAnsi="仿宋_GB2312" w:cs="仿宋_GB2312" w:eastAsia="仿宋_GB2312"/>
          <w:sz w:val="28"/>
          <w:b/>
        </w:rPr>
        <w:t>西安市碑林区民政局（本级）</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西安市碑林区民政局（本级）</w:t>
      </w:r>
      <w:r>
        <w:rPr>
          <w:rFonts w:ascii="仿宋_GB2312" w:hAnsi="仿宋_GB2312" w:cs="仿宋_GB2312" w:eastAsia="仿宋_GB2312"/>
        </w:rPr>
        <w:t>委托，拟对</w:t>
      </w:r>
      <w:r>
        <w:rPr>
          <w:rFonts w:ascii="仿宋_GB2312" w:hAnsi="仿宋_GB2312" w:cs="仿宋_GB2312" w:eastAsia="仿宋_GB2312"/>
        </w:rPr>
        <w:t>2026年西安市碑林区精神障碍社区康复服务项目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2026年西安市碑林区精神障碍社区康复服务项目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市民政局、市委社会部、市卫健委、市财政局和市残联《关于印发&lt;西安市加快推进精神障碍社区康复服务工作实施方案&gt;的通知》（市民发〔2025〕120号）文件要求，计划通过政府购买服务形式组织专业服务机构对辖区300名精神障碍患者建立评估档案，为60%以上建档患者提供服药训练、肢体管理和社会融入等康复服务，优先关注特困、低保、低保边缘和支出型困难家庭中救助对象，和孤寡、独居老人、困境儿童等民政服务对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西安市碑林区南院门27号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89625277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王超、同秀秀、王涛、白丹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西安市碑林区民政局（本级）</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成交供应商按照项目需求完成后，由用户方组织验收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联系人：王超、同秀秀、王涛、白丹</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市民政局、市委社会部、市卫健委、市财政局和市残联《关于印发&lt;西安市加快推进精神障碍社区康复服务工作实施方案&gt;的通知》（市民发〔2025〕120号）文件要求，计划通过政府购买服务形式组织专业服务机构对辖区300名精神障碍患者建立评估档案，为60%以上建档患者提供服药训练、肢体管理和社会融入等康复服务，优先关注特困、低保、低保边缘和支出型困难家庭中救助对象，和孤寡、独居老人、困境儿童等民政服务对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精神障碍社区康复服务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标的名称：精神障碍社区康复服务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jc w:val="both"/>
            </w:pPr>
            <w:r>
              <w:rPr>
                <w:rFonts w:ascii="仿宋_GB2312" w:hAnsi="仿宋_GB2312" w:cs="仿宋_GB2312" w:eastAsia="仿宋_GB2312"/>
              </w:rPr>
              <w:t>根据市民政局、市委社会部、市卫健委、市财政局和市残联《关于印发</w:t>
            </w:r>
            <w:r>
              <w:rPr>
                <w:rFonts w:ascii="仿宋_GB2312" w:hAnsi="仿宋_GB2312" w:cs="仿宋_GB2312" w:eastAsia="仿宋_GB2312"/>
              </w:rPr>
              <w:t>&lt;西安市加快推进精神障碍社区康复服务工作实施方案&gt;的通知》（</w:t>
            </w:r>
            <w:r>
              <w:rPr>
                <w:rFonts w:ascii="仿宋_GB2312" w:hAnsi="仿宋_GB2312" w:cs="仿宋_GB2312" w:eastAsia="仿宋_GB2312"/>
              </w:rPr>
              <w:t>市民发〔</w:t>
            </w:r>
            <w:r>
              <w:rPr>
                <w:rFonts w:ascii="仿宋_GB2312" w:hAnsi="仿宋_GB2312" w:cs="仿宋_GB2312" w:eastAsia="仿宋_GB2312"/>
              </w:rPr>
              <w:t>2025〕120号</w:t>
            </w:r>
            <w:r>
              <w:rPr>
                <w:rFonts w:ascii="仿宋_GB2312" w:hAnsi="仿宋_GB2312" w:cs="仿宋_GB2312" w:eastAsia="仿宋_GB2312"/>
              </w:rPr>
              <w:t>）文件要求，计划通过政府购买服务形式组织专业服务机构对辖区</w:t>
            </w:r>
            <w:r>
              <w:rPr>
                <w:rFonts w:ascii="仿宋_GB2312" w:hAnsi="仿宋_GB2312" w:cs="仿宋_GB2312" w:eastAsia="仿宋_GB2312"/>
              </w:rPr>
              <w:t>300名精神障碍患者建立评估档案，为60%以上建档患者提供服药训练、肢体管理和社会融入等康复服务，</w:t>
            </w:r>
            <w:r>
              <w:rPr>
                <w:rFonts w:ascii="仿宋_GB2312" w:hAnsi="仿宋_GB2312" w:cs="仿宋_GB2312" w:eastAsia="仿宋_GB2312"/>
              </w:rPr>
              <w:t>优先关注特困、低保、低保边缘和支出型困难家庭中救助对象，</w:t>
            </w:r>
            <w:r>
              <w:rPr>
                <w:rFonts w:ascii="仿宋_GB2312" w:hAnsi="仿宋_GB2312" w:cs="仿宋_GB2312" w:eastAsia="仿宋_GB2312"/>
              </w:rPr>
              <w:t>和</w:t>
            </w:r>
            <w:r>
              <w:rPr>
                <w:rFonts w:ascii="仿宋_GB2312" w:hAnsi="仿宋_GB2312" w:cs="仿宋_GB2312" w:eastAsia="仿宋_GB2312"/>
              </w:rPr>
              <w:t>孤寡、</w:t>
            </w:r>
            <w:r>
              <w:rPr>
                <w:rFonts w:ascii="仿宋_GB2312" w:hAnsi="仿宋_GB2312" w:cs="仿宋_GB2312" w:eastAsia="仿宋_GB2312"/>
              </w:rPr>
              <w:t>独居</w:t>
            </w:r>
            <w:r>
              <w:rPr>
                <w:rFonts w:ascii="仿宋_GB2312" w:hAnsi="仿宋_GB2312" w:cs="仿宋_GB2312" w:eastAsia="仿宋_GB2312"/>
              </w:rPr>
              <w:t>老人、困境儿童等民政服务对象</w:t>
            </w:r>
            <w:r>
              <w:rPr>
                <w:rFonts w:ascii="仿宋_GB2312" w:hAnsi="仿宋_GB2312" w:cs="仿宋_GB2312" w:eastAsia="仿宋_GB2312"/>
              </w:rPr>
              <w:t>。</w:t>
            </w:r>
          </w:p>
          <w:p>
            <w:pPr>
              <w:pStyle w:val="null3"/>
              <w:jc w:val="both"/>
            </w:pPr>
            <w:r>
              <w:rPr>
                <w:rFonts w:ascii="仿宋_GB2312" w:hAnsi="仿宋_GB2312" w:cs="仿宋_GB2312" w:eastAsia="仿宋_GB2312"/>
              </w:rPr>
              <w:t>二、服务内容</w:t>
            </w:r>
          </w:p>
          <w:p>
            <w:pPr>
              <w:pStyle w:val="null3"/>
              <w:jc w:val="both"/>
            </w:pPr>
            <w:r>
              <w:rPr>
                <w:rFonts w:ascii="仿宋_GB2312" w:hAnsi="仿宋_GB2312" w:cs="仿宋_GB2312" w:eastAsia="仿宋_GB2312"/>
              </w:rPr>
              <w:t>针对精障患者的社区康复需求，以一对一、小组（不少于</w:t>
            </w:r>
            <w:r>
              <w:rPr>
                <w:rFonts w:ascii="仿宋_GB2312" w:hAnsi="仿宋_GB2312" w:cs="仿宋_GB2312" w:eastAsia="仿宋_GB2312"/>
              </w:rPr>
              <w:t>6名服务对象）、活动（不少于30名服务对象参与）的形式开展以下服务：</w:t>
            </w:r>
          </w:p>
          <w:p>
            <w:pPr>
              <w:pStyle w:val="null3"/>
              <w:jc w:val="both"/>
            </w:pPr>
            <w:r>
              <w:rPr>
                <w:rFonts w:ascii="仿宋_GB2312" w:hAnsi="仿宋_GB2312" w:cs="仿宋_GB2312" w:eastAsia="仿宋_GB2312"/>
              </w:rPr>
              <w:t>1、基础及专业服务：</w:t>
            </w:r>
          </w:p>
          <w:tbl>
            <w:tblPr>
              <w:tblInd w:type="dxa" w:w="120"/>
              <w:tblBorders>
                <w:top w:val="none" w:color="000000" w:sz="4"/>
                <w:left w:val="none" w:color="000000" w:sz="4"/>
                <w:bottom w:val="none" w:color="000000" w:sz="4"/>
                <w:right w:val="none" w:color="000000" w:sz="4"/>
                <w:insideH w:val="none"/>
                <w:insideV w:val="none"/>
              </w:tblBorders>
            </w:tblPr>
            <w:tblGrid>
              <w:gridCol w:w="191"/>
              <w:gridCol w:w="382"/>
              <w:gridCol w:w="841"/>
              <w:gridCol w:w="701"/>
              <w:gridCol w:w="438"/>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服务类别</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服务内容</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服务次数</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参考时长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基础服务</w:t>
                  </w:r>
                </w:p>
                <w:p>
                  <w:pPr>
                    <w:pStyle w:val="null3"/>
                    <w:jc w:val="both"/>
                  </w:p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对意愿患者进行</w:t>
                  </w:r>
                  <w:r>
                    <w:rPr>
                      <w:rFonts w:ascii="仿宋_GB2312" w:hAnsi="仿宋_GB2312" w:cs="仿宋_GB2312" w:eastAsia="仿宋_GB2312"/>
                      <w:sz w:val="19"/>
                    </w:rPr>
                    <w:t>“登记建档”及“基线评估”；对服务</w:t>
                  </w:r>
                </w:p>
                <w:p>
                  <w:pPr>
                    <w:pStyle w:val="null3"/>
                    <w:jc w:val="both"/>
                  </w:pPr>
                  <w:r>
                    <w:rPr>
                      <w:rFonts w:ascii="仿宋_GB2312" w:hAnsi="仿宋_GB2312" w:cs="仿宋_GB2312" w:eastAsia="仿宋_GB2312"/>
                      <w:sz w:val="19"/>
                    </w:rPr>
                    <w:t>患者每季度开展</w:t>
                  </w:r>
                  <w:r>
                    <w:rPr>
                      <w:rFonts w:ascii="仿宋_GB2312" w:hAnsi="仿宋_GB2312" w:cs="仿宋_GB2312" w:eastAsia="仿宋_GB2312"/>
                      <w:sz w:val="19"/>
                    </w:rPr>
                    <w:t>“过程评估”。</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登记建档及基线评估</w:t>
                  </w:r>
                  <w:r>
                    <w:rPr>
                      <w:rFonts w:ascii="仿宋_GB2312" w:hAnsi="仿宋_GB2312" w:cs="仿宋_GB2312" w:eastAsia="仿宋_GB2312"/>
                      <w:sz w:val="19"/>
                    </w:rPr>
                    <w:t>≥300 人次；过程评估≥540 人次</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1.5 小时/次</w:t>
                  </w:r>
                </w:p>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康复训练</w:t>
                  </w:r>
                </w:p>
                <w:p>
                  <w:pPr>
                    <w:pStyle w:val="null3"/>
                    <w:jc w:val="both"/>
                  </w:p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对患者开展服药训练、躯</w:t>
                  </w:r>
                </w:p>
                <w:p>
                  <w:pPr>
                    <w:pStyle w:val="null3"/>
                    <w:jc w:val="both"/>
                  </w:pPr>
                  <w:r>
                    <w:rPr>
                      <w:rFonts w:ascii="仿宋_GB2312" w:hAnsi="仿宋_GB2312" w:cs="仿宋_GB2312" w:eastAsia="仿宋_GB2312"/>
                      <w:sz w:val="19"/>
                    </w:rPr>
                    <w:t>体管理训练、生活技能训</w:t>
                  </w:r>
                </w:p>
                <w:p>
                  <w:pPr>
                    <w:pStyle w:val="null3"/>
                    <w:jc w:val="both"/>
                  </w:pPr>
                  <w:r>
                    <w:rPr>
                      <w:rFonts w:ascii="仿宋_GB2312" w:hAnsi="仿宋_GB2312" w:cs="仿宋_GB2312" w:eastAsia="仿宋_GB2312"/>
                      <w:sz w:val="19"/>
                    </w:rPr>
                    <w:t>练、社交技能训练、同伴</w:t>
                  </w:r>
                </w:p>
                <w:p>
                  <w:pPr>
                    <w:pStyle w:val="null3"/>
                    <w:jc w:val="both"/>
                  </w:pPr>
                  <w:r>
                    <w:rPr>
                      <w:rFonts w:ascii="仿宋_GB2312" w:hAnsi="仿宋_GB2312" w:cs="仿宋_GB2312" w:eastAsia="仿宋_GB2312"/>
                      <w:sz w:val="19"/>
                    </w:rPr>
                    <w:t>支持、职业康复训练、心</w:t>
                  </w:r>
                </w:p>
                <w:p>
                  <w:pPr>
                    <w:pStyle w:val="null3"/>
                    <w:jc w:val="both"/>
                  </w:pPr>
                  <w:r>
                    <w:rPr>
                      <w:rFonts w:ascii="仿宋_GB2312" w:hAnsi="仿宋_GB2312" w:cs="仿宋_GB2312" w:eastAsia="仿宋_GB2312"/>
                      <w:sz w:val="19"/>
                    </w:rPr>
                    <w:t>理治疗等</w:t>
                  </w:r>
                </w:p>
                <w:p>
                  <w:pPr>
                    <w:pStyle w:val="null3"/>
                    <w:jc w:val="both"/>
                  </w:pP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服药训练、躯体训</w:t>
                  </w:r>
                </w:p>
                <w:p>
                  <w:pPr>
                    <w:pStyle w:val="null3"/>
                    <w:jc w:val="both"/>
                  </w:pPr>
                  <w:r>
                    <w:rPr>
                      <w:rFonts w:ascii="仿宋_GB2312" w:hAnsi="仿宋_GB2312" w:cs="仿宋_GB2312" w:eastAsia="仿宋_GB2312"/>
                      <w:sz w:val="19"/>
                    </w:rPr>
                    <w:t>练、生活及社交技</w:t>
                  </w:r>
                </w:p>
                <w:p>
                  <w:pPr>
                    <w:pStyle w:val="null3"/>
                    <w:jc w:val="both"/>
                  </w:pPr>
                  <w:r>
                    <w:rPr>
                      <w:rFonts w:ascii="仿宋_GB2312" w:hAnsi="仿宋_GB2312" w:cs="仿宋_GB2312" w:eastAsia="仿宋_GB2312"/>
                      <w:sz w:val="19"/>
                    </w:rPr>
                    <w:t>能训练、同伴支持</w:t>
                  </w:r>
                </w:p>
                <w:p>
                  <w:pPr>
                    <w:pStyle w:val="null3"/>
                    <w:jc w:val="both"/>
                  </w:pPr>
                  <w:r>
                    <w:rPr>
                      <w:rFonts w:ascii="仿宋_GB2312" w:hAnsi="仿宋_GB2312" w:cs="仿宋_GB2312" w:eastAsia="仿宋_GB2312"/>
                      <w:sz w:val="19"/>
                    </w:rPr>
                    <w:t>≥4320 人次；职业康</w:t>
                  </w:r>
                </w:p>
                <w:p>
                  <w:pPr>
                    <w:pStyle w:val="null3"/>
                    <w:jc w:val="both"/>
                  </w:pPr>
                  <w:r>
                    <w:rPr>
                      <w:rFonts w:ascii="仿宋_GB2312" w:hAnsi="仿宋_GB2312" w:cs="仿宋_GB2312" w:eastAsia="仿宋_GB2312"/>
                      <w:sz w:val="19"/>
                    </w:rPr>
                    <w:t>复训练</w:t>
                  </w:r>
                  <w:r>
                    <w:rPr>
                      <w:rFonts w:ascii="仿宋_GB2312" w:hAnsi="仿宋_GB2312" w:cs="仿宋_GB2312" w:eastAsia="仿宋_GB2312"/>
                      <w:sz w:val="19"/>
                    </w:rPr>
                    <w:t>≥60 人次；心</w:t>
                  </w:r>
                </w:p>
                <w:p>
                  <w:pPr>
                    <w:pStyle w:val="null3"/>
                    <w:jc w:val="both"/>
                  </w:pPr>
                  <w:r>
                    <w:rPr>
                      <w:rFonts w:ascii="仿宋_GB2312" w:hAnsi="仿宋_GB2312" w:cs="仿宋_GB2312" w:eastAsia="仿宋_GB2312"/>
                      <w:sz w:val="19"/>
                    </w:rPr>
                    <w:t>理治疗</w:t>
                  </w:r>
                  <w:r>
                    <w:rPr>
                      <w:rFonts w:ascii="仿宋_GB2312" w:hAnsi="仿宋_GB2312" w:cs="仿宋_GB2312" w:eastAsia="仿宋_GB2312"/>
                      <w:sz w:val="19"/>
                    </w:rPr>
                    <w:t>≥360 人次。</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训练活动</w:t>
                  </w:r>
                  <w:r>
                    <w:rPr>
                      <w:rFonts w:ascii="仿宋_GB2312" w:hAnsi="仿宋_GB2312" w:cs="仿宋_GB2312" w:eastAsia="仿宋_GB2312"/>
                      <w:sz w:val="19"/>
                    </w:rPr>
                    <w:t>1</w:t>
                  </w:r>
                </w:p>
                <w:p>
                  <w:pPr>
                    <w:pStyle w:val="null3"/>
                    <w:jc w:val="both"/>
                  </w:pPr>
                  <w:r>
                    <w:rPr>
                      <w:rFonts w:ascii="仿宋_GB2312" w:hAnsi="仿宋_GB2312" w:cs="仿宋_GB2312" w:eastAsia="仿宋_GB2312"/>
                      <w:sz w:val="19"/>
                    </w:rPr>
                    <w:t>小时</w:t>
                  </w:r>
                  <w:r>
                    <w:rPr>
                      <w:rFonts w:ascii="仿宋_GB2312" w:hAnsi="仿宋_GB2312" w:cs="仿宋_GB2312" w:eastAsia="仿宋_GB2312"/>
                      <w:sz w:val="19"/>
                    </w:rPr>
                    <w:t>/次；职</w:t>
                  </w:r>
                </w:p>
                <w:p>
                  <w:pPr>
                    <w:pStyle w:val="null3"/>
                    <w:jc w:val="both"/>
                  </w:pPr>
                  <w:r>
                    <w:rPr>
                      <w:rFonts w:ascii="仿宋_GB2312" w:hAnsi="仿宋_GB2312" w:cs="仿宋_GB2312" w:eastAsia="仿宋_GB2312"/>
                      <w:sz w:val="19"/>
                    </w:rPr>
                    <w:t>业康复</w:t>
                  </w:r>
                  <w:r>
                    <w:rPr>
                      <w:rFonts w:ascii="仿宋_GB2312" w:hAnsi="仿宋_GB2312" w:cs="仿宋_GB2312" w:eastAsia="仿宋_GB2312"/>
                      <w:sz w:val="19"/>
                    </w:rPr>
                    <w:t>6小</w:t>
                  </w:r>
                </w:p>
                <w:p>
                  <w:pPr>
                    <w:pStyle w:val="null3"/>
                    <w:jc w:val="both"/>
                  </w:pPr>
                  <w:r>
                    <w:rPr>
                      <w:rFonts w:ascii="仿宋_GB2312" w:hAnsi="仿宋_GB2312" w:cs="仿宋_GB2312" w:eastAsia="仿宋_GB2312"/>
                      <w:sz w:val="19"/>
                    </w:rPr>
                    <w:t>时</w:t>
                  </w:r>
                  <w:r>
                    <w:rPr>
                      <w:rFonts w:ascii="仿宋_GB2312" w:hAnsi="仿宋_GB2312" w:cs="仿宋_GB2312" w:eastAsia="仿宋_GB2312"/>
                      <w:sz w:val="19"/>
                    </w:rPr>
                    <w:t>/次；心理</w:t>
                  </w:r>
                </w:p>
                <w:p>
                  <w:pPr>
                    <w:pStyle w:val="null3"/>
                    <w:jc w:val="both"/>
                  </w:pPr>
                  <w:r>
                    <w:rPr>
                      <w:rFonts w:ascii="仿宋_GB2312" w:hAnsi="仿宋_GB2312" w:cs="仿宋_GB2312" w:eastAsia="仿宋_GB2312"/>
                      <w:sz w:val="19"/>
                    </w:rPr>
                    <w:t>治疗</w:t>
                  </w:r>
                  <w:r>
                    <w:rPr>
                      <w:rFonts w:ascii="仿宋_GB2312" w:hAnsi="仿宋_GB2312" w:cs="仿宋_GB2312" w:eastAsia="仿宋_GB2312"/>
                      <w:sz w:val="19"/>
                    </w:rPr>
                    <w:t>1小时</w:t>
                  </w:r>
                </w:p>
                <w:p>
                  <w:pPr>
                    <w:pStyle w:val="null3"/>
                    <w:jc w:val="both"/>
                  </w:pPr>
                  <w:r>
                    <w:rPr>
                      <w:rFonts w:ascii="仿宋_GB2312" w:hAnsi="仿宋_GB2312" w:cs="仿宋_GB2312" w:eastAsia="仿宋_GB2312"/>
                      <w:sz w:val="19"/>
                    </w:rPr>
                    <w:t>/次。</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培训授课</w:t>
                  </w:r>
                </w:p>
                <w:p>
                  <w:pPr>
                    <w:pStyle w:val="null3"/>
                    <w:jc w:val="both"/>
                  </w:pP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对患者开展药物知识培</w:t>
                  </w:r>
                </w:p>
                <w:p>
                  <w:pPr>
                    <w:pStyle w:val="null3"/>
                    <w:jc w:val="both"/>
                  </w:pPr>
                  <w:r>
                    <w:rPr>
                      <w:rFonts w:ascii="仿宋_GB2312" w:hAnsi="仿宋_GB2312" w:cs="仿宋_GB2312" w:eastAsia="仿宋_GB2312"/>
                      <w:sz w:val="19"/>
                    </w:rPr>
                    <w:t>训、社交理论培训、工作</w:t>
                  </w:r>
                </w:p>
                <w:p>
                  <w:pPr>
                    <w:pStyle w:val="null3"/>
                    <w:jc w:val="both"/>
                  </w:pPr>
                  <w:r>
                    <w:rPr>
                      <w:rFonts w:ascii="仿宋_GB2312" w:hAnsi="仿宋_GB2312" w:cs="仿宋_GB2312" w:eastAsia="仿宋_GB2312"/>
                      <w:sz w:val="19"/>
                    </w:rPr>
                    <w:t>基本技能培训；对患者家</w:t>
                  </w:r>
                </w:p>
                <w:p>
                  <w:pPr>
                    <w:pStyle w:val="null3"/>
                    <w:jc w:val="both"/>
                  </w:pPr>
                  <w:r>
                    <w:rPr>
                      <w:rFonts w:ascii="仿宋_GB2312" w:hAnsi="仿宋_GB2312" w:cs="仿宋_GB2312" w:eastAsia="仿宋_GB2312"/>
                      <w:sz w:val="19"/>
                    </w:rPr>
                    <w:t>属开展预防复发培训、指</w:t>
                  </w:r>
                  <w:r>
                    <w:rPr>
                      <w:rFonts w:ascii="仿宋_GB2312" w:hAnsi="仿宋_GB2312" w:cs="仿宋_GB2312" w:eastAsia="仿宋_GB2312"/>
                      <w:sz w:val="19"/>
                    </w:rPr>
                    <w:t>导用药培训、家庭支持等</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培训场次</w:t>
                  </w:r>
                  <w:r>
                    <w:rPr>
                      <w:rFonts w:ascii="仿宋_GB2312" w:hAnsi="仿宋_GB2312" w:cs="仿宋_GB2312" w:eastAsia="仿宋_GB2312"/>
                      <w:sz w:val="19"/>
                    </w:rPr>
                    <w:t>≥24 次；</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每场培训人数</w:t>
                  </w:r>
                  <w:r>
                    <w:rPr>
                      <w:rFonts w:ascii="仿宋_GB2312" w:hAnsi="仿宋_GB2312" w:cs="仿宋_GB2312" w:eastAsia="仿宋_GB2312"/>
                      <w:sz w:val="19"/>
                    </w:rPr>
                    <w:t>≥20 人。 2 小 时 / 场</w:t>
                  </w:r>
                </w:p>
                <w:p>
                  <w:pPr>
                    <w:pStyle w:val="null3"/>
                    <w:jc w:val="both"/>
                  </w:pPr>
                  <w:r>
                    <w:rPr>
                      <w:rFonts w:ascii="仿宋_GB2312" w:hAnsi="仿宋_GB2312" w:cs="仿宋_GB2312" w:eastAsia="仿宋_GB2312"/>
                      <w:sz w:val="19"/>
                    </w:rPr>
                    <w:t>次</w:t>
                  </w:r>
                </w:p>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入户服务</w:t>
                  </w:r>
                </w:p>
                <w:p>
                  <w:pPr>
                    <w:pStyle w:val="null3"/>
                    <w:jc w:val="both"/>
                  </w:pPr>
                  <w:r>
                    <w:rPr>
                      <w:rFonts w:ascii="仿宋_GB2312" w:hAnsi="仿宋_GB2312" w:cs="仿宋_GB2312" w:eastAsia="仿宋_GB2312"/>
                      <w:sz w:val="19"/>
                    </w:rPr>
                    <w:t xml:space="preserve"> </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入户为患者开展家庭指导</w:t>
                  </w:r>
                </w:p>
                <w:p>
                  <w:pPr>
                    <w:pStyle w:val="null3"/>
                    <w:jc w:val="both"/>
                  </w:pPr>
                  <w:r>
                    <w:rPr>
                      <w:rFonts w:ascii="仿宋_GB2312" w:hAnsi="仿宋_GB2312" w:cs="仿宋_GB2312" w:eastAsia="仿宋_GB2312"/>
                      <w:sz w:val="19"/>
                    </w:rPr>
                    <w:t>训练、政策链接，深入掌</w:t>
                  </w:r>
                </w:p>
                <w:p>
                  <w:pPr>
                    <w:pStyle w:val="null3"/>
                    <w:jc w:val="both"/>
                  </w:pPr>
                  <w:r>
                    <w:rPr>
                      <w:rFonts w:ascii="仿宋_GB2312" w:hAnsi="仿宋_GB2312" w:cs="仿宋_GB2312" w:eastAsia="仿宋_GB2312"/>
                      <w:sz w:val="19"/>
                    </w:rPr>
                    <w:t>握患者家庭情况，开展情</w:t>
                  </w:r>
                  <w:r>
                    <w:rPr>
                      <w:rFonts w:ascii="仿宋_GB2312" w:hAnsi="仿宋_GB2312" w:cs="仿宋_GB2312" w:eastAsia="仿宋_GB2312"/>
                      <w:sz w:val="19"/>
                    </w:rPr>
                    <w:t>感链接、困难帮扶。</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入户</w:t>
                  </w:r>
                  <w:r>
                    <w:rPr>
                      <w:rFonts w:ascii="仿宋_GB2312" w:hAnsi="仿宋_GB2312" w:cs="仿宋_GB2312" w:eastAsia="仿宋_GB2312"/>
                      <w:sz w:val="19"/>
                    </w:rPr>
                    <w:t>≥540 人次</w:t>
                  </w:r>
                </w:p>
                <w:p>
                  <w:pPr>
                    <w:pStyle w:val="null3"/>
                    <w:jc w:val="both"/>
                  </w:p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 小时/户/ 次</w:t>
                  </w:r>
                </w:p>
              </w:tc>
            </w:tr>
          </w:tbl>
          <w:p>
            <w:pPr>
              <w:pStyle w:val="null3"/>
              <w:jc w:val="both"/>
            </w:pPr>
            <w:r>
              <w:rPr>
                <w:rFonts w:ascii="仿宋_GB2312" w:hAnsi="仿宋_GB2312" w:cs="仿宋_GB2312" w:eastAsia="仿宋_GB2312"/>
              </w:rPr>
              <w:t>2、其他活动性服务：在社区内开展社交康乐服务、社区宣传服务、社区志愿服务、精康宣讲等社区共融服务，促进社区居民与精障患者及其家庭的互动和融合；结合社区内资源情况以及服务对象的实际需求情况，创新开展特色服务或更具探索性的深度服务，如户外康复活动等，组织精神障碍社区康复服务人员培训， 每年至少2次；开展各种形式的宣传，引导社区居民接纳精神障碍患者，为精神障碍患者提供良好的社区融入环境。</w:t>
            </w:r>
          </w:p>
          <w:p>
            <w:pPr>
              <w:pStyle w:val="null3"/>
              <w:jc w:val="both"/>
            </w:pPr>
            <w:r>
              <w:rPr>
                <w:rFonts w:ascii="仿宋_GB2312" w:hAnsi="仿宋_GB2312" w:cs="仿宋_GB2312" w:eastAsia="仿宋_GB2312"/>
              </w:rPr>
              <w:t>3、场地设置：按照《民政部 国家卫生健康委员会 中国残联关于印发〈精神障碍社区康复服务工作规范〉的通知》（民发〔2020〕147号）规定，服务场地内应配置必要的精神障碍康复设施设备，服务场地符合消防等规范要求，按照福彩金有关使用，使用规范标志、文字、标牌对福彩公益金进行宣传。</w:t>
            </w:r>
          </w:p>
          <w:p>
            <w:pPr>
              <w:pStyle w:val="null3"/>
              <w:jc w:val="both"/>
            </w:pPr>
            <w:r>
              <w:rPr>
                <w:rFonts w:ascii="仿宋_GB2312" w:hAnsi="仿宋_GB2312" w:cs="仿宋_GB2312" w:eastAsia="仿宋_GB2312"/>
              </w:rPr>
              <w:t>三、技术要求</w:t>
            </w:r>
          </w:p>
          <w:p>
            <w:pPr>
              <w:pStyle w:val="null3"/>
              <w:jc w:val="both"/>
            </w:pPr>
            <w:r>
              <w:rPr>
                <w:rFonts w:ascii="仿宋_GB2312" w:hAnsi="仿宋_GB2312" w:cs="仿宋_GB2312" w:eastAsia="仿宋_GB2312"/>
              </w:rPr>
              <w:t>承接政府购买精神障碍社区康复服务的主体包括依法成立的企业、社会组织（不含由财政拨款保障的群团组织）、公益二类和从事生产经营活动的事业单位。承接主体应具有独立承担民事责任的能力，可在自有场地开展服务，也可协调购买主体在社区服务机构开展服务，并具备提供服务所必需的设施、人员和康复服务的能力，掌握为精神障碍患者提供康复服务的知识和技能，具有健全的内部治理结构、财务会计和资产管理制度，具有良好的社会和商业信誉，具有依法缴纳税收和社会保险的良好记录。</w:t>
            </w:r>
          </w:p>
          <w:p>
            <w:pPr>
              <w:pStyle w:val="null3"/>
              <w:jc w:val="both"/>
            </w:pPr>
            <w:r>
              <w:rPr>
                <w:rFonts w:ascii="仿宋_GB2312" w:hAnsi="仿宋_GB2312" w:cs="仿宋_GB2312" w:eastAsia="仿宋_GB2312"/>
              </w:rPr>
              <w:t>四、</w:t>
            </w:r>
            <w:r>
              <w:rPr>
                <w:rFonts w:ascii="仿宋_GB2312" w:hAnsi="仿宋_GB2312" w:cs="仿宋_GB2312" w:eastAsia="仿宋_GB2312"/>
              </w:rPr>
              <w:t>人员要求</w:t>
            </w:r>
          </w:p>
          <w:p>
            <w:pPr>
              <w:pStyle w:val="null3"/>
              <w:jc w:val="both"/>
            </w:pPr>
            <w:r>
              <w:rPr>
                <w:rFonts w:ascii="仿宋_GB2312" w:hAnsi="仿宋_GB2312" w:cs="仿宋_GB2312" w:eastAsia="仿宋_GB2312"/>
              </w:rPr>
              <w:t>承接</w:t>
            </w:r>
            <w:r>
              <w:rPr>
                <w:rFonts w:ascii="仿宋_GB2312" w:hAnsi="仿宋_GB2312" w:cs="仿宋_GB2312" w:eastAsia="仿宋_GB2312"/>
              </w:rPr>
              <w:t>机构需配备一支熟悉社区精神康复服务能力强的团队，按照灵活多样、便民惠民、注重实效的原则，根据服务对象特点及主要实施场景，通过组织集体活动、集中培训、个案追踪也可以采用上门访问、电话访问等形式，在服务机构内接受定点服务，或接受居家康复服务。</w:t>
            </w:r>
          </w:p>
          <w:p>
            <w:pPr>
              <w:pStyle w:val="null3"/>
              <w:jc w:val="both"/>
            </w:pPr>
            <w:r>
              <w:rPr>
                <w:rFonts w:ascii="仿宋_GB2312" w:hAnsi="仿宋_GB2312" w:cs="仿宋_GB2312" w:eastAsia="仿宋_GB2312"/>
              </w:rPr>
              <w:t>五、商务要求（服务期限、款项结算）</w:t>
            </w:r>
          </w:p>
          <w:p>
            <w:pPr>
              <w:pStyle w:val="null3"/>
              <w:jc w:val="both"/>
            </w:pPr>
            <w:r>
              <w:rPr>
                <w:rFonts w:ascii="仿宋_GB2312" w:hAnsi="仿宋_GB2312" w:cs="仿宋_GB2312" w:eastAsia="仿宋_GB2312"/>
              </w:rPr>
              <w:t>（一）服务期限</w:t>
            </w:r>
          </w:p>
          <w:p>
            <w:pPr>
              <w:pStyle w:val="null3"/>
              <w:jc w:val="both"/>
            </w:pPr>
            <w:r>
              <w:rPr>
                <w:rFonts w:ascii="仿宋_GB2312" w:hAnsi="仿宋_GB2312" w:cs="仿宋_GB2312" w:eastAsia="仿宋_GB2312"/>
              </w:rPr>
              <w:t>1.服务期限：自合同签订之日起1年。</w:t>
            </w:r>
          </w:p>
          <w:p>
            <w:pPr>
              <w:pStyle w:val="null3"/>
              <w:jc w:val="both"/>
            </w:pPr>
            <w:r>
              <w:rPr>
                <w:rFonts w:ascii="仿宋_GB2312" w:hAnsi="仿宋_GB2312" w:cs="仿宋_GB2312" w:eastAsia="仿宋_GB2312"/>
              </w:rPr>
              <w:t>2.服务地点：采购人指定地点。</w:t>
            </w:r>
          </w:p>
          <w:p>
            <w:pPr>
              <w:pStyle w:val="null3"/>
              <w:jc w:val="both"/>
            </w:pPr>
            <w:r>
              <w:rPr>
                <w:rFonts w:ascii="仿宋_GB2312" w:hAnsi="仿宋_GB2312" w:cs="仿宋_GB2312" w:eastAsia="仿宋_GB2312"/>
              </w:rPr>
              <w:t>（二）款项结算</w:t>
            </w:r>
          </w:p>
          <w:p>
            <w:pPr>
              <w:pStyle w:val="null3"/>
              <w:jc w:val="both"/>
            </w:pPr>
            <w:r>
              <w:rPr>
                <w:rFonts w:ascii="仿宋_GB2312" w:hAnsi="仿宋_GB2312" w:cs="仿宋_GB2312" w:eastAsia="仿宋_GB2312"/>
              </w:rPr>
              <w:t>1.合同签订后，达到付款条件起10日，支付合同总金额的40%。</w:t>
            </w:r>
          </w:p>
          <w:p>
            <w:pPr>
              <w:pStyle w:val="null3"/>
              <w:jc w:val="both"/>
            </w:pPr>
            <w:r>
              <w:rPr>
                <w:rFonts w:ascii="仿宋_GB2312" w:hAnsi="仿宋_GB2312" w:cs="仿宋_GB2312" w:eastAsia="仿宋_GB2312"/>
              </w:rPr>
              <w:t>2.合同签订后，满六个月，达到付款条件起10日，支付合同总金额的40%。</w:t>
            </w:r>
          </w:p>
          <w:p>
            <w:pPr>
              <w:pStyle w:val="null3"/>
              <w:jc w:val="both"/>
            </w:pPr>
            <w:r>
              <w:rPr>
                <w:rFonts w:ascii="仿宋_GB2312" w:hAnsi="仿宋_GB2312" w:cs="仿宋_GB2312" w:eastAsia="仿宋_GB2312"/>
              </w:rPr>
              <w:t>3.服务期满后，达到付款条件起10日，支付合同总金额的20%。</w:t>
            </w:r>
          </w:p>
          <w:p>
            <w:pPr>
              <w:pStyle w:val="null3"/>
              <w:jc w:val="both"/>
            </w:pPr>
            <w:r>
              <w:rPr>
                <w:rFonts w:ascii="仿宋_GB2312" w:hAnsi="仿宋_GB2312" w:cs="仿宋_GB2312" w:eastAsia="仿宋_GB2312"/>
              </w:rPr>
              <w:t>4.乙方应于甲方每次付款前提供等额正规发票。最后一次付款时应提供剩余款项全额正规发票。</w:t>
            </w:r>
          </w:p>
          <w:p>
            <w:pPr>
              <w:pStyle w:val="null3"/>
            </w:pPr>
            <w:r>
              <w:rPr>
                <w:rFonts w:ascii="仿宋_GB2312" w:hAnsi="仿宋_GB2312" w:cs="仿宋_GB2312" w:eastAsia="仿宋_GB2312"/>
                <w:sz w:val="21"/>
              </w:rPr>
              <w:t>注：项目通过市、区民政局或第三方机构的评估考核后向服务机构支付约定的服务费用。各期款项的支付，均以采购人完成财政资金申请及审批流程为前提，实际资金到账及支付时间以财政部门最终审批拨付结果为准。因财政部门资金审批、拨付的正常行政流程导致的款项支付延迟，采购人不承担违约责任。</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1.由采购人实施验收。2.验收依据：验收须以合同、磋商文件、响应文件、澄清、及国家相应的标准、规范等为依据。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合同签订后，满六个月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服务或服务质量不能满足本次项目要求，甲方有权终止合同和对乙方违约行为进行追究，同时按有关规定进行相应的处罚。 合同争议解决的方式 本合同在履行过程中发生的争议，由甲、乙双方当事人协商解决，协商不成的按下列第（一）种方式解决：（一）提交西安仲裁委员会仲裁；（二）依法向甲方所在地法院起诉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 一致，不允许修改和补充。提交地点：西安市未央区西安经济技术开发区凤城十二路首创禧悦里25幢A座16层。二、供应商的磋商报价是供应商响应磋商项目要求的全部工作内容的价格体现，包括供应商完成本项目所需的直接费、间接费、利润、税金及其它相关的一切费用。包括但不限于：人工费、设备费、管理费、验收费、采购代理服务费、利润和税金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八、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 评审委员会启动异常低价投标（响应）审查后，属于前述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供应商需在项目电子化交易系统中按要求填写《响应函》完成承诺并进行电子签章。（1）供应商的营业执照等证明文件，自然人的身份证明； (2) 法定代表人（单位负责人）参加磋商的，提供本人身份证复印件；法定代表人（单位负责人）授权他人参加磋商的，提供法定代表人（单位负责人）委托授权书并出示被授权代表的身份证复印件； （3）供应商2025年4月至今已缴纳任意一个月任意税种纳税凭证或税务机关开具的完税证明（个人所得税除外），依法免税的应提供相关文件证明； （4）供应商2025年4月至今已缴存的任意一个月的社会保障资金缴存单据或社保机构开具的社会保险参保缴费情况证明，依法不需要缴纳社会保障资金的供应商应提供相关文件证明；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（5）具有履行合同所必需的设备和专业技术能力的承诺；（6）参加本次采购前3年内，在经营活动中没有重大违法记录的书面声明。（7）供应商不得被列入“信用中国”网站(https://www.creditchina.gov.cn/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（1）供应商是企业法人的，应提供2024或2025全年度经审计的供应商财务报告，包括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（2）供应商是执行《小企业会计准则》的小微企业的，应提供2024或2025全年度经审计的供应商财务报告，至少包括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2024或2025全年度经审计的供应商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供应商是民办非企业单位的，应提供2024或2025全年度经审计的供应商财务报告，包括《资产负债表》《业务活动表》《现金流量表》及其附注或者提交响应文件截止时间前3个月内基本账户开户银行出具的资信证明（附账户信息）；（6）供应商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 报价表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响应函 商务技术部分.docx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对本项目的实施背景、实施目的、实施意义等具备充分的认识。 ①对本项目的总体认识定位准确，理解深刻，表述清晰，对项目实施的重点、难点把握精准得10分； ②对本项目的总体认识定位较准确，理解较清晰，对项目实施的重点、难点把握较准确得8分； ③对本项目的总体认识定位基本准确，基本理解项目，表述一般，对项目实施的重点、难点认识一般得6分； ④总体认识定位不准确，表述不清晰，但内容均围绕项目展开得4分； ⑤提供了需求理解分析，但内容简单，与项目关联度不大得2分； ⑥此项未提供者不计分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根据本项目的服务内容、服务目标、服务要求、服务方式等提供详细、全面的整体服务方案。 ①方案完整全面、科学合理、可操作性强，完全满足采购人需求得12分； ②方案全面，可操作性较强，基本满足采购人需求得9分； ③方案基本完善，可操作性一般得6分； ④方案简单，内容空泛得3分； ⑤方案内容有缺漏，不能满足采购人需求得1.0分； ⑥此项未提供者不计分。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专业设施设备具有完成本次精神障碍康复服务的专业设施设备。 ①设施设备配置科学合理，且能针对性满足项目需求得8分； ②设备软硬件配备较齐全，适配度较高，较能满足项目要求得5分； ③设备软硬件基本配备，适配度稍有欠缺，基本满足项目要求得3分； ④设施设备配置简单，未结合本项目配备得1分；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针对服务对象的特殊性提供服务安全保证措施。 ①措施合理，描述清晰，且能针对性满足项目需求的得8分； ②措施基本合理，描述简单，缺乏针对性的得5分； ③方案笼统，但基本满足采购需求的得3分 ④措施缺失严重，或未结合项目情况进行论述得1分；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①措施合理，描述清晰，且能针对性满足项目需求的得8分； ②措施基本合理，描述简单，缺乏针对性的得5分； ③方案笼统，但基本满足采购需求的得3分 ④措施缺失严重，或未结合项目情况进行论述得1分；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供应商针对本项目提供管理制度方案，包括但不限于人员管理制度、投诉受理制度、档案管理。 ①方案完整全面、科学合理、可操作性强，完全满足采购人需求得8分； ②方案基本完善，可操作性一般得5分； ③方案内容简单，空泛得3分； ④方案有缺漏，不能满足采购人需求得1分；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有针对本项目的相关服务承诺（包含人员到位承诺、服务响应时间及其他实质性承诺）。 ①内容完整全面、科学合理、可操作性强，完全满足采购人需求得8分； ②内容基本完善，可操作性一般得5分； ③内容简单，空泛得3分； ④内容有缺漏，不能满足采购人需求得1分；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拟投入的团队人员方案</w:t>
            </w:r>
          </w:p>
        </w:tc>
        <w:tc>
          <w:tcPr>
            <w:tcW w:type="dxa" w:w="2492"/>
          </w:tcPr>
          <w:p>
            <w:pPr>
              <w:pStyle w:val="null3"/>
            </w:pPr>
            <w:r>
              <w:rPr>
                <w:rFonts w:ascii="仿宋_GB2312" w:hAnsi="仿宋_GB2312" w:cs="仿宋_GB2312" w:eastAsia="仿宋_GB2312"/>
              </w:rPr>
              <w:t>针对本项目提供拟投入的团队人员方案，组织机构设置合理，管理人员及技术人员配备数量充足、人员职责明确、分工清晰合理、相关项目实施经验丰富，满足项目实施要求。 ①人员安排合理，描述清晰，且能针对性满足项目需求得8分； ②人员配备分工较明确，工作经验丰富一般得5分； ③人员配备分工不明确，工作经验丰富较差得3分； ④人员配备不合理，不能满足采购人要求得1分；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针对项目实施过程中可能出现的突发事件提供应急预案。应急预案全面，处理保障措施完善，有明确的应急机制，应急响应时间合理、人员保证充分，设施设备调配科学，处置方案有针对性。 ①应急预案全面详细、可操作性和针对性强得6分； ②应急预案基本全面和可操作性、针对性得3分； ③方案内容简单笼统，无针对性得1分； ④此项未提供者不计分。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重难点分析、合理化建议</w:t>
            </w:r>
          </w:p>
        </w:tc>
        <w:tc>
          <w:tcPr>
            <w:tcW w:type="dxa" w:w="2492"/>
          </w:tcPr>
          <w:p>
            <w:pPr>
              <w:pStyle w:val="null3"/>
            </w:pPr>
            <w:r>
              <w:rPr>
                <w:rFonts w:ascii="仿宋_GB2312" w:hAnsi="仿宋_GB2312" w:cs="仿宋_GB2312" w:eastAsia="仿宋_GB2312"/>
              </w:rPr>
              <w:t>有针对本项目重难点的分析、应对措施及其他针对本项目的合理化建议。 ①分析重难点内容准确完整、详细，合理化可实施性强得8分； ②分析重难点较准确，基本完整、建议内容实施性较强得5分； ③ 分析重难点不准确、建议内容实施性一般得3分；④分析重难点内容空泛不全面、内容较差得1分；⑤ 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提供2023年1月1日至今类似项目业绩，每个业绩计 2 分，满分6分。（业绩资料提供合同复印件，复印件加盖公章。以合同签订日期为准。）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评审价=磋商报价×（1-磋商报价扣除幅度），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详见附件：资格证明部分.docx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