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4"/>
        <w:keepNext w:val="0"/>
        <w:keepLines w:val="0"/>
        <w:pageBreakBefore w:val="0"/>
        <w:kinsoku/>
        <w:wordWrap/>
        <w:overflowPunct/>
        <w:topLinePunct w:val="0"/>
        <w:autoSpaceDE/>
        <w:autoSpaceDN/>
        <w:bidi w:val="0"/>
        <w:snapToGrid/>
        <w:spacing w:line="360" w:lineRule="auto"/>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拟签订采购合同文本</w:t>
      </w:r>
    </w:p>
    <w:p w14:paraId="6920C532">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合同编号： </w:t>
      </w:r>
    </w:p>
    <w:p w14:paraId="7CD0DB0B">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签订地点： </w:t>
      </w:r>
    </w:p>
    <w:p w14:paraId="1DB7F74D">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签订时间: </w:t>
      </w:r>
    </w:p>
    <w:p w14:paraId="0567940F">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是否为专门面向中小企业的采购项目：</w:t>
      </w:r>
      <w:r>
        <w:rPr>
          <w:rFonts w:hint="eastAsia" w:ascii="宋体" w:hAnsi="宋体" w:cs="宋体"/>
          <w:sz w:val="24"/>
          <w:szCs w:val="24"/>
          <w:highlight w:val="none"/>
          <w:lang w:val="en-US" w:eastAsia="zh-CN"/>
        </w:rPr>
        <w:t>否</w:t>
      </w:r>
    </w:p>
    <w:p w14:paraId="6BFD5609">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采购人（甲方）：</w:t>
      </w:r>
    </w:p>
    <w:p w14:paraId="660EF41F">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供应商（乙方）：</w:t>
      </w:r>
    </w:p>
    <w:p w14:paraId="32169DF0">
      <w:pPr>
        <w:pStyle w:val="12"/>
        <w:keepNext w:val="0"/>
        <w:keepLines w:val="0"/>
        <w:pageBreakBefore w:val="0"/>
        <w:kinsoku/>
        <w:wordWrap/>
        <w:overflowPunct/>
        <w:topLinePunct w:val="0"/>
        <w:autoSpaceDE/>
        <w:autoSpaceDN/>
        <w:bidi w:val="0"/>
        <w:spacing w:line="360" w:lineRule="auto"/>
        <w:ind w:firstLine="480"/>
        <w:rPr>
          <w:color w:val="000000"/>
          <w:highlight w:val="none"/>
        </w:rPr>
      </w:pPr>
      <w:r>
        <w:rPr>
          <w:rFonts w:hint="eastAsia"/>
          <w:color w:val="000000"/>
          <w:highlight w:val="none"/>
        </w:rPr>
        <w:t>根据《中华人民共和国政府采购法》及实施条例、《中华人民共和国民法典》和甲方</w:t>
      </w:r>
      <w:r>
        <w:rPr>
          <w:rFonts w:hint="eastAsia"/>
          <w:color w:val="000000"/>
          <w:highlight w:val="none"/>
          <w:u w:val="single"/>
        </w:rPr>
        <w:t xml:space="preserve">             </w:t>
      </w:r>
      <w:r>
        <w:rPr>
          <w:rFonts w:hint="eastAsia"/>
          <w:color w:val="000000"/>
          <w:highlight w:val="none"/>
        </w:rPr>
        <w:t xml:space="preserve"> 采购项目（采购项目编号：</w:t>
      </w:r>
      <w:r>
        <w:rPr>
          <w:rFonts w:hint="eastAsia"/>
          <w:color w:val="000000"/>
          <w:highlight w:val="none"/>
          <w:u w:val="single"/>
        </w:rPr>
        <w:t xml:space="preserve">       </w:t>
      </w:r>
      <w:r>
        <w:rPr>
          <w:rFonts w:hint="eastAsia"/>
          <w:color w:val="000000"/>
          <w:highlight w:val="none"/>
        </w:rPr>
        <w:t>）的采购文件、响应文件等有关规定，为确保甲方采购项目的顺利实施，甲、乙双方在平等自愿原则下签订本合同，并共同遵守如下条款，其主要要求如下：</w:t>
      </w:r>
    </w:p>
    <w:p w14:paraId="38EBD8DB">
      <w:pPr>
        <w:keepNext w:val="0"/>
        <w:keepLines w:val="0"/>
        <w:pageBreakBefore w:val="0"/>
        <w:kinsoku/>
        <w:wordWrap/>
        <w:overflowPunct/>
        <w:topLinePunct w:val="0"/>
        <w:autoSpaceDE/>
        <w:autoSpaceDN/>
        <w:bidi w:val="0"/>
        <w:spacing w:line="360" w:lineRule="auto"/>
        <w:ind w:left="425"/>
        <w:rPr>
          <w:rFonts w:hAnsi="宋体"/>
          <w:b/>
          <w:color w:val="000000"/>
          <w:highlight w:val="none"/>
        </w:rPr>
      </w:pPr>
      <w:r>
        <w:rPr>
          <w:rFonts w:hint="eastAsia" w:hAnsi="宋体"/>
          <w:b/>
          <w:color w:val="000000"/>
          <w:highlight w:val="none"/>
        </w:rPr>
        <w:t>第一条   项目基本情况</w:t>
      </w:r>
    </w:p>
    <w:p w14:paraId="56316903">
      <w:pPr>
        <w:keepNext w:val="0"/>
        <w:keepLines w:val="0"/>
        <w:pageBreakBefore w:val="0"/>
        <w:kinsoku/>
        <w:wordWrap/>
        <w:overflowPunct/>
        <w:topLinePunct w:val="0"/>
        <w:autoSpaceDE/>
        <w:autoSpaceDN/>
        <w:bidi w:val="0"/>
        <w:spacing w:line="360" w:lineRule="auto"/>
        <w:ind w:firstLine="480" w:firstLineChars="200"/>
        <w:rPr>
          <w:rFonts w:hint="eastAsia" w:hAnsi="宋体" w:cs="宋体"/>
          <w:color w:val="000000"/>
          <w:highlight w:val="none"/>
          <w:u w:val="none"/>
        </w:rPr>
      </w:pPr>
      <w:r>
        <w:rPr>
          <w:rFonts w:hint="eastAsia" w:hAnsi="宋体" w:cs="宋体"/>
          <w:color w:val="000000"/>
          <w:highlight w:val="none"/>
          <w:u w:val="none"/>
          <w:lang w:eastAsia="zh-CN"/>
        </w:rPr>
        <w:t>西安市碑林区精神障碍社区康复服务项目</w:t>
      </w:r>
      <w:r>
        <w:rPr>
          <w:rFonts w:hint="eastAsia" w:hAnsi="宋体" w:cs="宋体"/>
          <w:color w:val="000000"/>
          <w:highlight w:val="none"/>
          <w:u w:val="none"/>
        </w:rPr>
        <w:t>。</w:t>
      </w:r>
    </w:p>
    <w:p w14:paraId="13E542E0">
      <w:pPr>
        <w:keepNext w:val="0"/>
        <w:keepLines w:val="0"/>
        <w:pageBreakBefore w:val="0"/>
        <w:kinsoku/>
        <w:wordWrap/>
        <w:overflowPunct/>
        <w:topLinePunct w:val="0"/>
        <w:autoSpaceDE/>
        <w:autoSpaceDN/>
        <w:bidi w:val="0"/>
        <w:spacing w:line="360" w:lineRule="auto"/>
        <w:ind w:firstLine="480" w:firstLineChars="200"/>
        <w:rPr>
          <w:rFonts w:hint="eastAsia" w:hAnsi="宋体" w:cs="宋体"/>
          <w:color w:val="000000"/>
          <w:highlight w:val="none"/>
          <w:u w:val="none"/>
          <w:lang w:eastAsia="zh-CN"/>
        </w:rPr>
      </w:pPr>
      <w:r>
        <w:rPr>
          <w:rFonts w:hint="eastAsia" w:hAnsi="宋体" w:cs="宋体"/>
          <w:color w:val="000000"/>
          <w:highlight w:val="none"/>
          <w:u w:val="none"/>
          <w:lang w:eastAsia="zh-CN"/>
        </w:rPr>
        <w:t>根据市民政局、市委社会部、市卫健委、市财政局和市残联《关于印发&lt;西安市加快推进精神障碍社区康复服务工作实施方案&gt;的通知》（</w:t>
      </w:r>
      <w:r>
        <w:rPr>
          <w:rFonts w:hint="eastAsia" w:hAnsi="宋体" w:cs="宋体"/>
          <w:color w:val="000000"/>
          <w:highlight w:val="none"/>
          <w:u w:val="none"/>
          <w:lang w:val="en-US" w:eastAsia="zh-CN"/>
        </w:rPr>
        <w:t>市民发〔2025〕120号</w:t>
      </w:r>
      <w:r>
        <w:rPr>
          <w:rFonts w:hint="eastAsia" w:hAnsi="宋体" w:cs="宋体"/>
          <w:color w:val="000000"/>
          <w:highlight w:val="none"/>
          <w:u w:val="none"/>
          <w:lang w:eastAsia="zh-CN"/>
        </w:rPr>
        <w:t>）文件要求，计划通过政府购买服务形式组织专业服务机构对辖区300名精神障碍患者建立评估档案，为60%以上建档患者提供服药训练、肢体管理和社会融入等康复服务，优先关注特困、低保、低保边缘和支出型困难家庭中救助对象，和孤寡、独居老人、困境儿童等民政服务对象。</w:t>
      </w:r>
    </w:p>
    <w:p w14:paraId="743FA379">
      <w:pPr>
        <w:keepNext w:val="0"/>
        <w:keepLines w:val="0"/>
        <w:pageBreakBefore w:val="0"/>
        <w:kinsoku/>
        <w:wordWrap/>
        <w:overflowPunct/>
        <w:topLinePunct w:val="0"/>
        <w:autoSpaceDE/>
        <w:autoSpaceDN/>
        <w:bidi w:val="0"/>
        <w:spacing w:line="360" w:lineRule="auto"/>
        <w:ind w:left="425"/>
        <w:rPr>
          <w:rFonts w:hint="eastAsia" w:ascii="宋体" w:hAnsi="宋体" w:eastAsia="宋体" w:cs="Times New Roman"/>
          <w:b/>
          <w:color w:val="000000"/>
          <w:highlight w:val="none"/>
        </w:rPr>
      </w:pPr>
      <w:r>
        <w:rPr>
          <w:rFonts w:hint="eastAsia" w:ascii="宋体" w:hAnsi="宋体" w:eastAsia="宋体" w:cs="Times New Roman"/>
          <w:b/>
          <w:color w:val="000000"/>
          <w:highlight w:val="none"/>
          <w:lang w:val="en-US" w:eastAsia="zh-CN"/>
        </w:rPr>
        <w:t>第二条</w:t>
      </w:r>
      <w:r>
        <w:rPr>
          <w:rFonts w:hint="eastAsia" w:ascii="宋体" w:hAnsi="宋体" w:eastAsia="宋体" w:cs="Times New Roman"/>
          <w:b/>
          <w:color w:val="000000"/>
          <w:highlight w:val="none"/>
        </w:rPr>
        <w:t xml:space="preserve">  服务期限</w:t>
      </w:r>
    </w:p>
    <w:p w14:paraId="0ED40CB1">
      <w:pPr>
        <w:pStyle w:val="12"/>
        <w:keepNext w:val="0"/>
        <w:keepLines w:val="0"/>
        <w:pageBreakBefore w:val="0"/>
        <w:kinsoku/>
        <w:wordWrap/>
        <w:overflowPunct/>
        <w:topLinePunct w:val="0"/>
        <w:autoSpaceDE/>
        <w:autoSpaceDN/>
        <w:bidi w:val="0"/>
        <w:spacing w:line="360" w:lineRule="auto"/>
        <w:ind w:firstLine="480"/>
        <w:rPr>
          <w:rFonts w:hint="eastAsia" w:cs="宋体"/>
          <w:color w:val="000000"/>
          <w:highlight w:val="none"/>
          <w:u w:val="single"/>
          <w:lang w:val="en-US" w:eastAsia="zh-CN"/>
        </w:rPr>
      </w:pPr>
      <w:r>
        <w:rPr>
          <w:rFonts w:hint="eastAsia" w:ascii="宋体" w:hAnsi="Times New Roman" w:eastAsia="宋体" w:cs="宋体"/>
          <w:color w:val="000000"/>
          <w:highlight w:val="none"/>
          <w:lang w:val="en-US" w:eastAsia="zh-CN"/>
        </w:rPr>
        <w:t>服务期限：</w:t>
      </w:r>
      <w:r>
        <w:rPr>
          <w:rFonts w:hint="eastAsia" w:cs="宋体"/>
          <w:color w:val="000000"/>
          <w:highlight w:val="none"/>
          <w:u w:val="single"/>
          <w:lang w:val="en-US" w:eastAsia="zh-CN"/>
        </w:rPr>
        <w:t xml:space="preserve"> 自合同签订之日起1年。</w:t>
      </w:r>
    </w:p>
    <w:p w14:paraId="7FC6D1DA">
      <w:pPr>
        <w:keepNext w:val="0"/>
        <w:keepLines w:val="0"/>
        <w:pageBreakBefore w:val="0"/>
        <w:kinsoku/>
        <w:wordWrap/>
        <w:overflowPunct/>
        <w:topLinePunct w:val="0"/>
        <w:autoSpaceDE/>
        <w:autoSpaceDN/>
        <w:bidi w:val="0"/>
        <w:spacing w:line="360" w:lineRule="auto"/>
        <w:ind w:left="425"/>
        <w:rPr>
          <w:rFonts w:hAnsi="宋体"/>
          <w:b/>
          <w:color w:val="000000"/>
          <w:highlight w:val="none"/>
        </w:rPr>
      </w:pPr>
      <w:bookmarkStart w:id="0" w:name="_Toc283019214"/>
      <w:bookmarkStart w:id="1" w:name="_Toc232492928"/>
      <w:bookmarkStart w:id="2" w:name="_Toc286993786"/>
      <w:bookmarkStart w:id="3" w:name="_Toc239233914"/>
      <w:bookmarkStart w:id="4" w:name="_Toc251768862"/>
      <w:bookmarkStart w:id="5" w:name="_Toc185395249"/>
      <w:bookmarkStart w:id="6" w:name="_Toc238984975"/>
      <w:bookmarkStart w:id="7" w:name="_Toc247334841"/>
      <w:bookmarkStart w:id="8" w:name="_Toc225654644"/>
      <w:bookmarkStart w:id="9" w:name="_Toc211854449"/>
      <w:bookmarkStart w:id="10" w:name="_Toc282696226"/>
      <w:bookmarkStart w:id="11" w:name="_Toc225244852"/>
      <w:bookmarkStart w:id="12" w:name="_Toc239568418"/>
      <w:bookmarkStart w:id="13" w:name="_Toc225670751"/>
      <w:bookmarkStart w:id="14" w:name="_Toc237145406"/>
      <w:bookmarkStart w:id="15" w:name="_Toc241833903"/>
      <w:bookmarkStart w:id="16" w:name="_Toc211911348"/>
      <w:bookmarkStart w:id="17" w:name="_Toc212019594"/>
      <w:r>
        <w:rPr>
          <w:rFonts w:hint="eastAsia" w:hAnsi="宋体"/>
          <w:b/>
          <w:color w:val="000000"/>
          <w:highlight w:val="none"/>
        </w:rPr>
        <w:t>第三条   服务内容</w:t>
      </w:r>
    </w:p>
    <w:p w14:paraId="7C25CCF3">
      <w:pPr>
        <w:keepNext w:val="0"/>
        <w:keepLines w:val="0"/>
        <w:pageBreakBefore w:val="0"/>
        <w:widowControl/>
        <w:kinsoku/>
        <w:wordWrap/>
        <w:overflowPunct/>
        <w:topLinePunct w:val="0"/>
        <w:autoSpaceDE/>
        <w:autoSpaceDN/>
        <w:bidi w:val="0"/>
        <w:snapToGrid/>
        <w:spacing w:line="360" w:lineRule="auto"/>
        <w:ind w:firstLine="480" w:firstLineChars="200"/>
        <w:jc w:val="left"/>
        <w:outlineLvl w:val="1"/>
        <w:rPr>
          <w:rFonts w:hint="eastAsia" w:ascii="宋体" w:hAnsi="宋体" w:eastAsia="宋体" w:cs="宋体"/>
          <w:b w:val="0"/>
          <w:bCs/>
          <w:sz w:val="24"/>
          <w:szCs w:val="24"/>
          <w:highlight w:val="none"/>
          <w:lang w:val="en-US" w:eastAsia="zh-CN"/>
        </w:rPr>
      </w:pPr>
      <w:bookmarkStart w:id="18" w:name="_Toc20078"/>
      <w:r>
        <w:rPr>
          <w:rFonts w:hint="eastAsia" w:ascii="宋体" w:hAnsi="宋体" w:eastAsia="宋体" w:cs="宋体"/>
          <w:b w:val="0"/>
          <w:bCs/>
          <w:sz w:val="24"/>
          <w:szCs w:val="24"/>
          <w:highlight w:val="none"/>
          <w:lang w:val="en-US" w:eastAsia="zh-CN"/>
        </w:rPr>
        <w:t>针对精障患者的社区康复需求，以一对一、小组（不少于6名服务对象）、活动（不少于30名服务对象参与）的形式开展以下服务：</w:t>
      </w:r>
    </w:p>
    <w:p w14:paraId="6509944D">
      <w:pPr>
        <w:keepNext w:val="0"/>
        <w:keepLines w:val="0"/>
        <w:pageBreakBefore w:val="0"/>
        <w:widowControl/>
        <w:kinsoku/>
        <w:wordWrap/>
        <w:overflowPunct/>
        <w:topLinePunct w:val="0"/>
        <w:autoSpaceDE/>
        <w:autoSpaceDN/>
        <w:bidi w:val="0"/>
        <w:snapToGrid/>
        <w:spacing w:line="360" w:lineRule="auto"/>
        <w:ind w:firstLine="480" w:firstLineChars="200"/>
        <w:jc w:val="left"/>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1、基础及专业服务：</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833"/>
        <w:gridCol w:w="3129"/>
        <w:gridCol w:w="2863"/>
        <w:gridCol w:w="1555"/>
      </w:tblGrid>
      <w:tr w14:paraId="15F7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81" w:type="dxa"/>
            <w:noWrap w:val="0"/>
            <w:vAlign w:val="top"/>
          </w:tcPr>
          <w:p w14:paraId="523FA8A7">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序号</w:t>
            </w:r>
          </w:p>
        </w:tc>
        <w:tc>
          <w:tcPr>
            <w:tcW w:w="833" w:type="dxa"/>
            <w:noWrap w:val="0"/>
            <w:vAlign w:val="top"/>
          </w:tcPr>
          <w:p w14:paraId="50977E49">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服务类别</w:t>
            </w:r>
          </w:p>
        </w:tc>
        <w:tc>
          <w:tcPr>
            <w:tcW w:w="3129" w:type="dxa"/>
            <w:noWrap w:val="0"/>
            <w:vAlign w:val="top"/>
          </w:tcPr>
          <w:p w14:paraId="1FB97D6C">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服务内容</w:t>
            </w:r>
          </w:p>
        </w:tc>
        <w:tc>
          <w:tcPr>
            <w:tcW w:w="2863" w:type="dxa"/>
            <w:noWrap w:val="0"/>
            <w:vAlign w:val="top"/>
          </w:tcPr>
          <w:p w14:paraId="5CE3220A">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服务次数</w:t>
            </w:r>
          </w:p>
        </w:tc>
        <w:tc>
          <w:tcPr>
            <w:tcW w:w="1555" w:type="dxa"/>
            <w:noWrap w:val="0"/>
            <w:vAlign w:val="top"/>
          </w:tcPr>
          <w:p w14:paraId="4C5399D9">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参考时长</w:t>
            </w:r>
          </w:p>
        </w:tc>
      </w:tr>
      <w:tr w14:paraId="5683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noWrap w:val="0"/>
            <w:vAlign w:val="center"/>
          </w:tcPr>
          <w:p w14:paraId="12D4E163">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w:t>
            </w:r>
          </w:p>
        </w:tc>
        <w:tc>
          <w:tcPr>
            <w:tcW w:w="833" w:type="dxa"/>
            <w:noWrap w:val="0"/>
            <w:vAlign w:val="center"/>
          </w:tcPr>
          <w:p w14:paraId="0898FD93">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基础服务</w:t>
            </w:r>
          </w:p>
          <w:p w14:paraId="64DBA0BB">
            <w:pPr>
              <w:keepNext w:val="0"/>
              <w:keepLines w:val="0"/>
              <w:pageBreakBefore w:val="0"/>
              <w:widowControl/>
              <w:kinsoku/>
              <w:wordWrap/>
              <w:overflowPunct/>
              <w:topLinePunct w:val="0"/>
              <w:autoSpaceDE/>
              <w:autoSpaceDN/>
              <w:bidi w:val="0"/>
              <w:snapToGrid/>
              <w:spacing w:line="360" w:lineRule="auto"/>
              <w:ind w:firstLine="480" w:firstLineChars="200"/>
              <w:jc w:val="center"/>
              <w:outlineLvl w:val="1"/>
              <w:rPr>
                <w:rFonts w:hint="eastAsia" w:ascii="宋体" w:hAnsi="宋体" w:eastAsia="宋体" w:cs="宋体"/>
                <w:b w:val="0"/>
                <w:bCs/>
                <w:sz w:val="24"/>
                <w:szCs w:val="24"/>
                <w:highlight w:val="none"/>
                <w:lang w:val="en-US" w:eastAsia="zh-CN"/>
              </w:rPr>
            </w:pPr>
          </w:p>
        </w:tc>
        <w:tc>
          <w:tcPr>
            <w:tcW w:w="3129" w:type="dxa"/>
            <w:noWrap w:val="0"/>
            <w:vAlign w:val="center"/>
          </w:tcPr>
          <w:p w14:paraId="3067DBEC">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对意愿患者进行“登记建档”及“基线评估”；对服务</w:t>
            </w:r>
          </w:p>
          <w:p w14:paraId="52A29926">
            <w:pPr>
              <w:keepNext w:val="0"/>
              <w:keepLines w:val="0"/>
              <w:pageBreakBefore w:val="0"/>
              <w:widowControl/>
              <w:kinsoku/>
              <w:wordWrap/>
              <w:overflowPunct/>
              <w:topLinePunct w:val="0"/>
              <w:autoSpaceDE/>
              <w:autoSpaceDN/>
              <w:bidi w:val="0"/>
              <w:snapToGrid/>
              <w:spacing w:line="360" w:lineRule="auto"/>
              <w:ind w:firstLine="480" w:firstLineChars="200"/>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患者每季度开展“过程评估”。</w:t>
            </w:r>
          </w:p>
        </w:tc>
        <w:tc>
          <w:tcPr>
            <w:tcW w:w="2863" w:type="dxa"/>
            <w:noWrap w:val="0"/>
            <w:vAlign w:val="center"/>
          </w:tcPr>
          <w:p w14:paraId="750CCF2C">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登记建档及基线评估≥300 人次；过程评估≥540 人次</w:t>
            </w:r>
          </w:p>
        </w:tc>
        <w:tc>
          <w:tcPr>
            <w:tcW w:w="1555" w:type="dxa"/>
            <w:noWrap w:val="0"/>
            <w:vAlign w:val="center"/>
          </w:tcPr>
          <w:p w14:paraId="2F7A907C">
            <w:pPr>
              <w:keepNext w:val="0"/>
              <w:keepLines w:val="0"/>
              <w:pageBreakBefore w:val="0"/>
              <w:widowControl/>
              <w:kinsoku/>
              <w:wordWrap/>
              <w:overflowPunct/>
              <w:topLinePunct w:val="0"/>
              <w:autoSpaceDE/>
              <w:autoSpaceDN/>
              <w:bidi w:val="0"/>
              <w:snapToGrid/>
              <w:spacing w:line="360" w:lineRule="auto"/>
              <w:ind w:firstLine="480" w:firstLineChars="200"/>
              <w:jc w:val="center"/>
              <w:outlineLvl w:val="1"/>
              <w:rPr>
                <w:rFonts w:hint="eastAsia" w:ascii="宋体" w:hAnsi="宋体" w:eastAsia="宋体" w:cs="宋体"/>
                <w:b w:val="0"/>
                <w:bCs/>
                <w:sz w:val="24"/>
                <w:szCs w:val="24"/>
                <w:highlight w:val="none"/>
                <w:lang w:val="en-US" w:eastAsia="zh-CN"/>
              </w:rPr>
            </w:pPr>
          </w:p>
          <w:p w14:paraId="60B729F8">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1.5 小时/次</w:t>
            </w:r>
          </w:p>
          <w:p w14:paraId="39E25A17">
            <w:pPr>
              <w:keepNext w:val="0"/>
              <w:keepLines w:val="0"/>
              <w:pageBreakBefore w:val="0"/>
              <w:widowControl/>
              <w:kinsoku/>
              <w:wordWrap/>
              <w:overflowPunct/>
              <w:topLinePunct w:val="0"/>
              <w:autoSpaceDE/>
              <w:autoSpaceDN/>
              <w:bidi w:val="0"/>
              <w:snapToGrid/>
              <w:spacing w:line="360" w:lineRule="auto"/>
              <w:ind w:firstLine="480" w:firstLineChars="200"/>
              <w:jc w:val="center"/>
              <w:outlineLvl w:val="1"/>
              <w:rPr>
                <w:rFonts w:hint="eastAsia" w:ascii="宋体" w:hAnsi="宋体" w:eastAsia="宋体" w:cs="宋体"/>
                <w:b w:val="0"/>
                <w:bCs/>
                <w:sz w:val="24"/>
                <w:szCs w:val="24"/>
                <w:highlight w:val="none"/>
                <w:lang w:val="en-US" w:eastAsia="zh-CN"/>
              </w:rPr>
            </w:pPr>
          </w:p>
        </w:tc>
      </w:tr>
      <w:tr w14:paraId="2A301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0" w:hRule="atLeast"/>
        </w:trPr>
        <w:tc>
          <w:tcPr>
            <w:tcW w:w="681" w:type="dxa"/>
            <w:noWrap w:val="0"/>
            <w:vAlign w:val="top"/>
          </w:tcPr>
          <w:p w14:paraId="7F398BEE">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38D7B60E">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735218B8">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w:t>
            </w:r>
          </w:p>
        </w:tc>
        <w:tc>
          <w:tcPr>
            <w:tcW w:w="833" w:type="dxa"/>
            <w:noWrap w:val="0"/>
            <w:vAlign w:val="top"/>
          </w:tcPr>
          <w:p w14:paraId="529AA4B8">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522B2914">
            <w:pPr>
              <w:keepNext w:val="0"/>
              <w:keepLines w:val="0"/>
              <w:pageBreakBefore w:val="0"/>
              <w:widowControl/>
              <w:kinsoku/>
              <w:wordWrap/>
              <w:overflowPunct/>
              <w:topLinePunct w:val="0"/>
              <w:autoSpaceDE/>
              <w:autoSpaceDN/>
              <w:bidi w:val="0"/>
              <w:snapToGrid/>
              <w:spacing w:line="360" w:lineRule="auto"/>
              <w:jc w:val="both"/>
              <w:outlineLvl w:val="1"/>
              <w:rPr>
                <w:rFonts w:hint="eastAsia" w:ascii="宋体" w:hAnsi="宋体" w:eastAsia="宋体" w:cs="宋体"/>
                <w:b w:val="0"/>
                <w:bCs/>
                <w:sz w:val="24"/>
                <w:szCs w:val="24"/>
                <w:highlight w:val="none"/>
                <w:lang w:val="en-US" w:eastAsia="zh-CN"/>
              </w:rPr>
            </w:pPr>
          </w:p>
          <w:p w14:paraId="7E0B895C">
            <w:pPr>
              <w:keepNext w:val="0"/>
              <w:keepLines w:val="0"/>
              <w:pageBreakBefore w:val="0"/>
              <w:widowControl/>
              <w:kinsoku/>
              <w:wordWrap/>
              <w:overflowPunct/>
              <w:topLinePunct w:val="0"/>
              <w:autoSpaceDE/>
              <w:autoSpaceDN/>
              <w:bidi w:val="0"/>
              <w:snapToGrid/>
              <w:spacing w:line="360" w:lineRule="auto"/>
              <w:jc w:val="both"/>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康复训练 </w:t>
            </w:r>
          </w:p>
          <w:p w14:paraId="0779CD0A">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tc>
        <w:tc>
          <w:tcPr>
            <w:tcW w:w="3129" w:type="dxa"/>
            <w:noWrap w:val="0"/>
            <w:vAlign w:val="top"/>
          </w:tcPr>
          <w:p w14:paraId="54036D97">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对患者开展服药训练、躯 </w:t>
            </w:r>
          </w:p>
          <w:p w14:paraId="0E241DA4">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体管理训练、生活技能训 </w:t>
            </w:r>
          </w:p>
          <w:p w14:paraId="6A1AE3FD">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练、社交技能训练、同伴 </w:t>
            </w:r>
          </w:p>
          <w:p w14:paraId="02B68DC9">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支持、职业康复训练、心 </w:t>
            </w:r>
          </w:p>
          <w:p w14:paraId="6B1CAB6B">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理治疗等 </w:t>
            </w:r>
          </w:p>
          <w:p w14:paraId="24A8EDC6">
            <w:pPr>
              <w:keepNext w:val="0"/>
              <w:keepLines w:val="0"/>
              <w:pageBreakBefore w:val="0"/>
              <w:widowControl/>
              <w:kinsoku/>
              <w:wordWrap/>
              <w:overflowPunct/>
              <w:topLinePunct w:val="0"/>
              <w:autoSpaceDE/>
              <w:autoSpaceDN/>
              <w:bidi w:val="0"/>
              <w:snapToGrid/>
              <w:spacing w:line="360" w:lineRule="auto"/>
              <w:jc w:val="both"/>
              <w:outlineLvl w:val="1"/>
              <w:rPr>
                <w:rFonts w:hint="eastAsia" w:ascii="宋体" w:hAnsi="宋体" w:eastAsia="宋体" w:cs="宋体"/>
                <w:b w:val="0"/>
                <w:bCs/>
                <w:sz w:val="24"/>
                <w:szCs w:val="24"/>
                <w:highlight w:val="none"/>
                <w:lang w:val="en-US" w:eastAsia="zh-CN"/>
              </w:rPr>
            </w:pPr>
          </w:p>
        </w:tc>
        <w:tc>
          <w:tcPr>
            <w:tcW w:w="2863" w:type="dxa"/>
            <w:noWrap w:val="0"/>
            <w:vAlign w:val="top"/>
          </w:tcPr>
          <w:p w14:paraId="4DD262F4">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服药训练、躯体训 </w:t>
            </w:r>
          </w:p>
          <w:p w14:paraId="57F12818">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练、生活及社交技 </w:t>
            </w:r>
          </w:p>
          <w:p w14:paraId="299CC62F">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能训练、同伴支持 </w:t>
            </w:r>
          </w:p>
          <w:p w14:paraId="51E68419">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≥4320 人次；职业康 </w:t>
            </w:r>
          </w:p>
          <w:p w14:paraId="3A6F2A10">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复训练≥60 人次；心 </w:t>
            </w:r>
          </w:p>
          <w:p w14:paraId="6088D063">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理治疗≥360 人次。</w:t>
            </w:r>
          </w:p>
        </w:tc>
        <w:tc>
          <w:tcPr>
            <w:tcW w:w="1555" w:type="dxa"/>
            <w:noWrap w:val="0"/>
            <w:vAlign w:val="top"/>
          </w:tcPr>
          <w:p w14:paraId="1F06464D">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训练活动 1 </w:t>
            </w:r>
          </w:p>
          <w:p w14:paraId="1DD179DE">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小时/次；职 </w:t>
            </w:r>
          </w:p>
          <w:p w14:paraId="3AEC7E92">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业康复6小 </w:t>
            </w:r>
          </w:p>
          <w:p w14:paraId="4A764441">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时/次；心理 </w:t>
            </w:r>
          </w:p>
          <w:p w14:paraId="2EFDBDD4">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治疗1小时 </w:t>
            </w:r>
          </w:p>
          <w:p w14:paraId="18AB8C43">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/次。</w:t>
            </w:r>
          </w:p>
        </w:tc>
      </w:tr>
      <w:tr w14:paraId="31F24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681" w:type="dxa"/>
            <w:noWrap w:val="0"/>
            <w:vAlign w:val="top"/>
          </w:tcPr>
          <w:p w14:paraId="52073766">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58274A3B">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22A4C78B">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4F47893A">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3</w:t>
            </w:r>
          </w:p>
        </w:tc>
        <w:tc>
          <w:tcPr>
            <w:tcW w:w="833" w:type="dxa"/>
            <w:noWrap w:val="0"/>
            <w:vAlign w:val="top"/>
          </w:tcPr>
          <w:p w14:paraId="2C681ED6">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7E4E2DBD">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61C5377F">
            <w:pPr>
              <w:keepNext w:val="0"/>
              <w:keepLines w:val="0"/>
              <w:pageBreakBefore w:val="0"/>
              <w:widowControl/>
              <w:kinsoku/>
              <w:wordWrap/>
              <w:overflowPunct/>
              <w:topLinePunct w:val="0"/>
              <w:autoSpaceDE/>
              <w:autoSpaceDN/>
              <w:bidi w:val="0"/>
              <w:snapToGrid/>
              <w:spacing w:line="360" w:lineRule="auto"/>
              <w:jc w:val="both"/>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培训授课 </w:t>
            </w:r>
          </w:p>
          <w:p w14:paraId="66D17D75">
            <w:pPr>
              <w:keepNext w:val="0"/>
              <w:keepLines w:val="0"/>
              <w:pageBreakBefore w:val="0"/>
              <w:widowControl/>
              <w:kinsoku/>
              <w:wordWrap/>
              <w:overflowPunct/>
              <w:topLinePunct w:val="0"/>
              <w:autoSpaceDE/>
              <w:autoSpaceDN/>
              <w:bidi w:val="0"/>
              <w:snapToGrid/>
              <w:spacing w:line="360" w:lineRule="auto"/>
              <w:jc w:val="both"/>
              <w:outlineLvl w:val="1"/>
              <w:rPr>
                <w:rFonts w:hint="eastAsia" w:ascii="宋体" w:hAnsi="宋体" w:eastAsia="宋体" w:cs="宋体"/>
                <w:b w:val="0"/>
                <w:bCs/>
                <w:sz w:val="24"/>
                <w:szCs w:val="24"/>
                <w:highlight w:val="none"/>
                <w:lang w:val="en-US" w:eastAsia="zh-CN"/>
              </w:rPr>
            </w:pPr>
          </w:p>
        </w:tc>
        <w:tc>
          <w:tcPr>
            <w:tcW w:w="3129" w:type="dxa"/>
            <w:noWrap w:val="0"/>
            <w:vAlign w:val="top"/>
          </w:tcPr>
          <w:p w14:paraId="1716870B">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对患者开展药物知识培 </w:t>
            </w:r>
          </w:p>
          <w:p w14:paraId="361891A8">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训、社交理论培训、工作 </w:t>
            </w:r>
          </w:p>
          <w:p w14:paraId="6451EC29">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基本技能培训；对患者家 </w:t>
            </w:r>
          </w:p>
          <w:p w14:paraId="1D1B1976">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属开展预防复发培训、指 导用药培训、家庭支持等 </w:t>
            </w:r>
          </w:p>
        </w:tc>
        <w:tc>
          <w:tcPr>
            <w:tcW w:w="2863" w:type="dxa"/>
            <w:noWrap w:val="0"/>
            <w:vAlign w:val="top"/>
          </w:tcPr>
          <w:p w14:paraId="403929FE">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5DFD4099">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4E25D6DC">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55F613A6">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培训场次≥24 次；</w:t>
            </w:r>
          </w:p>
        </w:tc>
        <w:tc>
          <w:tcPr>
            <w:tcW w:w="1555" w:type="dxa"/>
            <w:noWrap w:val="0"/>
            <w:vAlign w:val="top"/>
          </w:tcPr>
          <w:p w14:paraId="37C3AD4C">
            <w:pPr>
              <w:keepNext w:val="0"/>
              <w:keepLines w:val="0"/>
              <w:pageBreakBefore w:val="0"/>
              <w:widowControl/>
              <w:kinsoku/>
              <w:wordWrap/>
              <w:overflowPunct/>
              <w:topLinePunct w:val="0"/>
              <w:autoSpaceDE/>
              <w:autoSpaceDN/>
              <w:bidi w:val="0"/>
              <w:snapToGrid/>
              <w:spacing w:line="360" w:lineRule="auto"/>
              <w:jc w:val="both"/>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每场培训人数≥20 人。 2 小 时 / 场次</w:t>
            </w:r>
          </w:p>
        </w:tc>
      </w:tr>
      <w:tr w14:paraId="69E6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trPr>
        <w:tc>
          <w:tcPr>
            <w:tcW w:w="681" w:type="dxa"/>
            <w:noWrap w:val="0"/>
            <w:vAlign w:val="top"/>
          </w:tcPr>
          <w:p w14:paraId="090B0ABE">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64E6E848">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24840888">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4</w:t>
            </w:r>
          </w:p>
        </w:tc>
        <w:tc>
          <w:tcPr>
            <w:tcW w:w="833" w:type="dxa"/>
            <w:noWrap w:val="0"/>
            <w:vAlign w:val="top"/>
          </w:tcPr>
          <w:p w14:paraId="2D20EC87">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0A31F2C0">
            <w:pPr>
              <w:keepNext w:val="0"/>
              <w:keepLines w:val="0"/>
              <w:pageBreakBefore w:val="0"/>
              <w:widowControl/>
              <w:kinsoku/>
              <w:wordWrap/>
              <w:overflowPunct/>
              <w:topLinePunct w:val="0"/>
              <w:autoSpaceDE/>
              <w:autoSpaceDN/>
              <w:bidi w:val="0"/>
              <w:snapToGrid/>
              <w:spacing w:line="360" w:lineRule="auto"/>
              <w:jc w:val="both"/>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入户服务 </w:t>
            </w:r>
          </w:p>
        </w:tc>
        <w:tc>
          <w:tcPr>
            <w:tcW w:w="3129" w:type="dxa"/>
            <w:noWrap w:val="0"/>
            <w:vAlign w:val="top"/>
          </w:tcPr>
          <w:p w14:paraId="5041A74D">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入户为患者开展家庭指导 </w:t>
            </w:r>
          </w:p>
          <w:p w14:paraId="5E7E6355">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训练、政策链接，深入掌 </w:t>
            </w:r>
          </w:p>
          <w:p w14:paraId="0D464A3A">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握患者家庭情况，开展情 感链接、困难帮扶。</w:t>
            </w:r>
          </w:p>
        </w:tc>
        <w:tc>
          <w:tcPr>
            <w:tcW w:w="2863" w:type="dxa"/>
            <w:noWrap w:val="0"/>
            <w:vAlign w:val="top"/>
          </w:tcPr>
          <w:p w14:paraId="569AE3EA">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38378285">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29272A96">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 xml:space="preserve">入户≥540 人次 </w:t>
            </w:r>
          </w:p>
          <w:p w14:paraId="7E8A0945">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tc>
        <w:tc>
          <w:tcPr>
            <w:tcW w:w="1555" w:type="dxa"/>
            <w:noWrap w:val="0"/>
            <w:vAlign w:val="top"/>
          </w:tcPr>
          <w:p w14:paraId="73DC3A1B">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33BABAB1">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p>
          <w:p w14:paraId="75F5E8DC">
            <w:pPr>
              <w:keepNext w:val="0"/>
              <w:keepLines w:val="0"/>
              <w:pageBreakBefore w:val="0"/>
              <w:widowControl/>
              <w:kinsoku/>
              <w:wordWrap/>
              <w:overflowPunct/>
              <w:topLinePunct w:val="0"/>
              <w:autoSpaceDE/>
              <w:autoSpaceDN/>
              <w:bidi w:val="0"/>
              <w:snapToGrid/>
              <w:spacing w:line="360" w:lineRule="auto"/>
              <w:jc w:val="center"/>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 小时/户/ 次</w:t>
            </w:r>
          </w:p>
        </w:tc>
      </w:tr>
    </w:tbl>
    <w:p w14:paraId="1A6FB62B">
      <w:pPr>
        <w:keepNext w:val="0"/>
        <w:keepLines w:val="0"/>
        <w:pageBreakBefore w:val="0"/>
        <w:widowControl/>
        <w:kinsoku/>
        <w:wordWrap/>
        <w:overflowPunct/>
        <w:topLinePunct w:val="0"/>
        <w:autoSpaceDE/>
        <w:autoSpaceDN/>
        <w:bidi w:val="0"/>
        <w:snapToGrid/>
        <w:spacing w:line="360" w:lineRule="auto"/>
        <w:ind w:firstLine="480" w:firstLineChars="200"/>
        <w:jc w:val="left"/>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其他活动性服务：在社区内开展社交康乐服务、社区宣传服务、社区志愿服务、精康宣讲等社区共融服务，促进社区居民与精障患者及其家庭的互动和融合；结合社区内资源情况以及服务对象的实际需求情况，创新开展特色服务或更具探索性的深度服务，如户外康复活动等，组织精神障碍社区康复服务人员培训， 每年至少2次；开展各种形式的宣传，引导社区居民接纳精神障碍患者，为精神障碍患者提供良好的社区融入环境。</w:t>
      </w:r>
    </w:p>
    <w:p w14:paraId="120400AB">
      <w:pPr>
        <w:keepNext w:val="0"/>
        <w:keepLines w:val="0"/>
        <w:pageBreakBefore w:val="0"/>
        <w:widowControl/>
        <w:kinsoku/>
        <w:wordWrap/>
        <w:overflowPunct/>
        <w:topLinePunct w:val="0"/>
        <w:autoSpaceDE/>
        <w:autoSpaceDN/>
        <w:bidi w:val="0"/>
        <w:snapToGrid/>
        <w:spacing w:line="360" w:lineRule="auto"/>
        <w:ind w:firstLine="480" w:firstLineChars="200"/>
        <w:jc w:val="left"/>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3、场地设置：按照《民政部 国家卫生健康委员会 中国残联关于印发〈精神障碍社区康复服务工作规范〉的通知》（民发〔2020〕147号）规定，服务场地内应配置必要的精神障碍康复设施设备，服务场地符合消防等规范要求，按照福彩金有关使用，使用规范标志、文字、标牌对福彩公益金进行宣传。</w:t>
      </w:r>
    </w:p>
    <w:p w14:paraId="35041741">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服务费用及支付方式</w:t>
      </w:r>
      <w:bookmarkEnd w:id="18"/>
    </w:p>
    <w:p w14:paraId="63E66C96">
      <w:pPr>
        <w:pStyle w:val="2"/>
        <w:keepNext w:val="0"/>
        <w:keepLines w:val="0"/>
        <w:pageBreakBefore w:val="0"/>
        <w:widowControl w:val="0"/>
        <w:kinsoku/>
        <w:wordWrap/>
        <w:overflowPunct/>
        <w:topLinePunct w:val="0"/>
        <w:autoSpaceDE/>
        <w:autoSpaceDN/>
        <w:bidi w:val="0"/>
        <w:adjustRightInd/>
        <w:snapToGrid/>
        <w:spacing w:before="0" w:line="360" w:lineRule="auto"/>
        <w:ind w:left="859" w:leftChars="200" w:hanging="379" w:hangingChars="158"/>
        <w:textAlignment w:val="auto"/>
        <w:rPr>
          <w:rFonts w:hint="eastAsia" w:ascii="宋体" w:hAnsi="宋体" w:eastAsia="宋体" w:cs="宋体"/>
          <w:b w:val="0"/>
          <w:bCs w:val="0"/>
          <w:i w:val="0"/>
          <w:iCs w:val="0"/>
          <w:caps w:val="0"/>
          <w:spacing w:val="0"/>
          <w:sz w:val="24"/>
          <w:szCs w:val="24"/>
          <w:highlight w:val="none"/>
          <w:shd w:val="clear" w:color="auto" w:fill="FFFFFF"/>
        </w:rPr>
      </w:pPr>
      <w:r>
        <w:rPr>
          <w:rFonts w:hint="eastAsia" w:ascii="宋体" w:hAnsi="宋体" w:eastAsia="宋体" w:cs="宋体"/>
          <w:b w:val="0"/>
          <w:bCs w:val="0"/>
          <w:sz w:val="24"/>
          <w:szCs w:val="24"/>
          <w:highlight w:val="none"/>
          <w:lang w:val="en-US" w:eastAsia="zh-CN"/>
        </w:rPr>
        <w:t>1</w:t>
      </w:r>
      <w:r>
        <w:rPr>
          <w:rFonts w:hint="eastAsia" w:ascii="宋体" w:hAnsi="宋体" w:eastAsia="宋体" w:cs="宋体"/>
          <w:bCs/>
          <w:color w:val="auto"/>
          <w:sz w:val="24"/>
          <w:szCs w:val="24"/>
          <w:highlight w:val="none"/>
        </w:rPr>
        <w:t>.</w:t>
      </w:r>
      <w:r>
        <w:rPr>
          <w:rFonts w:hint="eastAsia" w:ascii="宋体" w:hAnsi="宋体" w:eastAsia="宋体" w:cs="宋体"/>
          <w:b w:val="0"/>
          <w:bCs w:val="0"/>
          <w:sz w:val="24"/>
          <w:szCs w:val="24"/>
          <w:highlight w:val="none"/>
          <w:lang w:val="en-US" w:eastAsia="zh-CN"/>
        </w:rPr>
        <w:t>服务费</w:t>
      </w:r>
      <w:r>
        <w:rPr>
          <w:rFonts w:hint="eastAsia" w:ascii="宋体" w:hAnsi="宋体" w:eastAsia="宋体" w:cs="宋体"/>
          <w:b w:val="0"/>
          <w:bCs w:val="0"/>
          <w:i w:val="0"/>
          <w:iCs w:val="0"/>
          <w:caps w:val="0"/>
          <w:spacing w:val="0"/>
          <w:sz w:val="24"/>
          <w:szCs w:val="24"/>
          <w:highlight w:val="none"/>
          <w:shd w:val="clear" w:color="auto" w:fill="FFFFFF"/>
        </w:rPr>
        <w:t>总费用为人民币（大写）：</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元，￥</w:t>
      </w:r>
      <w:r>
        <w:rPr>
          <w:rFonts w:hint="eastAsia" w:ascii="宋体" w:hAnsi="宋体" w:eastAsia="宋体" w:cs="宋体"/>
          <w:b w:val="0"/>
          <w:bCs w:val="0"/>
          <w:i w:val="0"/>
          <w:iCs w:val="0"/>
          <w:caps w:val="0"/>
          <w:spacing w:val="0"/>
          <w:sz w:val="24"/>
          <w:szCs w:val="24"/>
          <w:highlight w:val="none"/>
          <w:u w:val="single"/>
          <w:shd w:val="clear" w:color="auto" w:fill="FFFFFF"/>
        </w:rPr>
        <w:t xml:space="preserve"> </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bookmarkStart w:id="62" w:name="_GoBack"/>
      <w:bookmarkEnd w:id="62"/>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w:t>
      </w:r>
    </w:p>
    <w:p w14:paraId="074FBA34">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w:t>
      </w:r>
      <w:r>
        <w:rPr>
          <w:rFonts w:hint="eastAsia" w:ascii="宋体" w:hAnsi="宋体" w:eastAsia="宋体" w:cs="宋体"/>
          <w:bCs/>
          <w:color w:val="auto"/>
          <w:sz w:val="24"/>
          <w:szCs w:val="24"/>
          <w:highlight w:val="none"/>
        </w:rPr>
        <w:t>.</w:t>
      </w:r>
      <w:r>
        <w:rPr>
          <w:rFonts w:hint="eastAsia" w:ascii="宋体" w:hAnsi="宋体" w:eastAsia="宋体" w:cs="宋体"/>
          <w:color w:val="auto"/>
          <w:kern w:val="0"/>
          <w:sz w:val="24"/>
          <w:szCs w:val="24"/>
          <w:highlight w:val="none"/>
          <w:lang w:val="en-US" w:eastAsia="zh-CN"/>
        </w:rPr>
        <w:t>支付方式：</w:t>
      </w:r>
    </w:p>
    <w:p w14:paraId="2FA51837">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（1）合同签订后，达到付款条件起10日，支付合同总金额的40%。</w:t>
      </w:r>
    </w:p>
    <w:p w14:paraId="03390939">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（2）合同签订后，满六个月，达到付款条件起10日，支付合同总金额的40%。</w:t>
      </w:r>
    </w:p>
    <w:p w14:paraId="0E325314">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（3）服务期满后，达到付款条件起10日，支付合同总金额的20%。</w:t>
      </w:r>
    </w:p>
    <w:p w14:paraId="3FE3FAE2">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（4）乙方应于甲方每次付款前提供等额正规发票。最后一次付款时应提供剩余款项全额正规发票。</w:t>
      </w:r>
    </w:p>
    <w:p w14:paraId="76791383">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注：项目通过市、区民政局或第三方机构的评估考核后向服务机构支付约定的服务费用。各期款项的支付，均以采购人完成财政资金申请及审批流程为前提，实际资金到账及支付时间以财政部门最终审批拨付结果为准。因财政部门资金审批、拨付的正常行政流程导致的款项支付延迟，采购人不承担违约责任。</w:t>
      </w:r>
    </w:p>
    <w:p w14:paraId="76508DC3">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3</w:t>
      </w:r>
      <w:r>
        <w:rPr>
          <w:rFonts w:hint="eastAsia" w:ascii="宋体" w:hAnsi="宋体" w:eastAsia="宋体" w:cs="宋体"/>
          <w:bCs/>
          <w:color w:val="auto"/>
          <w:sz w:val="24"/>
          <w:szCs w:val="24"/>
          <w:highlight w:val="none"/>
        </w:rPr>
        <w:t>.</w:t>
      </w:r>
      <w:r>
        <w:rPr>
          <w:rFonts w:hint="eastAsia" w:ascii="宋体" w:hAnsi="宋体" w:eastAsia="宋体" w:cs="宋体"/>
          <w:b w:val="0"/>
          <w:bCs w:val="0"/>
          <w:kern w:val="0"/>
          <w:sz w:val="24"/>
          <w:szCs w:val="24"/>
          <w:highlight w:val="none"/>
          <w:lang w:val="en-US" w:eastAsia="zh-CN" w:bidi="ar-SA"/>
        </w:rPr>
        <w:t>结算方式：银行转账</w:t>
      </w:r>
    </w:p>
    <w:p w14:paraId="21CC473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hAnsi="宋体" w:cs="宋体"/>
          <w:kern w:val="0"/>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kern w:val="0"/>
          <w:sz w:val="24"/>
          <w:szCs w:val="24"/>
          <w:highlight w:val="none"/>
        </w:rPr>
        <w:t>乙方收款账户</w:t>
      </w:r>
    </w:p>
    <w:p w14:paraId="34AFEE6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账户名称：                 </w:t>
      </w:r>
    </w:p>
    <w:p w14:paraId="4B1E0B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开户银行：                  </w:t>
      </w:r>
    </w:p>
    <w:p w14:paraId="2D34CF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rPr>
        <w:t>银行账号：</w:t>
      </w:r>
      <w:r>
        <w:rPr>
          <w:rFonts w:hint="eastAsia" w:ascii="宋体" w:hAnsi="宋体" w:eastAsia="宋体" w:cs="宋体"/>
          <w:kern w:val="0"/>
          <w:sz w:val="24"/>
          <w:szCs w:val="24"/>
          <w:highlight w:val="none"/>
          <w:lang w:val="en-US" w:eastAsia="zh-CN"/>
        </w:rPr>
        <w:t xml:space="preserve">                  </w:t>
      </w:r>
    </w:p>
    <w:p w14:paraId="33C43B1B">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19" w:name="_Toc22959"/>
      <w:r>
        <w:rPr>
          <w:rFonts w:hint="eastAsia" w:ascii="宋体" w:hAnsi="宋体" w:eastAsia="宋体" w:cs="宋体"/>
          <w:b/>
          <w:color w:val="auto"/>
          <w:sz w:val="24"/>
          <w:szCs w:val="24"/>
          <w:highlight w:val="none"/>
        </w:rPr>
        <w:t>第五条  知识产权（若有）</w:t>
      </w:r>
      <w:bookmarkEnd w:id="19"/>
    </w:p>
    <w:p w14:paraId="2027956E">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20" w:name="_Toc31647"/>
      <w:r>
        <w:rPr>
          <w:rFonts w:hint="eastAsia" w:ascii="宋体" w:hAnsi="宋体" w:eastAsia="宋体" w:cs="宋体"/>
          <w:b/>
          <w:color w:val="auto"/>
          <w:sz w:val="24"/>
          <w:szCs w:val="24"/>
          <w:highlight w:val="none"/>
        </w:rPr>
        <w:t>第六条  无产权瑕疵条款（如有）</w:t>
      </w:r>
      <w:bookmarkEnd w:id="20"/>
    </w:p>
    <w:p w14:paraId="25ABA474">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52864232">
      <w:pPr>
        <w:keepNext w:val="0"/>
        <w:keepLines w:val="0"/>
        <w:pageBreakBefore w:val="0"/>
        <w:kinsoku/>
        <w:wordWrap/>
        <w:overflowPunct/>
        <w:topLinePunct w:val="0"/>
        <w:autoSpaceDE/>
        <w:autoSpaceDN/>
        <w:bidi w:val="0"/>
        <w:spacing w:line="360" w:lineRule="auto"/>
        <w:ind w:left="426"/>
        <w:rPr>
          <w:rFonts w:hint="eastAsia" w:hAnsi="宋体"/>
          <w:b/>
          <w:color w:val="000000"/>
          <w:highlight w:val="none"/>
        </w:rPr>
      </w:pPr>
      <w:r>
        <w:rPr>
          <w:rFonts w:hint="eastAsia" w:hAnsi="宋体"/>
          <w:b/>
          <w:color w:val="000000"/>
          <w:highlight w:val="none"/>
        </w:rPr>
        <w:t>第七条   履约保证金</w:t>
      </w:r>
    </w:p>
    <w:p w14:paraId="09E59831">
      <w:pPr>
        <w:keepNext w:val="0"/>
        <w:keepLines w:val="0"/>
        <w:pageBreakBefore w:val="0"/>
        <w:kinsoku/>
        <w:wordWrap/>
        <w:overflowPunct/>
        <w:topLinePunct w:val="0"/>
        <w:autoSpaceDE/>
        <w:autoSpaceDN/>
        <w:bidi w:val="0"/>
        <w:spacing w:line="360" w:lineRule="auto"/>
        <w:ind w:left="426"/>
        <w:rPr>
          <w:rFonts w:hint="eastAsia" w:hAnsi="宋体"/>
          <w:color w:val="000000"/>
          <w:highlight w:val="none"/>
        </w:rPr>
      </w:pPr>
      <w:r>
        <w:rPr>
          <w:rFonts w:hint="eastAsia" w:hAnsi="宋体"/>
          <w:color w:val="000000"/>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FF33D5B">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1" w:name="_Toc16162"/>
      <w:r>
        <w:rPr>
          <w:rFonts w:hint="eastAsia" w:ascii="宋体" w:hAnsi="宋体" w:eastAsia="宋体" w:cs="宋体"/>
          <w:b/>
          <w:color w:val="auto"/>
          <w:sz w:val="24"/>
          <w:szCs w:val="24"/>
          <w:highlight w:val="none"/>
        </w:rPr>
        <w:t>第八条  甲方的权利和义务</w:t>
      </w:r>
      <w:bookmarkEnd w:id="21"/>
    </w:p>
    <w:p w14:paraId="47861C3A">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3.根据本合同规定，按时向乙方支付应付服务费用。</w:t>
      </w:r>
    </w:p>
    <w:p w14:paraId="29CDC53C">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4.国家法律、法规所规定由甲方承担的其它责任。</w:t>
      </w:r>
    </w:p>
    <w:p w14:paraId="13DD6CDA">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2" w:name="_Toc27740"/>
      <w:r>
        <w:rPr>
          <w:rFonts w:hint="eastAsia" w:ascii="宋体" w:hAnsi="宋体" w:eastAsia="宋体" w:cs="宋体"/>
          <w:b/>
          <w:color w:val="auto"/>
          <w:sz w:val="24"/>
          <w:szCs w:val="24"/>
          <w:highlight w:val="none"/>
        </w:rPr>
        <w:t>第九条  乙方的权利和义务</w:t>
      </w:r>
      <w:bookmarkEnd w:id="22"/>
    </w:p>
    <w:p w14:paraId="324921E0">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5.国家法律、法规所规定由乙方承担的其它责任。</w:t>
      </w:r>
    </w:p>
    <w:p w14:paraId="3CD13FB8">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3" w:name="_Toc25988"/>
      <w:r>
        <w:rPr>
          <w:rFonts w:hint="eastAsia" w:ascii="宋体" w:hAnsi="宋体" w:eastAsia="宋体" w:cs="宋体"/>
          <w:b/>
          <w:color w:val="auto"/>
          <w:sz w:val="24"/>
          <w:szCs w:val="24"/>
          <w:highlight w:val="none"/>
        </w:rPr>
        <w:t>第十条  违约责任</w:t>
      </w:r>
      <w:bookmarkEnd w:id="23"/>
    </w:p>
    <w:p w14:paraId="592D9418">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24" w:name="_Toc26448"/>
      <w:bookmarkStart w:id="25" w:name="_Toc185395254"/>
      <w:bookmarkStart w:id="26" w:name="_Toc225670756"/>
      <w:bookmarkStart w:id="27" w:name="_Toc286993792"/>
      <w:bookmarkStart w:id="28" w:name="_Toc232492933"/>
      <w:bookmarkStart w:id="29" w:name="_Toc247334846"/>
      <w:bookmarkStart w:id="30" w:name="_Toc251768867"/>
      <w:bookmarkStart w:id="31" w:name="_Toc239233919"/>
      <w:bookmarkStart w:id="32" w:name="_Toc241833908"/>
      <w:bookmarkStart w:id="33" w:name="_Toc225244857"/>
      <w:bookmarkStart w:id="34" w:name="_Toc239568423"/>
      <w:bookmarkStart w:id="35" w:name="_Toc238984980"/>
      <w:bookmarkStart w:id="36" w:name="_Toc212019599"/>
      <w:bookmarkStart w:id="37" w:name="_Toc211854454"/>
      <w:bookmarkStart w:id="38" w:name="_Toc225654649"/>
      <w:bookmarkStart w:id="39" w:name="_Toc237145411"/>
      <w:bookmarkStart w:id="40" w:name="_Toc211911353"/>
      <w:r>
        <w:rPr>
          <w:rFonts w:hint="eastAsia" w:ascii="宋体" w:hAnsi="宋体" w:eastAsia="宋体" w:cs="宋体"/>
          <w:b/>
          <w:sz w:val="24"/>
          <w:szCs w:val="24"/>
          <w:highlight w:val="none"/>
        </w:rPr>
        <w:t>第十一条  不可抗力事件处理</w:t>
      </w:r>
      <w:bookmarkEnd w:id="24"/>
    </w:p>
    <w:p w14:paraId="23CADF6C">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3.不可抗力事件延续</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天以上，双方应通过友好协商，确定是否继续履行合同。</w:t>
      </w:r>
    </w:p>
    <w:p w14:paraId="150CD1EA">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kern w:val="0"/>
          <w:sz w:val="24"/>
          <w:szCs w:val="24"/>
          <w:highlight w:val="none"/>
        </w:rPr>
      </w:pPr>
      <w:bookmarkStart w:id="41" w:name="_Toc20448"/>
      <w:r>
        <w:rPr>
          <w:rFonts w:hint="eastAsia" w:ascii="宋体" w:hAnsi="宋体" w:eastAsia="宋体" w:cs="宋体"/>
          <w:b/>
          <w:sz w:val="24"/>
          <w:szCs w:val="24"/>
          <w:highlight w:val="none"/>
        </w:rPr>
        <w:t xml:space="preserve">第十二条  </w:t>
      </w:r>
      <w:r>
        <w:rPr>
          <w:rFonts w:hint="eastAsia" w:ascii="宋体" w:hAnsi="宋体" w:eastAsia="宋体" w:cs="宋体"/>
          <w:b/>
          <w:kern w:val="0"/>
          <w:sz w:val="24"/>
          <w:szCs w:val="24"/>
          <w:highlight w:val="none"/>
        </w:rPr>
        <w:t>合同的变更和终止</w:t>
      </w:r>
      <w:bookmarkEnd w:id="41"/>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1D77086">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bookmarkStart w:id="42" w:name="_Toc283019219"/>
      <w:bookmarkStart w:id="43" w:name="_Toc225244858"/>
      <w:bookmarkStart w:id="44" w:name="_Toc251768868"/>
      <w:bookmarkStart w:id="45" w:name="_Toc286993793"/>
      <w:bookmarkStart w:id="46" w:name="_Toc212019600"/>
      <w:bookmarkStart w:id="47" w:name="_Toc241833909"/>
      <w:bookmarkStart w:id="48" w:name="_Toc211911354"/>
      <w:bookmarkStart w:id="49" w:name="_Toc239568424"/>
      <w:bookmarkStart w:id="50" w:name="_Toc185395255"/>
      <w:bookmarkStart w:id="51" w:name="_Toc211854455"/>
      <w:bookmarkStart w:id="52" w:name="_Toc247334847"/>
      <w:bookmarkStart w:id="53" w:name="_Toc282696231"/>
      <w:bookmarkStart w:id="54" w:name="_Toc225670757"/>
      <w:bookmarkStart w:id="55" w:name="_Toc237145412"/>
      <w:bookmarkStart w:id="56" w:name="_Toc239233920"/>
      <w:bookmarkStart w:id="57" w:name="_Toc238984981"/>
      <w:bookmarkStart w:id="58" w:name="_Toc225654650"/>
      <w:bookmarkStart w:id="59" w:name="_Toc232492934"/>
      <w:r>
        <w:rPr>
          <w:rFonts w:hint="eastAsia" w:hAnsi="宋体" w:cs="宋体"/>
          <w:kern w:val="0"/>
          <w:sz w:val="24"/>
          <w:szCs w:val="24"/>
          <w:highlight w:val="none"/>
          <w:lang w:val="en-US" w:eastAsia="zh-CN"/>
        </w:rPr>
        <w:t>1.</w:t>
      </w:r>
      <w:r>
        <w:rPr>
          <w:rFonts w:hint="eastAsia" w:ascii="宋体" w:hAnsi="宋体" w:eastAsia="宋体" w:cs="宋体"/>
          <w:kern w:val="0"/>
          <w:sz w:val="24"/>
          <w:szCs w:val="24"/>
          <w:highlight w:val="none"/>
        </w:rPr>
        <w:t>出现下列情形之一的，甲方有权单方解除本合同，并要求乙方承担相应的违约责任：</w:t>
      </w:r>
    </w:p>
    <w:p w14:paraId="4FD7EABA">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1</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服务质量重大失误：乙方提供的服务不符合合同附件约定的服务质量标准，出现重大责任事故 （如服务过程中导致老人摔伤、走失、食用不适食品导致健康受损等），经认定乙方应承担主要或全部责任的。</w:t>
      </w:r>
    </w:p>
    <w:p w14:paraId="74091BD6">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2</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负面舆情：因乙方或其员工的行为，在公共媒体、网络平台等引发重大负面舆情，对甲方或本项目的声誉造成严重损害，且乙方未能采取有效措施消除负面影响或给出令甲方满意的解释与解决方案的。</w:t>
      </w:r>
    </w:p>
    <w:p w14:paraId="352C43E9">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3</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违反法律法规：乙方在履行合同期间违反国家相关法律、法规，被行政机关处罚，影响本合同继续履行的。</w:t>
      </w:r>
    </w:p>
    <w:p w14:paraId="437D46C9">
      <w:pPr>
        <w:keepNext w:val="0"/>
        <w:keepLines w:val="0"/>
        <w:pageBreakBefore w:val="0"/>
        <w:widowControl/>
        <w:kinsoku/>
        <w:wordWrap/>
        <w:overflowPunct/>
        <w:topLinePunct w:val="0"/>
        <w:autoSpaceDE/>
        <w:autoSpaceDN/>
        <w:bidi w:val="0"/>
        <w:snapToGrid/>
        <w:spacing w:line="360" w:lineRule="auto"/>
        <w:ind w:left="480" w:leftChars="200" w:firstLine="0" w:firstLineChars="0"/>
        <w:jc w:val="left"/>
        <w:rPr>
          <w:rFonts w:hint="eastAsia" w:hAnsi="宋体" w:cs="宋体"/>
          <w:kern w:val="0"/>
          <w:sz w:val="24"/>
          <w:szCs w:val="24"/>
          <w:highlight w:val="none"/>
          <w:lang w:eastAsia="zh-CN"/>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4</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其他情形：经甲方考核或研判，乙方提供的服务不满足约定的服务质量标准的</w:t>
      </w:r>
      <w:r>
        <w:rPr>
          <w:rFonts w:hint="eastAsia" w:hAnsi="宋体" w:cs="宋体"/>
          <w:kern w:val="0"/>
          <w:sz w:val="24"/>
          <w:szCs w:val="24"/>
          <w:highlight w:val="none"/>
          <w:lang w:eastAsia="zh-CN"/>
        </w:rPr>
        <w:t>。</w:t>
      </w:r>
    </w:p>
    <w:p w14:paraId="3153C664">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val="en-US" w:eastAsia="zh-CN"/>
        </w:rPr>
        <w:t>2.</w:t>
      </w:r>
      <w:r>
        <w:rPr>
          <w:rFonts w:hint="eastAsia" w:ascii="宋体" w:hAnsi="宋体" w:eastAsia="宋体" w:cs="宋体"/>
          <w:kern w:val="0"/>
          <w:sz w:val="24"/>
          <w:szCs w:val="24"/>
          <w:highlight w:val="none"/>
        </w:rPr>
        <w:t>除</w:t>
      </w:r>
      <w:r>
        <w:rPr>
          <w:rFonts w:hint="eastAsia" w:hAnsi="宋体" w:cs="宋体"/>
          <w:kern w:val="0"/>
          <w:sz w:val="24"/>
          <w:szCs w:val="24"/>
          <w:highlight w:val="none"/>
          <w:lang w:val="en-US" w:eastAsia="zh-CN"/>
        </w:rPr>
        <w:t>以上内容及</w:t>
      </w:r>
      <w:r>
        <w:rPr>
          <w:rFonts w:hint="eastAsia" w:ascii="宋体" w:hAnsi="宋体" w:eastAsia="宋体" w:cs="宋体"/>
          <w:kern w:val="0"/>
          <w:sz w:val="24"/>
          <w:szCs w:val="24"/>
          <w:highlight w:val="none"/>
        </w:rPr>
        <w:t>《中华人民共和国政府采购法》第49条、第50条第二款规定的情形外，本合同一经签订，甲乙双方不得擅自变更、中止或终止合同。</w:t>
      </w:r>
    </w:p>
    <w:p w14:paraId="54DAE590">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0" w:name="_Toc32004"/>
      <w:r>
        <w:rPr>
          <w:rFonts w:hint="eastAsia" w:ascii="宋体" w:hAnsi="宋体" w:eastAsia="宋体" w:cs="宋体"/>
          <w:b/>
          <w:sz w:val="24"/>
          <w:szCs w:val="24"/>
          <w:highlight w:val="none"/>
        </w:rPr>
        <w:t>第十三条  解决合同纠纷的方式</w:t>
      </w:r>
      <w:bookmarkEnd w:id="60"/>
    </w:p>
    <w:p w14:paraId="4FE3AE9E">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1</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在执行本合同中发生的或与本合同有关的争端，双方应通过友好协商解决，经协商在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天内不能达成协议时，</w:t>
      </w:r>
      <w:r>
        <w:rPr>
          <w:rFonts w:hint="eastAsia" w:ascii="宋体" w:hAnsi="宋体" w:eastAsia="宋体" w:cs="宋体"/>
          <w:kern w:val="0"/>
          <w:sz w:val="24"/>
          <w:szCs w:val="24"/>
          <w:highlight w:val="none"/>
        </w:rPr>
        <w:t>则采取以下第</w:t>
      </w:r>
      <w:r>
        <w:rPr>
          <w:rFonts w:hint="eastAsia" w:ascii="宋体" w:hAnsi="宋体" w:eastAsia="宋体" w:cs="宋体"/>
          <w:kern w:val="0"/>
          <w:sz w:val="24"/>
          <w:szCs w:val="24"/>
          <w:highlight w:val="none"/>
          <w:u w:val="single"/>
        </w:rPr>
        <w:t xml:space="preserve"> 1 </w:t>
      </w:r>
      <w:r>
        <w:rPr>
          <w:rFonts w:hint="eastAsia" w:ascii="宋体" w:hAnsi="宋体" w:eastAsia="宋体" w:cs="宋体"/>
          <w:kern w:val="0"/>
          <w:sz w:val="24"/>
          <w:szCs w:val="24"/>
          <w:highlight w:val="none"/>
        </w:rPr>
        <w:t>种方式解决争议：</w:t>
      </w:r>
    </w:p>
    <w:p w14:paraId="7C2DBC09">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（1）向甲方所在地有管辖权的人民法院提起诉讼；</w:t>
      </w:r>
    </w:p>
    <w:p w14:paraId="0A570BB4">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仲裁委员会按其仲裁规则申请仲裁。</w:t>
      </w:r>
    </w:p>
    <w:p w14:paraId="139B969D">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Cs/>
          <w:color w:val="auto"/>
          <w:sz w:val="24"/>
          <w:szCs w:val="24"/>
          <w:highlight w:val="none"/>
        </w:rPr>
        <w:t>.</w:t>
      </w:r>
      <w:r>
        <w:rPr>
          <w:rFonts w:hint="eastAsia" w:ascii="宋体" w:hAnsi="宋体" w:eastAsia="宋体" w:cs="宋体"/>
          <w:kern w:val="0"/>
          <w:sz w:val="24"/>
          <w:szCs w:val="24"/>
          <w:highlight w:val="none"/>
        </w:rPr>
        <w:t>在仲裁期间，本合同应继续履行。</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9274063">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1" w:name="_Toc28433"/>
      <w:r>
        <w:rPr>
          <w:rFonts w:hint="eastAsia" w:ascii="宋体" w:hAnsi="宋体" w:eastAsia="宋体" w:cs="宋体"/>
          <w:b/>
          <w:sz w:val="24"/>
          <w:szCs w:val="24"/>
          <w:highlight w:val="none"/>
        </w:rPr>
        <w:t>第十四条  合同生效及其他</w:t>
      </w:r>
      <w:bookmarkEnd w:id="61"/>
    </w:p>
    <w:p w14:paraId="185BB2B4">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合同经双方法定代表人（单位负责人）或授权委托代理人签字并加盖单位公章并由采购代理机构盖章后生效。</w:t>
      </w:r>
    </w:p>
    <w:p w14:paraId="7F00FA07">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合同执行中涉及采购资金和采购内容修改或补充的，须经政府采购监管部门审批，并签书面补充协议报政府采购监督管理部门备案，方可作为主合同不可分割的一部分。</w:t>
      </w:r>
    </w:p>
    <w:p w14:paraId="2967F43E">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289E064E">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17F65334">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552F4003">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7DDD5FD3">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3、项目响应文件</w:t>
      </w:r>
    </w:p>
    <w:p w14:paraId="06DC7E17">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4、成交通知书</w:t>
      </w:r>
    </w:p>
    <w:p w14:paraId="1B06AB14">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7EECCDA8">
      <w:pPr>
        <w:keepNext w:val="0"/>
        <w:keepLines w:val="0"/>
        <w:pageBreakBefore w:val="0"/>
        <w:kinsoku/>
        <w:wordWrap/>
        <w:overflowPunct/>
        <w:topLinePunct w:val="0"/>
        <w:autoSpaceDE/>
        <w:autoSpaceDN/>
        <w:bidi w:val="0"/>
        <w:spacing w:line="360" w:lineRule="auto"/>
        <w:rPr>
          <w:rFonts w:hint="eastAsia" w:hAnsi="宋体"/>
          <w:b/>
          <w:bCs/>
          <w:color w:val="000000"/>
          <w:kern w:val="2"/>
          <w:sz w:val="36"/>
          <w:szCs w:val="36"/>
          <w:highlight w:val="none"/>
          <w:lang w:val="en-US" w:eastAsia="zh-CN"/>
        </w:rPr>
      </w:pPr>
      <w:r>
        <w:rPr>
          <w:rFonts w:hint="eastAsia" w:hAnsi="宋体"/>
          <w:b/>
          <w:bCs/>
          <w:color w:val="000000"/>
          <w:kern w:val="2"/>
          <w:sz w:val="36"/>
          <w:szCs w:val="36"/>
          <w:highlight w:val="none"/>
          <w:lang w:val="en-US" w:eastAsia="zh-CN"/>
        </w:rPr>
        <w:br w:type="page"/>
      </w:r>
    </w:p>
    <w:p w14:paraId="491CF86B">
      <w:pPr>
        <w:pStyle w:val="13"/>
        <w:keepNext w:val="0"/>
        <w:keepLines w:val="0"/>
        <w:pageBreakBefore w:val="0"/>
        <w:kinsoku/>
        <w:wordWrap/>
        <w:overflowPunct/>
        <w:topLinePunct w:val="0"/>
        <w:autoSpaceDE/>
        <w:autoSpaceDN/>
        <w:bidi w:val="0"/>
        <w:snapToGrid/>
        <w:spacing w:line="360" w:lineRule="auto"/>
        <w:ind w:left="0"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（以下无正文）</w:t>
      </w:r>
    </w:p>
    <w:p w14:paraId="14F98BB1">
      <w:pPr>
        <w:pStyle w:val="4"/>
        <w:keepNext w:val="0"/>
        <w:keepLines w:val="0"/>
        <w:pageBreakBefore w:val="0"/>
        <w:kinsoku/>
        <w:wordWrap/>
        <w:overflowPunct/>
        <w:topLinePunct w:val="0"/>
        <w:autoSpaceDE/>
        <w:autoSpaceDN/>
        <w:bidi w:val="0"/>
        <w:spacing w:line="360" w:lineRule="auto"/>
        <w:rPr>
          <w:rFonts w:hint="eastAsia" w:hAnsi="宋体"/>
          <w:b/>
          <w:bCs/>
          <w:color w:val="000000"/>
          <w:sz w:val="36"/>
          <w:szCs w:val="36"/>
          <w:highlight w:val="none"/>
        </w:rPr>
      </w:pPr>
    </w:p>
    <w:p w14:paraId="5E0AFCAD">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甲方：   （盖章）</w:t>
      </w:r>
      <w:r>
        <w:rPr>
          <w:rFonts w:hAnsi="宋体"/>
          <w:color w:val="000000"/>
          <w:highlight w:val="none"/>
        </w:rPr>
        <w:t xml:space="preserve">   </w:t>
      </w:r>
      <w:r>
        <w:rPr>
          <w:rFonts w:hAnsi="宋体"/>
          <w:color w:val="000000"/>
          <w:highlight w:val="none"/>
        </w:rPr>
        <w:tab/>
      </w:r>
      <w:r>
        <w:rPr>
          <w:rFonts w:hAnsi="宋体"/>
          <w:color w:val="000000"/>
          <w:highlight w:val="none"/>
        </w:rPr>
        <w:tab/>
      </w:r>
      <w:r>
        <w:rPr>
          <w:rFonts w:hAnsi="宋体"/>
          <w:color w:val="000000"/>
          <w:highlight w:val="none"/>
        </w:rPr>
        <w:tab/>
      </w:r>
      <w:r>
        <w:rPr>
          <w:rFonts w:hAnsi="宋体"/>
          <w:color w:val="000000"/>
          <w:highlight w:val="none"/>
        </w:rPr>
        <w:t xml:space="preserve">    </w:t>
      </w:r>
      <w:r>
        <w:rPr>
          <w:rFonts w:hint="eastAsia" w:hAnsi="宋体"/>
          <w:color w:val="000000"/>
          <w:highlight w:val="none"/>
        </w:rPr>
        <w:t xml:space="preserve">       </w:t>
      </w:r>
      <w:r>
        <w:rPr>
          <w:rFonts w:hint="eastAsia" w:hAnsi="宋体"/>
          <w:color w:val="000000"/>
          <w:highlight w:val="none"/>
          <w:lang w:val="en-US" w:eastAsia="zh-CN"/>
        </w:rPr>
        <w:t xml:space="preserve"> </w:t>
      </w:r>
      <w:r>
        <w:rPr>
          <w:rFonts w:hint="eastAsia" w:hAnsi="宋体"/>
          <w:color w:val="000000"/>
          <w:highlight w:val="none"/>
        </w:rPr>
        <w:t>乙方：</w:t>
      </w:r>
      <w:r>
        <w:rPr>
          <w:rFonts w:hAnsi="宋体"/>
          <w:color w:val="000000"/>
          <w:highlight w:val="none"/>
        </w:rPr>
        <w:t xml:space="preserve">   </w:t>
      </w:r>
      <w:r>
        <w:rPr>
          <w:rFonts w:hint="eastAsia" w:hAnsi="宋体"/>
          <w:color w:val="000000"/>
          <w:highlight w:val="none"/>
        </w:rPr>
        <w:t>（盖章）</w:t>
      </w:r>
    </w:p>
    <w:p w14:paraId="3FD2669F">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法定代表人（单位负责人）：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法定代表人（单位负责人）：</w:t>
      </w:r>
    </w:p>
    <w:p w14:paraId="4B37190B">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地</w:t>
      </w:r>
      <w:r>
        <w:rPr>
          <w:rFonts w:hAnsi="宋体"/>
          <w:color w:val="000000"/>
          <w:highlight w:val="none"/>
        </w:rPr>
        <w:t xml:space="preserve">    </w:t>
      </w:r>
      <w:r>
        <w:rPr>
          <w:rFonts w:hint="eastAsia" w:hAnsi="宋体"/>
          <w:color w:val="000000"/>
          <w:highlight w:val="none"/>
        </w:rPr>
        <w:t>址：</w:t>
      </w:r>
      <w:r>
        <w:rPr>
          <w:rFonts w:hAnsi="宋体"/>
          <w:color w:val="000000"/>
          <w:highlight w:val="none"/>
        </w:rPr>
        <w:t xml:space="preserve">                         </w:t>
      </w:r>
      <w:r>
        <w:rPr>
          <w:rFonts w:hint="eastAsia" w:hAnsi="宋体"/>
          <w:color w:val="000000"/>
          <w:highlight w:val="none"/>
        </w:rPr>
        <w:t xml:space="preserve">    地</w:t>
      </w:r>
      <w:r>
        <w:rPr>
          <w:rFonts w:hAnsi="宋体"/>
          <w:color w:val="000000"/>
          <w:highlight w:val="none"/>
        </w:rPr>
        <w:t xml:space="preserve">    </w:t>
      </w:r>
      <w:r>
        <w:rPr>
          <w:rFonts w:hint="eastAsia" w:hAnsi="宋体"/>
          <w:color w:val="000000"/>
          <w:highlight w:val="none"/>
        </w:rPr>
        <w:t>址：</w:t>
      </w:r>
    </w:p>
    <w:p w14:paraId="48134B19">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开户银行：</w:t>
      </w:r>
      <w:r>
        <w:rPr>
          <w:rFonts w:hAnsi="宋体"/>
          <w:color w:val="000000"/>
          <w:highlight w:val="none"/>
        </w:rPr>
        <w:t xml:space="preserve">                         </w:t>
      </w:r>
      <w:r>
        <w:rPr>
          <w:rFonts w:hint="eastAsia" w:hAnsi="宋体"/>
          <w:color w:val="000000"/>
          <w:highlight w:val="none"/>
        </w:rPr>
        <w:t xml:space="preserve">    开户银行：</w:t>
      </w:r>
    </w:p>
    <w:p w14:paraId="4317F6EC">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账号：</w:t>
      </w:r>
      <w:r>
        <w:rPr>
          <w:rFonts w:hAnsi="宋体"/>
          <w:color w:val="000000"/>
          <w:highlight w:val="none"/>
        </w:rPr>
        <w:t xml:space="preserve">                             </w:t>
      </w:r>
      <w:r>
        <w:rPr>
          <w:rFonts w:hint="eastAsia" w:hAnsi="宋体"/>
          <w:color w:val="000000"/>
          <w:highlight w:val="none"/>
        </w:rPr>
        <w:t xml:space="preserve">    账号：</w:t>
      </w:r>
    </w:p>
    <w:p w14:paraId="454C7060">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电</w:t>
      </w:r>
      <w:r>
        <w:rPr>
          <w:rFonts w:hAnsi="宋体"/>
          <w:color w:val="000000"/>
          <w:highlight w:val="none"/>
        </w:rPr>
        <w:t xml:space="preserve">    </w:t>
      </w:r>
      <w:r>
        <w:rPr>
          <w:rFonts w:hint="eastAsia" w:hAnsi="宋体"/>
          <w:color w:val="000000"/>
          <w:highlight w:val="none"/>
        </w:rPr>
        <w:t>话：</w:t>
      </w:r>
      <w:r>
        <w:rPr>
          <w:rFonts w:hAnsi="宋体"/>
          <w:color w:val="000000"/>
          <w:highlight w:val="none"/>
        </w:rPr>
        <w:t xml:space="preserve">                        </w:t>
      </w:r>
      <w:r>
        <w:rPr>
          <w:rFonts w:hint="eastAsia" w:hAnsi="宋体"/>
          <w:color w:val="000000"/>
          <w:highlight w:val="none"/>
        </w:rPr>
        <w:t xml:space="preserve">   </w:t>
      </w:r>
      <w:r>
        <w:rPr>
          <w:rFonts w:hAnsi="宋体"/>
          <w:color w:val="000000"/>
          <w:highlight w:val="none"/>
        </w:rPr>
        <w:t xml:space="preserve"> </w:t>
      </w:r>
      <w:r>
        <w:rPr>
          <w:rFonts w:hint="eastAsia" w:hAnsi="宋体"/>
          <w:color w:val="000000"/>
          <w:highlight w:val="none"/>
        </w:rPr>
        <w:t xml:space="preserve"> 电</w:t>
      </w:r>
      <w:r>
        <w:rPr>
          <w:rFonts w:hAnsi="宋体"/>
          <w:color w:val="000000"/>
          <w:highlight w:val="none"/>
        </w:rPr>
        <w:t xml:space="preserve">    </w:t>
      </w:r>
      <w:r>
        <w:rPr>
          <w:rFonts w:hint="eastAsia" w:hAnsi="宋体"/>
          <w:color w:val="000000"/>
          <w:highlight w:val="none"/>
        </w:rPr>
        <w:t>话：</w:t>
      </w:r>
    </w:p>
    <w:p w14:paraId="169AA972">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传</w:t>
      </w:r>
      <w:r>
        <w:rPr>
          <w:rFonts w:hAnsi="宋体"/>
          <w:color w:val="000000"/>
          <w:highlight w:val="none"/>
        </w:rPr>
        <w:t xml:space="preserve">    </w:t>
      </w:r>
      <w:r>
        <w:rPr>
          <w:rFonts w:hint="eastAsia" w:hAnsi="宋体"/>
          <w:color w:val="000000"/>
          <w:highlight w:val="none"/>
        </w:rPr>
        <w:t>真：</w:t>
      </w:r>
      <w:r>
        <w:rPr>
          <w:rFonts w:hAnsi="宋体"/>
          <w:color w:val="000000"/>
          <w:highlight w:val="none"/>
        </w:rPr>
        <w:t xml:space="preserve">                        </w:t>
      </w:r>
      <w:r>
        <w:rPr>
          <w:rFonts w:hint="eastAsia" w:hAnsi="宋体"/>
          <w:color w:val="000000"/>
          <w:highlight w:val="none"/>
        </w:rPr>
        <w:t xml:space="preserve">   </w:t>
      </w:r>
      <w:r>
        <w:rPr>
          <w:rFonts w:hAnsi="宋体"/>
          <w:color w:val="000000"/>
          <w:highlight w:val="none"/>
        </w:rPr>
        <w:t xml:space="preserve"> </w:t>
      </w:r>
      <w:r>
        <w:rPr>
          <w:rFonts w:hint="eastAsia" w:hAnsi="宋体"/>
          <w:color w:val="000000"/>
          <w:highlight w:val="none"/>
        </w:rPr>
        <w:t xml:space="preserve"> 传</w:t>
      </w:r>
      <w:r>
        <w:rPr>
          <w:rFonts w:hAnsi="宋体"/>
          <w:color w:val="000000"/>
          <w:highlight w:val="none"/>
        </w:rPr>
        <w:t xml:space="preserve">    </w:t>
      </w:r>
      <w:r>
        <w:rPr>
          <w:rFonts w:hint="eastAsia" w:hAnsi="宋体"/>
          <w:color w:val="000000"/>
          <w:highlight w:val="none"/>
        </w:rPr>
        <w:t>真：</w:t>
      </w:r>
    </w:p>
    <w:p w14:paraId="4EB536DE">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签约日期：  年   月  日</w:t>
      </w:r>
      <w:r>
        <w:rPr>
          <w:rFonts w:hAnsi="宋体"/>
          <w:color w:val="000000"/>
          <w:highlight w:val="none"/>
        </w:rPr>
        <w:t xml:space="preserve"> </w:t>
      </w:r>
      <w:r>
        <w:rPr>
          <w:rFonts w:hint="eastAsia" w:hAnsi="宋体"/>
          <w:color w:val="000000"/>
          <w:highlight w:val="none"/>
          <w:lang w:val="en-US" w:eastAsia="zh-CN"/>
        </w:rPr>
        <w:t xml:space="preserve">               </w:t>
      </w:r>
      <w:r>
        <w:rPr>
          <w:rFonts w:hint="eastAsia" w:hAnsi="宋体"/>
          <w:color w:val="000000"/>
          <w:highlight w:val="none"/>
        </w:rPr>
        <w:t>签约日期：  年   月  日</w:t>
      </w:r>
    </w:p>
    <w:p w14:paraId="261B3139">
      <w:pPr>
        <w:keepNext w:val="0"/>
        <w:keepLines w:val="0"/>
        <w:pageBreakBefore w:val="0"/>
        <w:kinsoku/>
        <w:wordWrap/>
        <w:overflowPunct/>
        <w:topLinePunct w:val="0"/>
        <w:autoSpaceDE/>
        <w:autoSpaceDN/>
        <w:bidi w:val="0"/>
        <w:spacing w:line="360" w:lineRule="auto"/>
        <w:rPr>
          <w:highlight w:val="none"/>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方正仿宋_GB18030">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7901AAF"/>
    <w:rsid w:val="13654854"/>
    <w:rsid w:val="15F54073"/>
    <w:rsid w:val="183E4A6D"/>
    <w:rsid w:val="1B6B2203"/>
    <w:rsid w:val="1E0E6FAA"/>
    <w:rsid w:val="21D51C20"/>
    <w:rsid w:val="2B944ACD"/>
    <w:rsid w:val="34127DD9"/>
    <w:rsid w:val="37901AAF"/>
    <w:rsid w:val="3C6542D3"/>
    <w:rsid w:val="3EC41A91"/>
    <w:rsid w:val="41E1437B"/>
    <w:rsid w:val="53F77456"/>
    <w:rsid w:val="551B6187"/>
    <w:rsid w:val="594251A5"/>
    <w:rsid w:val="5BD801C0"/>
    <w:rsid w:val="5FC54955"/>
    <w:rsid w:val="64617D51"/>
    <w:rsid w:val="706F478E"/>
    <w:rsid w:val="7659369A"/>
    <w:rsid w:val="796C3F60"/>
    <w:rsid w:val="79F47C5A"/>
    <w:rsid w:val="7C87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toc 1"/>
    <w:basedOn w:val="1"/>
    <w:next w:val="1"/>
    <w:qFormat/>
    <w:uiPriority w:val="39"/>
  </w:style>
  <w:style w:type="paragraph" w:styleId="7">
    <w:name w:val="Normal (Web)"/>
    <w:basedOn w:val="1"/>
    <w:next w:val="5"/>
    <w:qFormat/>
    <w:uiPriority w:val="0"/>
    <w:pPr>
      <w:widowControl/>
      <w:spacing w:before="100" w:beforeAutospacing="1" w:after="100" w:afterAutospacing="1"/>
      <w:jc w:val="left"/>
    </w:pPr>
    <w:rPr>
      <w:rFonts w:hAnsi="宋体"/>
      <w:szCs w:val="24"/>
    </w:rPr>
  </w:style>
  <w:style w:type="paragraph" w:styleId="8">
    <w:name w:val="Body Text First Indent"/>
    <w:basedOn w:val="3"/>
    <w:qFormat/>
    <w:uiPriority w:val="0"/>
    <w:rPr>
      <w:rFonts w:hAnsi="宋体"/>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首行缩进:  2 字符"/>
    <w:basedOn w:val="1"/>
    <w:qFormat/>
    <w:uiPriority w:val="0"/>
    <w:pPr>
      <w:spacing w:line="400" w:lineRule="exact"/>
      <w:ind w:firstLine="200" w:firstLineChars="200"/>
    </w:pPr>
    <w:rPr>
      <w:rFonts w:cs="宋体"/>
      <w:sz w:val="24"/>
    </w:rPr>
  </w:style>
  <w:style w:type="paragraph" w:styleId="13">
    <w:name w:val="List Paragraph"/>
    <w:basedOn w:val="1"/>
    <w:qFormat/>
    <w:uiPriority w:val="34"/>
    <w:pPr>
      <w:ind w:firstLine="420" w:firstLineChars="200"/>
    </w:pPr>
    <w:rPr>
      <w:rFonts w:ascii="Calibri" w:hAnsi="Calibri"/>
      <w:kern w:val="2"/>
      <w:sz w:val="21"/>
      <w:szCs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5080</Words>
  <Characters>5144</Characters>
  <Lines>0</Lines>
  <Paragraphs>0</Paragraphs>
  <TotalTime>1</TotalTime>
  <ScaleCrop>false</ScaleCrop>
  <LinksUpToDate>false</LinksUpToDate>
  <CharactersWithSpaces>5597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2023-12-12T05:53:00Z</dcterms:created>
  <dc:creator>爽爽</dc:creator>
  <cp:lastModifiedBy>11</cp:lastModifiedBy>
  <dcterms:modified xsi:type="dcterms:W3CDTF">2026-04-13T06:51:44Z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C9D8403BB9A7438396908D2B0FCEAAB3_11</vt:lpwstr>
  </property>
  <property fmtid="{D5CDD505-2E9C-101B-9397-08002B2CF9AE}" pid="4" name="KSOTemplateDocerSaveRecord">
    <vt:lpwstr>eyJoZGlkIjoiNzY0NzcyNTM5MDIwNTNmMTRiZjQyNTdiYWFkOGZiMTgiLCJ1c2VySWQiOiIxMDExMTg2NzE1In0=</vt:lpwstr>
  </property>
</Properties>
</file>