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版本号：2026-HZZB-HZ-00820260813002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汉中市辖养桥隧日常养护病害集中处治工程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2026-HZZB-HZ-008</w:t>
      </w:r>
      <w:r>
        <w:br/>
      </w:r>
      <w:r>
        <w:br/>
      </w:r>
      <w:r>
        <w:br/>
      </w:r>
    </w:p>
    <w:p>
      <w:pPr>
        <w:pStyle w:val="null3"/>
        <w:jc w:val="center"/>
        <w:outlineLvl w:val="2"/>
      </w:pPr>
      <w:r>
        <w:rPr>
          <w:rFonts w:ascii="仿宋_GB2312" w:hAnsi="仿宋_GB2312" w:cs="仿宋_GB2312" w:eastAsia="仿宋_GB2312"/>
          <w:sz w:val="28"/>
          <w:b/>
        </w:rPr>
        <w:t>汉中市公路局</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汉中市公路局</w:t>
      </w:r>
      <w:r>
        <w:rPr>
          <w:rFonts w:ascii="仿宋_GB2312" w:hAnsi="仿宋_GB2312" w:cs="仿宋_GB2312" w:eastAsia="仿宋_GB2312"/>
        </w:rPr>
        <w:t>委托，拟对</w:t>
      </w:r>
      <w:r>
        <w:rPr>
          <w:rFonts w:ascii="仿宋_GB2312" w:hAnsi="仿宋_GB2312" w:cs="仿宋_GB2312" w:eastAsia="仿宋_GB2312"/>
        </w:rPr>
        <w:t>汉中市辖养桥隧日常养护病害集中处治工程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2026-HZZB-HZ-008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汉中市辖养桥隧日常养护病害集中处治工程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对28座桥梁、7座隧道日常养护病害集中处治，处置隧道衬砌开裂、渗漏水及机电设备故障，更换桥梁伸缩缝、修补桥梁裂缝、破损构件并加固冲刷基础等任务。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采购包1（汉中市辖养桥隧日常养护病害集中处治工程）：属于专门面向中小企业采购。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1、供应商资质：供应商须具备建设主管部门颁发的桥梁养护甲级资质及隧道养护甲级资质。</w:t>
      </w:r>
    </w:p>
    <w:p>
      <w:pPr>
        <w:pStyle w:val="null3"/>
      </w:pPr>
      <w:r>
        <w:rPr>
          <w:rFonts w:ascii="仿宋_GB2312" w:hAnsi="仿宋_GB2312" w:cs="仿宋_GB2312" w:eastAsia="仿宋_GB2312"/>
        </w:rPr>
        <w:t>2、项目负责人资质和专业要求：项目负责人须具备公路工程专业二级及以上注册建造师执业资格，具有有效的安全生产考核合格证（交安B证），且无在建工程(提供承诺书），在本单位注册（提供在本单位缴纳社保的证明）。</w:t>
      </w:r>
    </w:p>
    <w:p>
      <w:pPr>
        <w:pStyle w:val="null3"/>
      </w:pPr>
      <w:r>
        <w:rPr>
          <w:rFonts w:ascii="仿宋_GB2312" w:hAnsi="仿宋_GB2312" w:cs="仿宋_GB2312" w:eastAsia="仿宋_GB2312"/>
        </w:rPr>
        <w:t>3、供应商授权：供应商应授权合法的人员参加投标全过程，其中法定代表人直接参加投标的，须出具法定代表人证明书及其身份证，法定代表人授权代表参加投标的，须出具法定代表人有效的授权书及被授权代表身份证。</w:t>
      </w:r>
    </w:p>
    <w:p>
      <w:pPr>
        <w:pStyle w:val="null3"/>
      </w:pPr>
      <w:r>
        <w:rPr>
          <w:rFonts w:ascii="仿宋_GB2312" w:hAnsi="仿宋_GB2312" w:cs="仿宋_GB2312" w:eastAsia="仿宋_GB2312"/>
        </w:rPr>
        <w:t>4、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5、联合体形式：本项目不接受联合体投标，提供非联合体声明。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0916-2530038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汉中市汉台区南关社区汉上第一街12号楼23层04-05室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陈自虎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开户名称：衡正国际工程咨询有限公司汉中分公司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 0552 0910 0052 851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说明：合同签订后7日内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代理服务费收费标准：参照《国家发展改革委关于降低部分建设项目收费标准规范收费行为等 有关问题的通知》[2011]534号文件规定的标准收取。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汉中市公路局</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联系电话：0916-8886036</w:t>
      </w:r>
    </w:p>
    <w:p>
      <w:pPr>
        <w:pStyle w:val="null3"/>
      </w:pPr>
      <w:r>
        <w:rPr>
          <w:rFonts w:ascii="仿宋_GB2312" w:hAnsi="仿宋_GB2312" w:cs="仿宋_GB2312" w:eastAsia="仿宋_GB2312"/>
        </w:rPr>
        <w:t>地址：汉中市汉台区南关社区汉上第一街12号楼23层招标代理部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汉中市辖养桥隧日常养护病害集中处治工程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标的名称：汉中市辖养桥隧日常养护病害集中处治工程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color w:val="000000"/>
              </w:rPr>
              <w:t>一、工</w:t>
            </w:r>
            <w:r>
              <w:rPr>
                <w:rFonts w:ascii="仿宋_GB2312" w:hAnsi="仿宋_GB2312" w:cs="仿宋_GB2312" w:eastAsia="仿宋_GB2312"/>
                <w:sz w:val="18"/>
                <w:color w:val="000000"/>
              </w:rPr>
              <w:t>程内容及范围</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、工程内容：</w:t>
            </w:r>
            <w:r>
              <w:rPr>
                <w:rFonts w:ascii="仿宋_GB2312" w:hAnsi="仿宋_GB2312" w:cs="仿宋_GB2312" w:eastAsia="仿宋_GB2312"/>
                <w:sz w:val="18"/>
                <w:color w:val="000000"/>
              </w:rPr>
              <w:t>涉及</w:t>
            </w:r>
            <w:r>
              <w:rPr>
                <w:rFonts w:ascii="仿宋_GB2312" w:hAnsi="仿宋_GB2312" w:cs="仿宋_GB2312" w:eastAsia="仿宋_GB2312"/>
                <w:sz w:val="18"/>
                <w:color w:val="000000"/>
              </w:rPr>
              <w:t xml:space="preserve">28座桥梁、7座隧道日常养护病害集中处治。  </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、工程范围：</w:t>
            </w:r>
            <w:r>
              <w:rPr>
                <w:rFonts w:ascii="仿宋_GB2312" w:hAnsi="仿宋_GB2312" w:cs="仿宋_GB2312" w:eastAsia="仿宋_GB2312"/>
                <w:sz w:val="18"/>
                <w:color w:val="000000"/>
              </w:rPr>
              <w:t>对</w:t>
            </w:r>
            <w:r>
              <w:rPr>
                <w:rFonts w:ascii="仿宋_GB2312" w:hAnsi="仿宋_GB2312" w:cs="仿宋_GB2312" w:eastAsia="仿宋_GB2312"/>
                <w:sz w:val="18"/>
                <w:color w:val="000000"/>
              </w:rPr>
              <w:t xml:space="preserve">28座桥梁、7座隧道日常养护病害集中处治，处置隧道衬砌开裂、渗漏水及机电设备故障，更换桥梁伸缩缝、修补桥梁裂缝、破损构件并加固冲刷基础等任务。 </w:t>
            </w:r>
            <w:r>
              <w:rPr>
                <w:rFonts w:ascii="仿宋_GB2312" w:hAnsi="仿宋_GB2312" w:cs="仿宋_GB2312" w:eastAsia="仿宋_GB2312"/>
                <w:sz w:val="18"/>
                <w:color w:val="000000"/>
              </w:rPr>
              <w:t>二</w:t>
            </w:r>
            <w:r>
              <w:rPr>
                <w:rFonts w:ascii="仿宋_GB2312" w:hAnsi="仿宋_GB2312" w:cs="仿宋_GB2312" w:eastAsia="仿宋_GB2312"/>
                <w:sz w:val="18"/>
                <w:color w:val="000000"/>
              </w:rPr>
              <w:t>、工程质量要求与验收依据</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1）质量要求：中标</w:t>
            </w:r>
            <w:r>
              <w:rPr>
                <w:rFonts w:ascii="仿宋_GB2312" w:hAnsi="仿宋_GB2312" w:cs="仿宋_GB2312" w:eastAsia="仿宋_GB2312"/>
                <w:sz w:val="18"/>
                <w:color w:val="000000"/>
              </w:rPr>
              <w:t>（成交）</w:t>
            </w:r>
            <w:r>
              <w:rPr>
                <w:rFonts w:ascii="仿宋_GB2312" w:hAnsi="仿宋_GB2312" w:cs="仿宋_GB2312" w:eastAsia="仿宋_GB2312"/>
                <w:sz w:val="18"/>
                <w:color w:val="000000"/>
              </w:rPr>
              <w:t>人必须严格按照有关施工和验收规范进行施工，保证</w:t>
            </w:r>
            <w:r>
              <w:rPr>
                <w:rFonts w:ascii="仿宋_GB2312" w:hAnsi="仿宋_GB2312" w:cs="仿宋_GB2312" w:eastAsia="仿宋_GB2312"/>
                <w:sz w:val="18"/>
                <w:color w:val="000000"/>
              </w:rPr>
              <w:t>达到</w:t>
            </w:r>
            <w:r>
              <w:rPr>
                <w:rFonts w:ascii="仿宋_GB2312" w:hAnsi="仿宋_GB2312" w:cs="仿宋_GB2312" w:eastAsia="仿宋_GB2312"/>
                <w:sz w:val="18"/>
                <w:color w:val="000000"/>
              </w:rPr>
              <w:t>国家施工验收规范合格标准，通过有关部门验收。</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2）验收方法：验收应按公路工程适用的规范或标准及其他相关的规范和标准执行。</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3）依据设计文件要求：本</w:t>
            </w:r>
            <w:r>
              <w:rPr>
                <w:rFonts w:ascii="仿宋_GB2312" w:hAnsi="仿宋_GB2312" w:cs="仿宋_GB2312" w:eastAsia="仿宋_GB2312"/>
                <w:sz w:val="18"/>
                <w:color w:val="000000"/>
              </w:rPr>
              <w:t>采购</w:t>
            </w:r>
            <w:r>
              <w:rPr>
                <w:rFonts w:ascii="仿宋_GB2312" w:hAnsi="仿宋_GB2312" w:cs="仿宋_GB2312" w:eastAsia="仿宋_GB2312"/>
                <w:sz w:val="18"/>
                <w:color w:val="000000"/>
              </w:rPr>
              <w:t>项目的材料、设备、施工必须达到现行中华人民共和国及省、市、行业的一切有关工程建设标准、法规、规范的要求。</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4）以最新标准为准。</w:t>
            </w:r>
          </w:p>
          <w:p>
            <w:pPr>
              <w:pStyle w:val="null3"/>
              <w:jc w:val="left"/>
            </w:pPr>
            <w:r>
              <w:rPr>
                <w:rFonts w:ascii="仿宋_GB2312" w:hAnsi="仿宋_GB2312" w:cs="仿宋_GB2312" w:eastAsia="仿宋_GB2312"/>
                <w:sz w:val="18"/>
                <w:color w:val="000000"/>
              </w:rPr>
              <w:t>三</w:t>
            </w:r>
            <w:r>
              <w:rPr>
                <w:rFonts w:ascii="仿宋_GB2312" w:hAnsi="仿宋_GB2312" w:cs="仿宋_GB2312" w:eastAsia="仿宋_GB2312"/>
                <w:sz w:val="18"/>
                <w:color w:val="000000"/>
              </w:rPr>
              <w:t>、根据工程设计要求，该项工程的材料、施工除必须达到</w:t>
            </w:r>
            <w:r>
              <w:rPr>
                <w:rFonts w:ascii="仿宋_GB2312" w:hAnsi="仿宋_GB2312" w:cs="仿宋_GB2312" w:eastAsia="仿宋_GB2312"/>
                <w:sz w:val="18"/>
                <w:color w:val="000000"/>
              </w:rPr>
              <w:t>设计</w:t>
            </w:r>
            <w:r>
              <w:rPr>
                <w:rFonts w:ascii="仿宋_GB2312" w:hAnsi="仿宋_GB2312" w:cs="仿宋_GB2312" w:eastAsia="仿宋_GB2312"/>
                <w:sz w:val="18"/>
                <w:color w:val="000000"/>
              </w:rPr>
              <w:t>标准外，还应满足采购人在</w:t>
            </w:r>
            <w:r>
              <w:rPr>
                <w:rFonts w:ascii="仿宋_GB2312" w:hAnsi="仿宋_GB2312" w:cs="仿宋_GB2312" w:eastAsia="仿宋_GB2312"/>
                <w:sz w:val="18"/>
                <w:color w:val="000000"/>
              </w:rPr>
              <w:t>采购</w:t>
            </w:r>
            <w:r>
              <w:rPr>
                <w:rFonts w:ascii="仿宋_GB2312" w:hAnsi="仿宋_GB2312" w:cs="仿宋_GB2312" w:eastAsia="仿宋_GB2312"/>
                <w:sz w:val="18"/>
                <w:color w:val="000000"/>
              </w:rPr>
              <w:t>文件中的有关要求。</w:t>
            </w:r>
          </w:p>
          <w:p>
            <w:pPr>
              <w:pStyle w:val="null3"/>
              <w:jc w:val="left"/>
            </w:pPr>
            <w:r>
              <w:rPr>
                <w:rFonts w:ascii="仿宋_GB2312" w:hAnsi="仿宋_GB2312" w:cs="仿宋_GB2312" w:eastAsia="仿宋_GB2312"/>
                <w:sz w:val="18"/>
                <w:color w:val="000000"/>
              </w:rPr>
              <w:t>四</w:t>
            </w:r>
            <w:r>
              <w:rPr>
                <w:rFonts w:ascii="仿宋_GB2312" w:hAnsi="仿宋_GB2312" w:cs="仿宋_GB2312" w:eastAsia="仿宋_GB2312"/>
                <w:sz w:val="18"/>
                <w:color w:val="000000"/>
              </w:rPr>
              <w:t>、本</w:t>
            </w:r>
            <w:r>
              <w:rPr>
                <w:rFonts w:ascii="仿宋_GB2312" w:hAnsi="仿宋_GB2312" w:cs="仿宋_GB2312" w:eastAsia="仿宋_GB2312"/>
                <w:sz w:val="18"/>
                <w:color w:val="000000"/>
              </w:rPr>
              <w:t>项目</w:t>
            </w:r>
            <w:r>
              <w:rPr>
                <w:rFonts w:ascii="仿宋_GB2312" w:hAnsi="仿宋_GB2312" w:cs="仿宋_GB2312" w:eastAsia="仿宋_GB2312"/>
                <w:sz w:val="18"/>
                <w:color w:val="000000"/>
              </w:rPr>
              <w:t>所有主要材料必须符合设计要求及国家有关规定</w:t>
            </w:r>
            <w:r>
              <w:rPr>
                <w:rFonts w:ascii="仿宋_GB2312" w:hAnsi="仿宋_GB2312" w:cs="仿宋_GB2312" w:eastAsia="仿宋_GB2312"/>
                <w:sz w:val="18"/>
                <w:color w:val="000000"/>
              </w:rPr>
              <w:t>，</w:t>
            </w:r>
            <w:r>
              <w:rPr>
                <w:rFonts w:ascii="仿宋_GB2312" w:hAnsi="仿宋_GB2312" w:cs="仿宋_GB2312" w:eastAsia="仿宋_GB2312"/>
                <w:sz w:val="18"/>
                <w:color w:val="000000"/>
              </w:rPr>
              <w:t>经质检部门检验合格。</w:t>
            </w:r>
          </w:p>
          <w:p>
            <w:pPr>
              <w:pStyle w:val="null3"/>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、未尽的工程质量技术要求均按现行国家、省、市有关规范和标准执行。</w:t>
            </w:r>
          </w:p>
          <w:p>
            <w:pPr>
              <w:pStyle w:val="null3"/>
            </w:pPr>
            <w:r>
              <w:rPr>
                <w:rFonts w:ascii="仿宋_GB2312" w:hAnsi="仿宋_GB2312" w:cs="仿宋_GB2312" w:eastAsia="仿宋_GB2312"/>
                <w:sz w:val="18"/>
                <w:color w:val="000000"/>
              </w:rPr>
              <w:t>五、工程量清单（另附）。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2、质量：交工验收的质量评定：合格；竣工验收的质量评定：合格；3、安全目标：平安工地创建全覆盖，零死亡，零事故，无安全责任事故发生；4、合同履约地点：汉中市境内（采购人指定地点）。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其它商务要求：1.履约保证金缴纳方式:保函/保险/银行转账，具体方式在合同签订时约定。2.支付方式:分期付款。3.合同支付约定:①根据项目进度付款，依据签字审核后的工程进度付款证书，达到付款条件起30日内，支付合同总金额的90.00%；②交工验收合格后，达到付款条件起30日内，支付合同总金额的10.00%。4.验收交付标准和方法：项目按期完工，达到国家现行验收规范“合格”标准。5.质量保修范围和保修期：参照国家行业标准，保修期自竣工验收合格之日算起。 二、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 三、无效投标情形：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 四、成交供应商在领取成交通知书时，须提交纸质磋商响应文件正本壹份、副本贰份、电子版壹份（U盘壹份注明单位名称），内容和通过电子化交易平台提交的磋商响应文件一致；纸质磋商响应文件正副本分别胶装成册，采用双面打印。 五、磋商保证金：1.采用银行转账或银行电汇形式提交的磋商保证金的必须从其基本账户转出，必须在进账单或电汇单注明项目名称；2.采用电子保函提交磋商保证金的，须在提交首次响应文件的截止时间前将电子保函发送至邮箱3059244200@qq.com，代理机构收到保函后将由财务处出具保函接收凭证。 六、方案评审赋分依据：1、方案完整、针对性强、可实施性高：方案能够完全切合本项目实际情况，工作流程完善，实施步骤清晰，科学合理，可操作性强。2、方案基本完整、具有一定的针对性、可实施性：方案结构基本完整，能切合本项目实际情况，针对项目关键环节及服务要求针对性、可实施性较强。3、方案完整性较为全面、针对性、可实施性差：方案结构主体完整，多数内容能够切合本项目实际情况，但存在至少一处表述模糊、难以执行或不够科学合理、不适用本项目实际的内容。 4、缺乏针对性、可实施性、完整性：方案描述不符合本项目实际情况，存在明显套用其他项目方案的内容，内容空洞，工作流程不完善，实施标准、实施质量不利于采购需求的实现，存在逻辑漏洞、常识错误或合理性差。5、未提供方案不得分。 七、本文件中投标人也称供应商，采购文件也称磋商文件。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（3）供应商需在项目电子化交易系统中按要求填写《投标函》完成承诺并进行电子签章。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供应商须具备建设主管部门颁发的桥梁养护甲级资质及隧道养护甲级资质。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项目负责人须具备公路工程专业二级及以上注册建造师执业资格，具有有效的安全生产考核合格证（交安B证），且无在建工程(提供承诺书），在本单位注册（提供在本单位缴纳社保的证明）。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供应商应授权合法的人员参加投标全过程，其中法定代表人直接参加投标的，须出具法定代表人证明书及其身份证，法定代表人授权代表参加投标的，须出具法定代表人有效的授权书及被授权代表身份证。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安全目标</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报价函 技术服务合同条款及其他商务要求应答表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报价函 技术服务合同条款及其他商务要求应答表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一、内容包括：①施工准备；②施工方法；③重点难点工程分析及解决措施；④影响正常施工外在因素分析及对应预案。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项目团队人员组织</w:t>
            </w:r>
          </w:p>
        </w:tc>
        <w:tc>
          <w:tcPr>
            <w:tcW w:type="dxa" w:w="2492"/>
          </w:tcPr>
          <w:p>
            <w:pPr>
              <w:pStyle w:val="null3"/>
            </w:pPr>
            <w:r>
              <w:rPr>
                <w:rFonts w:ascii="仿宋_GB2312" w:hAnsi="仿宋_GB2312" w:cs="仿宋_GB2312" w:eastAsia="仿宋_GB2312"/>
              </w:rPr>
              <w:t>一、内容包括：①项目管理机构图；②岗位安排及职责，项目团队人员需提供相关证书、身份证及本单位社保缴费证明，未提供不得分；③相应的管理制度及措施。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一、内容包括：①工程质量控制体系；②工程质量保障方案；③材料和构配件的质量控制等；④施工检测及工序交验方案。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一、内容包括：①安全生产管理制度；②配置安全组织机构；③安全保障措施。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一、内容包括：①文明施工及环境保护体系及管理制度；②文明施工及环境保护相关措施 （防尘降噪、节能减排）。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一、内容包括：①进度安排计划； ②项目进度保证措施。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一、内容包括：①施工机械设备和材料投入计划及保障措施；②劳动力投入计划及保障措施。 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供应商提供2023年1月1日至今完成的公路桥梁或隧道养护工程业绩证明，每提供一份得3分，最高得6分； 评审依据：供应商提供类似业绩合同协议书及完工证明或竣工验收证明扫描件并加盖单位公章，时间以交工时间为准。（证明材料不齐全不得分）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1、拟派项目负责人具有公路工程相关专业中级及以上技术职称得4分； 评审依据：以供应商提供的加盖公章的职称证扫描件为准。 2、拟派项目负责人具有类似项目管理经验（2023年至今担任过公路桥梁或隧道养护工程项目负责人），得3分，不提供的不得分； 评审依据：供应商提供类似业绩合同协议书及完工证明或竣工验收证明扫描件并加盖单位公章，以合同协议书约定的项目负责人，时间以交工时间为准。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其他专业技术人员</w:t>
            </w:r>
          </w:p>
        </w:tc>
        <w:tc>
          <w:tcPr>
            <w:tcW w:type="dxa" w:w="2492"/>
          </w:tcPr>
          <w:p>
            <w:pPr>
              <w:pStyle w:val="null3"/>
            </w:pPr>
            <w:r>
              <w:rPr>
                <w:rFonts w:ascii="仿宋_GB2312" w:hAnsi="仿宋_GB2312" w:cs="仿宋_GB2312" w:eastAsia="仿宋_GB2312"/>
              </w:rPr>
              <w:t>1、拟派技术负责人具有公路工程相关专业中级及以上技术职称得4分； 2、拟派专职安全员取得具有交通行政主管部门颁发的C类安全生产考核合格证得4分； 3、其他专业技术人员（项目负责人、技术负责人、专职安全员除外）具备公路工程相关专业中级及以上职称，每配备一人分3，本项最多得9分； 评审依据：须提供加盖公章的身份证、职称证/岗位证、本单位缴纳社保的证明材料（退休人员提供退休证明及劳动合同）等扫描件，证明材料不齐全不得分。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价格分统一采用低价优先法计算，即满足采购文件要求且投标价格最低(通过异常低价审查)的报价为评标基准价，其价格分为满分。其他供应商的价格分统一按照下列公式计算:价格分=(评标基准价/投标报价)x30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