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版本号：CT-ZB00-200-2026.1B120260831001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2026年西安市教育局门户网站、政务新媒体运维服务项目(二次)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CT-ZB00-200-2026.1B1</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2026年西安市教育局门户网站、政务新媒体运维服务项目(二次)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CT-ZB00-200-2026.1B1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2026年西安市教育局门户网站、政务新媒体运维服务项目(二次)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2026年西安市教育局门户网站、政务新媒体运维服务项目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1、营业执照：提供合格有效的统一社会信用代码营业执照或其他组织经营的合法凭证或自然人的提供身份证明文件；</w:t>
      </w:r>
    </w:p>
    <w:p>
      <w:pPr>
        <w:pStyle w:val="null3"/>
      </w:pPr>
      <w:r>
        <w:rPr>
          <w:rFonts w:ascii="仿宋_GB2312" w:hAnsi="仿宋_GB2312" w:cs="仿宋_GB2312" w:eastAsia="仿宋_GB2312"/>
        </w:rPr>
        <w:t>2、法定代表人授权委托书：法定代表人参加磋商的，须提供本人身份证复印件；法定代表人授权他人参加磋商的，须提供法定代表人授权委托书及被授权人近半年内任意一个月的社保缴纳证明；</w:t>
      </w:r>
    </w:p>
    <w:p>
      <w:pPr>
        <w:pStyle w:val="null3"/>
      </w:pPr>
      <w:r>
        <w:rPr>
          <w:rFonts w:ascii="仿宋_GB2312" w:hAnsi="仿宋_GB2312" w:cs="仿宋_GB2312" w:eastAsia="仿宋_GB2312"/>
        </w:rPr>
        <w:t>3、财务状况报告：提供企业赋码后2024年度或2025年度经会计师事务所或审计机构审计的财务审计报告（成立时间至提交响应文件截止时间不足一年的可提供成立后任意时段的资产负债表、利润表、现金流量表），或开标截止时间前六个月内基本账户银行出具的资信证明，提供财务审计报告的需在注册会计师行业统一监管平台（http://acc.mof.gov.cn/）可查询并提供网页查询截图；</w:t>
      </w:r>
    </w:p>
    <w:p>
      <w:pPr>
        <w:pStyle w:val="null3"/>
      </w:pPr>
      <w:r>
        <w:rPr>
          <w:rFonts w:ascii="仿宋_GB2312" w:hAnsi="仿宋_GB2312" w:cs="仿宋_GB2312" w:eastAsia="仿宋_GB2312"/>
        </w:rPr>
        <w:t>4、社保缴纳证明：提供2026年1月至今已缴纳的至少一个月的纳税证明或完税证明，依法免税的单位应提供相关证明材料；</w:t>
      </w:r>
    </w:p>
    <w:p>
      <w:pPr>
        <w:pStyle w:val="null3"/>
      </w:pPr>
      <w:r>
        <w:rPr>
          <w:rFonts w:ascii="仿宋_GB2312" w:hAnsi="仿宋_GB2312" w:cs="仿宋_GB2312" w:eastAsia="仿宋_GB2312"/>
        </w:rPr>
        <w:t>5、税收缴纳证明：提供2026年1月至今已缴存的至少一个月的社会保障资金缴存单据或社保机构开具的社会保险参保缴费情况证明，依法不需要缴纳社会保障资金的单位应提供相关证明材料；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6、没有重大违法记录的书面声明：供应商应具备良好的商业信誉，提供在参加政府采购活动前3年内在经营活动中没有重大违法记录的书面声明；</w:t>
      </w:r>
    </w:p>
    <w:p>
      <w:pPr>
        <w:pStyle w:val="null3"/>
      </w:pPr>
      <w:r>
        <w:rPr>
          <w:rFonts w:ascii="仿宋_GB2312" w:hAnsi="仿宋_GB2312" w:cs="仿宋_GB2312" w:eastAsia="仿宋_GB2312"/>
        </w:rPr>
        <w:t>7、专业技术能力的书面承诺：供应商具备履行合同所必须的设备和专业技术能力的书面承诺；</w:t>
      </w:r>
    </w:p>
    <w:p>
      <w:pPr>
        <w:pStyle w:val="null3"/>
      </w:pPr>
      <w:r>
        <w:rPr>
          <w:rFonts w:ascii="仿宋_GB2312" w:hAnsi="仿宋_GB2312" w:cs="仿宋_GB2312" w:eastAsia="仿宋_GB2312"/>
        </w:rPr>
        <w:t>8、信用查询：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9、关联关系：单位负责人为同一人或存在直接控股、管理关系的不同单位，不得参加同一项目的政府采购活动；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吴亮亮 房雪娇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18706769814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成交供应商在领取成交通知书前，须向采购代理机构一次性支付招标代理服务费。 代理服务费缴纳账号： 账户名称：中昕国际项目管理有限公司 开户行：中国建设银行股份有限公司西 安文景路支行 银行账号：61050178150000000278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按照采购要求及合同约定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联系人：吴亮亮 房雪娇</w:t>
      </w:r>
    </w:p>
    <w:p>
      <w:pPr>
        <w:pStyle w:val="null3"/>
      </w:pPr>
      <w:r>
        <w:rPr>
          <w:rFonts w:ascii="仿宋_GB2312" w:hAnsi="仿宋_GB2312" w:cs="仿宋_GB2312" w:eastAsia="仿宋_GB2312"/>
        </w:rPr>
        <w:t>联系电话：18706769814</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2026年西安市教育局门户网站、政务新媒体运维服务项目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2026年西安市教育局门户网站、政务新媒体运维服务项目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标的名称：2026年西安市教育局门户网站、政务新媒体运维服务项目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一、项目名称</w:t>
            </w:r>
          </w:p>
          <w:p>
            <w:pPr>
              <w:pStyle w:val="null3"/>
            </w:pPr>
            <w:r>
              <w:rPr>
                <w:rFonts w:ascii="仿宋_GB2312" w:hAnsi="仿宋_GB2312" w:cs="仿宋_GB2312" w:eastAsia="仿宋_GB2312"/>
              </w:rPr>
              <w:t>西安市教育局网站、政务新媒体日常运维</w:t>
            </w:r>
          </w:p>
          <w:p>
            <w:pPr>
              <w:pStyle w:val="null3"/>
            </w:pPr>
            <w:r>
              <w:rPr>
                <w:rFonts w:ascii="仿宋_GB2312" w:hAnsi="仿宋_GB2312" w:cs="仿宋_GB2312" w:eastAsia="仿宋_GB2312"/>
              </w:rPr>
              <w:t>二、项目预算</w:t>
            </w:r>
          </w:p>
          <w:p>
            <w:pPr>
              <w:pStyle w:val="null3"/>
            </w:pPr>
            <w:r>
              <w:rPr>
                <w:rFonts w:ascii="仿宋_GB2312" w:hAnsi="仿宋_GB2312" w:cs="仿宋_GB2312" w:eastAsia="仿宋_GB2312"/>
              </w:rPr>
              <w:t>50万元</w:t>
            </w:r>
          </w:p>
          <w:p>
            <w:pPr>
              <w:pStyle w:val="null3"/>
            </w:pPr>
            <w:r>
              <w:rPr>
                <w:rFonts w:ascii="仿宋_GB2312" w:hAnsi="仿宋_GB2312" w:cs="仿宋_GB2312" w:eastAsia="仿宋_GB2312"/>
              </w:rPr>
              <w:t>三、服务内容</w:t>
            </w:r>
          </w:p>
          <w:p>
            <w:pPr>
              <w:pStyle w:val="null3"/>
            </w:pPr>
            <w:r>
              <w:rPr>
                <w:rFonts w:ascii="仿宋_GB2312" w:hAnsi="仿宋_GB2312" w:cs="仿宋_GB2312" w:eastAsia="仿宋_GB2312"/>
              </w:rPr>
              <w:t>1.承担采购单位门户网站及政务新媒体平台日常发布及管理维护工作。</w:t>
            </w:r>
          </w:p>
          <w:p>
            <w:pPr>
              <w:pStyle w:val="null3"/>
            </w:pPr>
            <w:r>
              <w:rPr>
                <w:rFonts w:ascii="仿宋_GB2312" w:hAnsi="仿宋_GB2312" w:cs="仿宋_GB2312" w:eastAsia="仿宋_GB2312"/>
              </w:rPr>
              <w:t>(1)采购单位门户网站。</w:t>
            </w:r>
          </w:p>
          <w:p>
            <w:pPr>
              <w:pStyle w:val="null3"/>
            </w:pPr>
            <w:r>
              <w:rPr>
                <w:rFonts w:ascii="仿宋_GB2312" w:hAnsi="仿宋_GB2312" w:cs="仿宋_GB2312" w:eastAsia="仿宋_GB2312"/>
              </w:rPr>
              <w:t>驻派1名专职专业人员，具有政务网站或政府新媒体运营经验，驻场时间为工作日9:00一18:00，重大活动或紧急任务期间须按采购单位要求延长工作时间或周末加班。</w:t>
            </w:r>
          </w:p>
          <w:p>
            <w:pPr>
              <w:pStyle w:val="null3"/>
            </w:pPr>
            <w:r>
              <w:rPr>
                <w:rFonts w:ascii="仿宋_GB2312" w:hAnsi="仿宋_GB2312" w:cs="仿宋_GB2312" w:eastAsia="仿宋_GB2312"/>
              </w:rPr>
              <w:t>负责官网全站栏目的日常信息采集、编辑、发布，严格执行“三审三校”制度，每日更新动态信息;每月对全网错敏词、错链进行排查整改及时处理死链、错链及功能故障;保障网站内各类查询系统、办事入口的畅通;配合完成国家、省、市各级政府部门网站年度考核及普查抽查工作。</w:t>
            </w:r>
          </w:p>
          <w:p>
            <w:pPr>
              <w:pStyle w:val="null3"/>
            </w:pPr>
            <w:r>
              <w:rPr>
                <w:rFonts w:ascii="仿宋_GB2312" w:hAnsi="仿宋_GB2312" w:cs="仿宋_GB2312" w:eastAsia="仿宋_GB2312"/>
              </w:rPr>
              <w:t>(2)采购单位官方微信日常发布。确保法定工作日每日更新，全年发布总量不低于600条，其中原创内容占比不低于30%。</w:t>
            </w:r>
          </w:p>
          <w:p>
            <w:pPr>
              <w:pStyle w:val="null3"/>
            </w:pPr>
            <w:r>
              <w:rPr>
                <w:rFonts w:ascii="仿宋_GB2312" w:hAnsi="仿宋_GB2312" w:cs="仿宋_GB2312" w:eastAsia="仿宋_GB2312"/>
              </w:rPr>
              <w:t>内容质量与审美要求。微信推文标题醒目、正文逻辑清晰、配图精美。图文排版须符合采购单位统一的视觉规范，字体、字号、配色、间距、图片比例须保持整体风格统一。</w:t>
            </w:r>
          </w:p>
          <w:p>
            <w:pPr>
              <w:pStyle w:val="null3"/>
            </w:pPr>
            <w:r>
              <w:rPr>
                <w:rFonts w:ascii="仿宋_GB2312" w:hAnsi="仿宋_GB2312" w:cs="仿宋_GB2312" w:eastAsia="仿宋_GB2312"/>
              </w:rPr>
              <w:t>三审三校制度。严格执行“三审三校”制度。未经最终审查的内容不得发布，重大内容须经采购单位相关处室负责人及分管领导审定。涉及政策发布的内容，须提前与对应业务处室沟通确认，确保政策表述与原文件一致。确保发布内容的时效、准确无误，防止出现政治方向偏差、表述不当、数据错误、版权风险等。</w:t>
            </w:r>
          </w:p>
          <w:p>
            <w:pPr>
              <w:pStyle w:val="null3"/>
            </w:pPr>
            <w:r>
              <w:rPr>
                <w:rFonts w:ascii="仿宋_GB2312" w:hAnsi="仿宋_GB2312" w:cs="仿宋_GB2312" w:eastAsia="仿宋_GB2312"/>
              </w:rPr>
              <w:t>主题策划。围绕西安教育综合改革等推出系列主题策划，全年策划推出专题系列内容不少于8个系列。围绕“健康第一”、基础教育扩优提质、教师队伍建设、假期安全、心理健康教育等重点工作和热点话题，策划推出系列内容。</w:t>
            </w:r>
          </w:p>
          <w:p>
            <w:pPr>
              <w:pStyle w:val="null3"/>
            </w:pPr>
            <w:r>
              <w:rPr>
                <w:rFonts w:ascii="仿宋_GB2312" w:hAnsi="仿宋_GB2312" w:cs="仿宋_GB2312" w:eastAsia="仿宋_GB2312"/>
              </w:rPr>
              <w:t>可视化内容呈现，重要内容优先采用可视化呈现(海报、长图等)。配备专业美编人员，负责推文配图设计、海报制作等。</w:t>
            </w:r>
          </w:p>
          <w:p>
            <w:pPr>
              <w:pStyle w:val="null3"/>
            </w:pPr>
            <w:r>
              <w:rPr>
                <w:rFonts w:ascii="仿宋_GB2312" w:hAnsi="仿宋_GB2312" w:cs="仿宋_GB2312" w:eastAsia="仿宋_GB2312"/>
              </w:rPr>
              <w:t>服务期内，须通过内容优化、专题策划等方式，持续提升采购单位官方微信公众号的粉丝关注度，确保服务期满后，微信公众号关注用户数较服务期初净增不低于5万。</w:t>
            </w:r>
          </w:p>
          <w:p>
            <w:pPr>
              <w:pStyle w:val="null3"/>
            </w:pPr>
            <w:r>
              <w:rPr>
                <w:rFonts w:ascii="仿宋_GB2312" w:hAnsi="仿宋_GB2312" w:cs="仿宋_GB2312" w:eastAsia="仿宋_GB2312"/>
              </w:rPr>
              <w:t>(3)采购单位官方微博:每日发布教育资讯、校园动态等，回应社会关切，提供便民服务，全年发布不少于700条。内容类型与话题矩阵。发布内容涵盖政策速递、校园风貌展示、便民贴心提示等多元化内容矩阵。</w:t>
            </w:r>
          </w:p>
          <w:p>
            <w:pPr>
              <w:pStyle w:val="null3"/>
            </w:pPr>
            <w:r>
              <w:rPr>
                <w:rFonts w:ascii="仿宋_GB2312" w:hAnsi="仿宋_GB2312" w:cs="仿宋_GB2312" w:eastAsia="仿宋_GB2312"/>
              </w:rPr>
              <w:t>2.做好全市教育系统网站、新媒体数据监测服务。</w:t>
            </w:r>
          </w:p>
          <w:p>
            <w:pPr>
              <w:pStyle w:val="null3"/>
            </w:pPr>
            <w:r>
              <w:rPr>
                <w:rFonts w:ascii="仿宋_GB2312" w:hAnsi="仿宋_GB2312" w:cs="仿宋_GB2312" w:eastAsia="仿宋_GB2312"/>
              </w:rPr>
              <w:t>做好信息监测服务，信息阶段性数据汇总整理，月度数据分析，信息分析报告撰写服务，对重点事件进行深入分析。</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1.承担服务的团队成员，需熟悉教育政策法规，具有政务网站或新媒体运维相关经验，要求配备6名专职人员承担具体工作。</w:t>
            </w:r>
          </w:p>
          <w:p>
            <w:pPr>
              <w:pStyle w:val="null3"/>
            </w:pPr>
            <w:r>
              <w:rPr>
                <w:rFonts w:ascii="仿宋_GB2312" w:hAnsi="仿宋_GB2312" w:cs="仿宋_GB2312" w:eastAsia="仿宋_GB2312"/>
              </w:rPr>
              <w:t>2.要求团队具有较强的主题策划能力，能制定年度及月度选题方案;具有线下活动组织执行能力以及各新媒体平台整体运营及数据分析能力。</w:t>
            </w:r>
          </w:p>
          <w:p>
            <w:pPr>
              <w:pStyle w:val="null3"/>
            </w:pPr>
            <w:r>
              <w:rPr>
                <w:rFonts w:ascii="仿宋_GB2312" w:hAnsi="仿宋_GB2312" w:cs="仿宋_GB2312" w:eastAsia="仿宋_GB2312"/>
              </w:rPr>
              <w:t>五、验收</w:t>
            </w:r>
          </w:p>
          <w:p>
            <w:pPr>
              <w:pStyle w:val="null3"/>
              <w:jc w:val="both"/>
            </w:pPr>
            <w:r>
              <w:rPr>
                <w:rFonts w:ascii="仿宋_GB2312" w:hAnsi="仿宋_GB2312" w:cs="仿宋_GB2312" w:eastAsia="仿宋_GB2312"/>
              </w:rPr>
              <w:t>所有服务结束后，供应商根据服务内容整理专项服务报告交予采购人，并由采购人按照服务内容对其进行验收。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按照国家、行业相关标准要求、磋商文件及合同约定执行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进度款，同签订后，甲方收到乙方开具的等额发票，达到付款条件起15个工作日内，支付合同总金额的40.0%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进度款，服务期过半，达到付款条件起15个工作日内，支付合同总金额的40.0%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进度款，合同履约完成，甲方验收合格后，达到付款条件起15个工作日内，支付合同总金额的20.0%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1.本项目通过电子化交易系统磋商，供应商需在电子化交易系统上传响应的文件。成交供应商领取成交通知书时，向采购代理机构提供一正两副纸质响应文件。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提供合格有效的统一社会信用代码营业执照或其他组织经营的合法凭证或自然人的提供身份证明文件；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法定代表人参加磋商的，须提供本人身份证复印件；法定代表人授权他人参加磋商的，须提供法定代表人授权委托书及被授权人近半年内任意一个月的社保缴纳证明；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企业赋码后2024年度或2025年度经会计师事务所或审计机构审计的财务审计报告（成立时间至提交响应文件截止时间不足一年的可提供成立后任意时段的资产负债表、利润表、现金流量表），或开标截止时间前六个月内基本账户银行出具的资信证明，提供财务审计报告的需在注册会计师行业统一监管平台（http://acc.mof.gov.cn/）可查询并提供网页查询截图；</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供应商应具备良好的商业信誉，提供在参加政府采购活动前3年内在经营活动中没有重大违法记录的书面声明；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专业技术能力的书面承诺</w:t>
            </w:r>
          </w:p>
        </w:tc>
        <w:tc>
          <w:tcPr>
            <w:tcW w:type="dxa" w:w="3322"/>
          </w:tcPr>
          <w:p>
            <w:pPr>
              <w:pStyle w:val="null3"/>
            </w:pPr>
            <w:r>
              <w:rPr>
                <w:rFonts w:ascii="仿宋_GB2312" w:hAnsi="仿宋_GB2312" w:cs="仿宋_GB2312" w:eastAsia="仿宋_GB2312"/>
              </w:rPr>
              <w:t>供应商具备履行合同所必须的设备和专业技术能力的书面承诺；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近年业绩的有关证明材料.docx 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近年业绩的有关证明材料.docx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供应商提供针对本项目的项目理解，包括1、项目核心需求理解；2、项目背景及行业现状认知；3、项目实施重难点识别。 评审标准：对项目理解全面、深刻、准确、思路清晰，符合本项目采购需求、可行性强，满足磋商文件中“技术参数与性能指标”要求，能保障本项目实施得6分；评审内容每缺一项扣2分，评审内容每有一处缺陷未完全响应评审标准的扣0.5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供针对本项目的服务方案，包括但不限于：1、门户网站日常内容运维方案；2、官方微信日常内容运维及用户关注度提升方案；3、官方微博日常内容运维方案；4、互联网教育数据监测服务；5、主题策划服务方案；6、政务新媒体平台数据分析及整体运维提升方案。 评审标准：方案各部分内容全面详细、阐述条理清晰详尽、符合本项目采购需求、可行性强，满足磋商文件中“技术参数与性能指标”相关要求，能保障项目整体落地得24分；评审内容每缺一项扣4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供应商提供针对本项目的应急方案，包括1、应急处置流程；2、应急响应机制；3、应急处置措施；4、应急保障；5、应急复盘优化。 评审标准：应急方案各部分内容全面详细、阐述条理清晰详尽、符合本项目实际情况及采购需求，能有效应对项目各类突发情况、保障项目顺利推进得10分；评审内容每缺一项扣2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保密服务承诺</w:t>
            </w:r>
          </w:p>
        </w:tc>
        <w:tc>
          <w:tcPr>
            <w:tcW w:type="dxa" w:w="2492"/>
          </w:tcPr>
          <w:p>
            <w:pPr>
              <w:pStyle w:val="null3"/>
            </w:pPr>
            <w:r>
              <w:rPr>
                <w:rFonts w:ascii="仿宋_GB2312" w:hAnsi="仿宋_GB2312" w:cs="仿宋_GB2312" w:eastAsia="仿宋_GB2312"/>
              </w:rPr>
              <w:t>供应商提供针对本项目的保密服务承诺，包括1、保密责任明确承诺和保密违约处理承诺；2、保密管理制度说明；3、保密措施具体方案。 评审标准：保密服务承诺各部分内容全面详细、阐述条理清晰详尽、符合本项目保密需求，能有效保障本项目相关信息安全得3分；每提供一项得1分，未提供不得分。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提供针对本项目的团队能力和人员配备情况包括：（1）项目负责人具有五年以上的新媒体运维经验，提供简历表，证书及业绩证明资料，资料完全满足要求得6分，资料不完善，缺任一项扣2分，扣完为止。（2）项目团队人员①配置驻场专业运营人员1名，得2分；未提供不得分；②配置主笔专职人员1名，得2分，未提供不得分；③配置编辑人员2名，得4分，未提供不得分；④配置美工1名，得2分，未提供不得分；在满足以上人员基础之上，每增加一名专业人员得2分，满分4分。 注：提供上述人员近六个月任意一个月本单位社保缴纳证明。</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为更好的服务于本项目，供应商对项目提出合理化建议，每提供一条得1分，最高得2分，未提供不得分。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2021年1月1日至今类似业绩（门户网站、新媒体运维、大型教育类活动项目等服务业绩）（以合同签订日期为准）。 评审标准：提供1个业绩计2分，最高得10分。赋分依据：合同（或协议）扫描件。扫描件至少含首页、双方签字盖章页、反映实施内容页、反映签署日期页。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近年业绩的有关证明材料.docx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供应商提供运营服务质量保障措施内容，至少包括:1、项目运营流程及管理制度；2、审核保障机制；3、运营技术保障机制；4、服务考核机制；5、风险管控机制。 评审标准：服务质量保障措施内容全面详细、阐述条理清晰详尽、符合本项目实施需求，能保障项目高效推进得15分；每提供一项3分，未提供不得分。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的有效最终报价且磋商价格最低的磋商报价为磋商基准价，其价格分为满分。其他供应商的价格分统一按照下列公式计算：磋商报价得分=（磋商基准价／磋商报价）×10；计算分数时四舍五入取小数点后两位。注：符合磋商文件规定的中小企业、监狱企业、残疾人企业优惠条件的供应商，给予10%的价格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