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CD094">
      <w:pPr>
        <w:pStyle w:val="6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 xml:space="preserve"> 拟签订采购合同文本</w:t>
      </w:r>
    </w:p>
    <w:p w14:paraId="3861F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Cs/>
          <w:sz w:val="24"/>
          <w:szCs w:val="24"/>
          <w:highlight w:val="none"/>
        </w:rPr>
      </w:pPr>
    </w:p>
    <w:p w14:paraId="47BFA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甲方（采购人）：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乙方（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供应商）：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</w:t>
      </w:r>
    </w:p>
    <w:p w14:paraId="12990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地址：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地址：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</w:t>
      </w:r>
    </w:p>
    <w:p w14:paraId="207AD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联系人：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联系人：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</w:t>
      </w:r>
    </w:p>
    <w:p w14:paraId="48BD7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</w:t>
      </w:r>
    </w:p>
    <w:p w14:paraId="609CE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3731E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2026年西安市教育局门户网站、政务新媒体运维服务项目</w:t>
      </w:r>
      <w:r>
        <w:rPr>
          <w:rFonts w:hint="eastAsia" w:ascii="仿宋" w:hAnsi="仿宋" w:eastAsia="仿宋" w:cs="仿宋"/>
          <w:bCs/>
          <w:sz w:val="24"/>
          <w:szCs w:val="24"/>
        </w:rPr>
        <w:t>(采购项目编号：CT-ZB00-200-2026)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由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中昕国际项目管理有限公司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组织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(以下简称“甲方”)确定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（以下简称“乙方”）为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本项目的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供应商。</w:t>
      </w:r>
    </w:p>
    <w:p w14:paraId="0C801A4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依据《中华人民共和国</w:t>
      </w:r>
      <w:r>
        <w:rPr>
          <w:rFonts w:hint="eastAsia" w:ascii="仿宋" w:hAnsi="仿宋" w:eastAsia="仿宋" w:cs="仿宋"/>
          <w:bCs/>
          <w:sz w:val="24"/>
          <w:szCs w:val="24"/>
          <w:lang w:val="en-US"/>
        </w:rPr>
        <w:t>民法典</w:t>
      </w:r>
      <w:r>
        <w:rPr>
          <w:rFonts w:hint="eastAsia" w:ascii="仿宋" w:hAnsi="仿宋" w:eastAsia="仿宋" w:cs="仿宋"/>
          <w:bCs/>
          <w:sz w:val="24"/>
          <w:szCs w:val="24"/>
        </w:rPr>
        <w:t>》和《中华人民共和国政府采购法》及相关法律法规的规定，经双方协商，按下述条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款和条件签署本合同。</w:t>
      </w:r>
    </w:p>
    <w:p w14:paraId="0DF9162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 w:val="0"/>
          <w:sz w:val="24"/>
          <w:szCs w:val="24"/>
          <w:u w:val="none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u w:val="none"/>
        </w:rPr>
        <w:t>第一条：合同价款</w:t>
      </w:r>
    </w:p>
    <w:p w14:paraId="68587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（一）合同总价款为人民币（大写）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（￥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）。</w:t>
      </w:r>
    </w:p>
    <w:p w14:paraId="15B0A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（二）合同总价是指为本次服务工作所需的全部费用。</w:t>
      </w:r>
    </w:p>
    <w:p w14:paraId="79033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（三）合同总价一次性包死，不受市场价格变化因素的影响。</w:t>
      </w:r>
    </w:p>
    <w:p w14:paraId="62F4521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u w:val="none"/>
          <w:lang w:val="en-US" w:eastAsia="zh-CN"/>
        </w:rPr>
        <w:t>第二条：款项结算</w:t>
      </w:r>
    </w:p>
    <w:p w14:paraId="5514AC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支付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时间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及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方式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：</w:t>
      </w:r>
    </w:p>
    <w:p w14:paraId="2C0A2B3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合同签订之后，达到付款条件起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日内，支付合同总金额的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40.00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%，即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人民币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（大写）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（￥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作为预付款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0F43DC2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进度款，服务期过半，达到付款条件起15个工作日内，支付合同总金额的40.0%，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即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人民币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（大写）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（￥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31EAE35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）合同履约完成，甲方验收合格后，达到付款条件起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个工作日内，支付合同总金额的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0.0%，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即人民币（大写）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（￥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）。</w:t>
      </w:r>
    </w:p>
    <w:p w14:paraId="55D91F5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乙方收款账号：</w:t>
      </w:r>
    </w:p>
    <w:p w14:paraId="0C61D15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 xml:space="preserve">账户名称：            </w:t>
      </w:r>
    </w:p>
    <w:p w14:paraId="1B33BC6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 xml:space="preserve">开户银行：            </w:t>
      </w:r>
    </w:p>
    <w:p w14:paraId="603D21D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 xml:space="preserve">银行账号：            </w:t>
      </w:r>
    </w:p>
    <w:p w14:paraId="44788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u w:val="none"/>
          <w:lang w:val="en-US" w:eastAsia="zh-CN"/>
        </w:rPr>
        <w:t>第三条：履约保证金</w:t>
      </w:r>
    </w:p>
    <w:p w14:paraId="0F94420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不缴纳</w:t>
      </w:r>
    </w:p>
    <w:p w14:paraId="4D631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u w:val="none"/>
          <w:lang w:val="en-US" w:eastAsia="zh-CN"/>
        </w:rPr>
        <w:t>第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u w:val="none"/>
          <w:lang w:val="en-US" w:eastAsia="zh-CN"/>
        </w:rPr>
        <w:t>条：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服务期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en-US" w:eastAsia="zh-CN"/>
        </w:rPr>
        <w:t>限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及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地点：</w:t>
      </w:r>
    </w:p>
    <w:p w14:paraId="1C3C6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期限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。</w:t>
      </w:r>
    </w:p>
    <w:p w14:paraId="61C2197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地点：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指定地点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。</w:t>
      </w:r>
    </w:p>
    <w:p w14:paraId="39AF405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条：双方的权利和义务</w:t>
      </w:r>
    </w:p>
    <w:p w14:paraId="51C26F4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（一）甲方权利义务</w:t>
      </w:r>
    </w:p>
    <w:p w14:paraId="76E8641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1.甲方有权对乙方提交的方案进行审查，并提出相应修改意见；</w:t>
      </w:r>
    </w:p>
    <w:p w14:paraId="694C1AB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2.甲方有权根据本合同所约定的内容及标准，在不影响乙方工作的前提下检查乙方提供的服务质量，如乙方提供的服务质量不符合本合同的约定，甲方有权要求乙方在指定时间内做出补充或修正；</w:t>
      </w:r>
    </w:p>
    <w:p w14:paraId="6A7DF12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3.甲方应依据本合同规定，按时足额向乙方支付合同价款；</w:t>
      </w:r>
    </w:p>
    <w:p w14:paraId="2866398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4.合同执行过程中，甲方如需变更项目计划，应提前以书面形式告知乙方，由于变更所产生的额外费用或给乙方造成的损失由甲方承担，并同意乙方将执行周期予以合理顺延；</w:t>
      </w:r>
    </w:p>
    <w:p w14:paraId="5622D5F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5.甲方应积极配合、协助乙方完成本合同约定事项。</w:t>
      </w:r>
    </w:p>
    <w:p w14:paraId="10301B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（二）乙方权利义务</w:t>
      </w:r>
    </w:p>
    <w:p w14:paraId="3975D98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1.乙方必须按合同约定的服务内容及标准向甲方提供相应服务；</w:t>
      </w:r>
    </w:p>
    <w:p w14:paraId="09C43D1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2.乙方应负责完成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实施有关的申请、审批等程序（若有）；</w:t>
      </w:r>
    </w:p>
    <w:p w14:paraId="40BEDB5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3.乙方应保障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的顺利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实施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，并采取必要措施保障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参与人员和第三方的人身及财产安全，若由于乙方管理或保障不力造成任何人身及财产损失的，乙方应承担赔偿责任；</w:t>
      </w:r>
    </w:p>
    <w:p w14:paraId="599AC37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4.乙方有权要求甲方按时足额支付合同费用；</w:t>
      </w:r>
    </w:p>
    <w:p w14:paraId="56536DD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5.如因不可抗力，如恶劣气候或灾害、国家行为等导致服务内容不能如期完成的，乙方应及时通知甲方，由双方另行协商处理。</w:t>
      </w:r>
    </w:p>
    <w:p w14:paraId="1B367A0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条：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验收</w:t>
      </w:r>
    </w:p>
    <w:p w14:paraId="3DDDE74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项目完成后，由甲方和乙方共同对项目进行整体验收。</w:t>
      </w:r>
    </w:p>
    <w:p w14:paraId="50480F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其内容包括乙方是否按照甲方要求进行服务、是否在规定时间内服务完毕、服务工作是否存在失误。验收合格后，填写政府采购项目验收单、验收报告作为对本服务的最终认可。</w:t>
      </w:r>
    </w:p>
    <w:p w14:paraId="57F6283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乙方向甲方提供服务过程中的所有相关资料,以便甲方日后管理。</w:t>
      </w:r>
    </w:p>
    <w:p w14:paraId="6C0CB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（四）验收依据为竞争性磋商文件、磋商响应文件、澄清表（函）、政府采购合同及附件文本、国家相应的标准、规范。</w:t>
      </w:r>
    </w:p>
    <w:p w14:paraId="2B6B0FE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第七条：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违约责任</w:t>
      </w:r>
    </w:p>
    <w:p w14:paraId="27A5FC5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（一）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违约责任按《中华人民共和国民法典》处理中的相关条款执行。</w:t>
      </w:r>
    </w:p>
    <w:p w14:paraId="752D506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乙方应按合同约定时间完成各阶段合同义务，若发生延迟，乙方应向甲方支付合同总价款10%的违约金，且甲方有权单方解除本合同。但甲方书面同意延迟或因甲方原因导致延迟的，乙方不承担违约责任。</w:t>
      </w:r>
    </w:p>
    <w:p w14:paraId="6290AA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（三）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如甲方未能在本合同约定时间内支付款项，每延迟一天，甲方须向乙方支付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一定的费用作为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违约金。</w:t>
      </w:r>
    </w:p>
    <w:p w14:paraId="49EE8A3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（四）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本次活动因乙方原因导致侵害甲方或第三方合法权益的，应由乙方承担相应赔偿责任，并向甲方支付合同总价款10%的违约金。</w:t>
      </w:r>
    </w:p>
    <w:p w14:paraId="074DCB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（五）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若乙方未经甲方同意泄露本合同约定的任何秘密信息的，乙方应按照合同总价款的10%向甲方支付违约金，并赔偿因此给甲方造成的损失。</w:t>
      </w:r>
    </w:p>
    <w:p w14:paraId="3B30580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（六）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乙方保证向甲方开具发票的真实性、合法性，若乙方向甲方开具的发票存在真实性、合法性问题，给甲方造成损失的，乙方应按合同总价款的10%向甲方支付违约金，违约金不足以弥补损失的，乙方还应承担相应赔偿责任；</w:t>
      </w:r>
    </w:p>
    <w:p w14:paraId="7400DBE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</w:rPr>
        <w:t>条：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争议解决</w:t>
      </w:r>
    </w:p>
    <w:p w14:paraId="467B730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4"/>
          <w:szCs w:val="24"/>
        </w:rPr>
        <w:t>执行本合同过程中发生争议，应友好协商解决，协商不成的，任何一方可到甲方所在地人民法院提起诉讼。</w:t>
      </w:r>
    </w:p>
    <w:p w14:paraId="675B893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条：其他</w:t>
      </w:r>
    </w:p>
    <w:p w14:paraId="0F7F280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4"/>
          <w:szCs w:val="24"/>
          <w:highlight w:val="none"/>
        </w:rPr>
        <w:t>本合同一式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4"/>
          <w:szCs w:val="24"/>
          <w:highlight w:val="none"/>
        </w:rPr>
        <w:t>份，具有同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</w:rPr>
        <w:t>等法律效力，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</w:rPr>
        <w:t>执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</w:rPr>
        <w:t>份，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  <w:t>乙方执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份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</w:rPr>
        <w:t>监管部门备案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</w:rPr>
        <w:t>份、招标代理机构存档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tbl>
      <w:tblPr>
        <w:tblStyle w:val="4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0"/>
        <w:gridCol w:w="4020"/>
      </w:tblGrid>
      <w:tr w14:paraId="7B878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020" w:type="dxa"/>
            <w:shd w:val="clear" w:color="auto" w:fill="D8D8D8"/>
            <w:noWrap w:val="0"/>
            <w:vAlign w:val="center"/>
          </w:tcPr>
          <w:p w14:paraId="205BE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甲  方</w:t>
            </w:r>
          </w:p>
        </w:tc>
        <w:tc>
          <w:tcPr>
            <w:tcW w:w="4020" w:type="dxa"/>
            <w:shd w:val="clear" w:color="auto" w:fill="D8D8D8"/>
            <w:noWrap w:val="0"/>
            <w:vAlign w:val="center"/>
          </w:tcPr>
          <w:p w14:paraId="5A09A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乙  方</w:t>
            </w:r>
          </w:p>
        </w:tc>
      </w:tr>
      <w:tr w14:paraId="57DE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4020" w:type="dxa"/>
            <w:noWrap w:val="0"/>
            <w:vAlign w:val="center"/>
          </w:tcPr>
          <w:p w14:paraId="10361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采购人</w:t>
            </w:r>
          </w:p>
          <w:p w14:paraId="35302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（公章）</w:t>
            </w:r>
          </w:p>
        </w:tc>
        <w:tc>
          <w:tcPr>
            <w:tcW w:w="4020" w:type="dxa"/>
            <w:noWrap w:val="0"/>
            <w:vAlign w:val="center"/>
          </w:tcPr>
          <w:p w14:paraId="37DCF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成交供应商</w:t>
            </w:r>
          </w:p>
          <w:p w14:paraId="1E38C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（公章）</w:t>
            </w:r>
          </w:p>
        </w:tc>
      </w:tr>
      <w:tr w14:paraId="631BD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71086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地址：</w:t>
            </w:r>
          </w:p>
        </w:tc>
        <w:tc>
          <w:tcPr>
            <w:tcW w:w="4020" w:type="dxa"/>
            <w:noWrap w:val="0"/>
            <w:vAlign w:val="center"/>
          </w:tcPr>
          <w:p w14:paraId="0A586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地址：</w:t>
            </w:r>
          </w:p>
        </w:tc>
      </w:tr>
      <w:tr w14:paraId="634A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0C6F8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邮编：</w:t>
            </w:r>
          </w:p>
        </w:tc>
        <w:tc>
          <w:tcPr>
            <w:tcW w:w="4020" w:type="dxa"/>
            <w:noWrap w:val="0"/>
            <w:vAlign w:val="center"/>
          </w:tcPr>
          <w:p w14:paraId="5D67C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邮编：</w:t>
            </w:r>
          </w:p>
        </w:tc>
      </w:tr>
      <w:tr w14:paraId="19A13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74849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或代理人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t>：</w:t>
            </w:r>
          </w:p>
        </w:tc>
        <w:tc>
          <w:tcPr>
            <w:tcW w:w="4020" w:type="dxa"/>
            <w:noWrap w:val="0"/>
            <w:vAlign w:val="center"/>
          </w:tcPr>
          <w:p w14:paraId="71B4A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或代理人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</w:rPr>
              <w:t>：</w:t>
            </w:r>
          </w:p>
        </w:tc>
      </w:tr>
      <w:tr w14:paraId="386EF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7AB3D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负责人：（签字）</w:t>
            </w:r>
          </w:p>
        </w:tc>
        <w:tc>
          <w:tcPr>
            <w:tcW w:w="4020" w:type="dxa"/>
            <w:noWrap w:val="0"/>
            <w:vAlign w:val="center"/>
          </w:tcPr>
          <w:p w14:paraId="38715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负责人：（签字）</w:t>
            </w:r>
          </w:p>
        </w:tc>
      </w:tr>
      <w:tr w14:paraId="552EA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08453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电话：</w:t>
            </w:r>
          </w:p>
        </w:tc>
        <w:tc>
          <w:tcPr>
            <w:tcW w:w="4020" w:type="dxa"/>
            <w:noWrap w:val="0"/>
            <w:vAlign w:val="center"/>
          </w:tcPr>
          <w:p w14:paraId="7EA70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电话：</w:t>
            </w:r>
          </w:p>
        </w:tc>
      </w:tr>
      <w:tr w14:paraId="0A80F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2B722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20" w:type="dxa"/>
            <w:noWrap w:val="0"/>
            <w:vAlign w:val="center"/>
          </w:tcPr>
          <w:p w14:paraId="25124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账户名称：</w:t>
            </w:r>
          </w:p>
        </w:tc>
      </w:tr>
      <w:tr w14:paraId="3B4FE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6FC85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20" w:type="dxa"/>
            <w:noWrap w:val="0"/>
            <w:vAlign w:val="center"/>
          </w:tcPr>
          <w:p w14:paraId="6953B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开户银行：</w:t>
            </w:r>
          </w:p>
        </w:tc>
      </w:tr>
      <w:tr w14:paraId="1D3B0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020" w:type="dxa"/>
            <w:noWrap w:val="0"/>
            <w:vAlign w:val="center"/>
          </w:tcPr>
          <w:p w14:paraId="3DEB4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20" w:type="dxa"/>
            <w:noWrap w:val="0"/>
            <w:vAlign w:val="center"/>
          </w:tcPr>
          <w:p w14:paraId="306F3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银行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账号：</w:t>
            </w:r>
          </w:p>
        </w:tc>
      </w:tr>
      <w:tr w14:paraId="0BD99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4020" w:type="dxa"/>
            <w:noWrap w:val="0"/>
            <w:vAlign w:val="center"/>
          </w:tcPr>
          <w:p w14:paraId="41921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日期：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月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4020" w:type="dxa"/>
            <w:noWrap w:val="0"/>
            <w:vAlign w:val="center"/>
          </w:tcPr>
          <w:p w14:paraId="59F66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日期：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年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月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日</w:t>
            </w:r>
          </w:p>
        </w:tc>
      </w:tr>
    </w:tbl>
    <w:p w14:paraId="732A9D2B">
      <w:pPr>
        <w:rPr>
          <w:rFonts w:hint="eastAsia" w:ascii="仿宋" w:hAnsi="仿宋" w:eastAsia="仿宋" w:cs="仿宋"/>
        </w:rPr>
      </w:pPr>
    </w:p>
    <w:p w14:paraId="1369B67B"/>
    <w:p w14:paraId="01D261F7">
      <w:pPr>
        <w:pStyle w:val="6"/>
        <w:rPr>
          <w:rFonts w:hint="eastAsia"/>
          <w:lang w:val="en-US" w:eastAsia="zh-Hans"/>
        </w:rPr>
      </w:pPr>
    </w:p>
    <w:p w14:paraId="08AA56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C14D2D"/>
    <w:multiLevelType w:val="singleLevel"/>
    <w:tmpl w:val="71C14D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96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24" w:lineRule="auto"/>
    </w:pPr>
    <w:rPr>
      <w:rFonts w:ascii="Times New Roman" w:hAnsi="Times New Roman" w:eastAsia="宋体" w:cs="Times New Roman"/>
      <w:color w:val="993300"/>
      <w:sz w:val="24"/>
      <w:szCs w:val="24"/>
    </w:rPr>
  </w:style>
  <w:style w:type="paragraph" w:styleId="3">
    <w:name w:val="toc 9"/>
    <w:basedOn w:val="1"/>
    <w:next w:val="1"/>
    <w:semiHidden/>
    <w:qFormat/>
    <w:uiPriority w:val="0"/>
    <w:pPr>
      <w:ind w:left="3360" w:leftChars="16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2026-08-12T07:26:14Z</dcterms:created>
  <dc:creator>Administrator</dc:creator>
  <cp:lastModifiedBy>Figh_Ting</cp:lastModifiedBy>
  <dcterms:modified xsi:type="dcterms:W3CDTF">2026-08-12T07:26:31Z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eyJoZGlkIjoiYmU1YzRkZjY0ZWVjZjFhOGE5MjQxYWExMTViNzY5MTciLCJ1c2VySWQiOiIzMzExNzExODgifQ==</vt:lpwstr>
  </property>
  <property fmtid="{D5CDD505-2E9C-101B-9397-08002B2CF9AE}" pid="4" name="ICV">
    <vt:lpwstr>C9B5E55D9BFC46509FA96CCA25AEB859_12</vt:lpwstr>
  </property>
</Properties>
</file>