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版本号：KY2026-1-54120260526001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艺术特色、传媒特长班等课程引进项目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KY2026-1-541</w:t>
      </w:r>
      <w:r>
        <w:br/>
      </w:r>
      <w:r>
        <w:br/>
      </w:r>
      <w:r>
        <w:br/>
      </w:r>
    </w:p>
    <w:p>
      <w:pPr>
        <w:pStyle w:val="null3"/>
        <w:jc w:val="center"/>
        <w:outlineLvl w:val="2"/>
      </w:pPr>
      <w:r>
        <w:rPr>
          <w:rFonts w:ascii="仿宋_GB2312" w:hAnsi="仿宋_GB2312" w:cs="仿宋_GB2312" w:eastAsia="仿宋_GB2312"/>
          <w:sz w:val="28"/>
          <w:b/>
        </w:rPr>
        <w:t>西安市第三十中学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西安市第三十中学</w:t>
      </w:r>
      <w:r>
        <w:rPr>
          <w:rFonts w:ascii="仿宋_GB2312" w:hAnsi="仿宋_GB2312" w:cs="仿宋_GB2312" w:eastAsia="仿宋_GB2312"/>
        </w:rPr>
        <w:t>委托，拟对</w:t>
      </w:r>
      <w:r>
        <w:rPr>
          <w:rFonts w:ascii="仿宋_GB2312" w:hAnsi="仿宋_GB2312" w:cs="仿宋_GB2312" w:eastAsia="仿宋_GB2312"/>
        </w:rPr>
        <w:t>艺术特色、传媒特长班等课程引进项目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艺术特色、传媒特长班等课程引进项目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西安市第三十中学艺术特色、传媒特长班等课程引进项目，1项，具体内容详见采购文件第三章。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采购包1（艺术特色、传媒特长班等课程引进项目）：属于专门面向小微企业采购。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8、中小企业声明函：本项目专门面向小微企业采购，供应商应为小微企业或监狱企业或残疾人福利性单位，并提供声明函。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西安市第三十中学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西安市西新街51号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西安市第三十中学经办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13572920991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说明：合同签订后，成交供应商开具合同金额5%的履约保函</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参照国家计委颁布的《招标代理服务收费管理暂行办法》（计价格[2002]1980号）规定的招标代理服务收费标准收取。本项目代理服务费按服务计取，不足伍仟按伍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西安市第三十中学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西安市第三十中学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西安市第三十中学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联系人：汪涛、丁嘉伟</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西安市第三十中学艺术特色、传媒特长班等课程引进项目，1项，具体内容详见采购文件第三章。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媒介素养班课程引进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标的名称：媒介素养班课程引进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艺术特长班课程项目</w:t>
            </w:r>
          </w:p>
          <w:p>
            <w:pPr>
              <w:pStyle w:val="null3"/>
            </w:pPr>
            <w:r>
              <w:rPr>
                <w:rFonts w:ascii="仿宋_GB2312" w:hAnsi="仿宋_GB2312" w:cs="仿宋_GB2312" w:eastAsia="仿宋_GB2312"/>
              </w:rPr>
              <w:t>1.总课时</w:t>
            </w:r>
            <w:r>
              <w:rPr>
                <w:rFonts w:ascii="仿宋_GB2312" w:hAnsi="仿宋_GB2312" w:cs="仿宋_GB2312" w:eastAsia="仿宋_GB2312"/>
              </w:rPr>
              <w:t>量</w:t>
            </w:r>
          </w:p>
          <w:p>
            <w:pPr>
              <w:pStyle w:val="null3"/>
            </w:pPr>
            <w:r>
              <w:rPr>
                <w:rFonts w:ascii="仿宋_GB2312" w:hAnsi="仿宋_GB2312" w:cs="仿宋_GB2312" w:eastAsia="仿宋_GB2312"/>
              </w:rPr>
              <w:t>课程总课时不少于</w:t>
            </w:r>
            <w:r>
              <w:rPr>
                <w:rFonts w:ascii="仿宋_GB2312" w:hAnsi="仿宋_GB2312" w:cs="仿宋_GB2312" w:eastAsia="仿宋_GB2312"/>
              </w:rPr>
              <w:t>5</w:t>
            </w:r>
            <w:r>
              <w:rPr>
                <w:rFonts w:ascii="仿宋_GB2312" w:hAnsi="仿宋_GB2312" w:cs="仿宋_GB2312" w:eastAsia="仿宋_GB2312"/>
              </w:rPr>
              <w:t>31</w:t>
            </w:r>
            <w:r>
              <w:rPr>
                <w:rFonts w:ascii="仿宋_GB2312" w:hAnsi="仿宋_GB2312" w:cs="仿宋_GB2312" w:eastAsia="仿宋_GB2312"/>
              </w:rPr>
              <w:t>课时，根据学生实际接受程度与提升需求，可适当补充免费课时。</w:t>
            </w:r>
          </w:p>
          <w:p>
            <w:pPr>
              <w:pStyle w:val="null3"/>
            </w:pPr>
            <w:r>
              <w:rPr>
                <w:rFonts w:ascii="仿宋_GB2312" w:hAnsi="仿宋_GB2312" w:cs="仿宋_GB2312" w:eastAsia="仿宋_GB2312"/>
              </w:rPr>
              <w:t>2.课时标准</w:t>
            </w:r>
          </w:p>
          <w:p>
            <w:pPr>
              <w:pStyle w:val="null3"/>
            </w:pPr>
            <w:r>
              <w:rPr>
                <w:rFonts w:ascii="仿宋_GB2312" w:hAnsi="仿宋_GB2312" w:cs="仿宋_GB2312" w:eastAsia="仿宋_GB2312"/>
              </w:rPr>
              <w:t>每课时时长为</w:t>
            </w:r>
            <w:r>
              <w:rPr>
                <w:rFonts w:ascii="仿宋_GB2312" w:hAnsi="仿宋_GB2312" w:cs="仿宋_GB2312" w:eastAsia="仿宋_GB2312"/>
              </w:rPr>
              <w:t>45-60分钟。</w:t>
            </w:r>
          </w:p>
          <w:p>
            <w:pPr>
              <w:pStyle w:val="null3"/>
            </w:pPr>
            <w:r>
              <w:rPr>
                <w:rFonts w:ascii="仿宋_GB2312" w:hAnsi="仿宋_GB2312" w:cs="仿宋_GB2312" w:eastAsia="仿宋_GB2312"/>
              </w:rPr>
              <w:t>3.授课老师资质</w:t>
            </w:r>
          </w:p>
          <w:p>
            <w:pPr>
              <w:pStyle w:val="null3"/>
            </w:pPr>
            <w:r>
              <w:rPr>
                <w:rFonts w:ascii="仿宋_GB2312" w:hAnsi="仿宋_GB2312" w:cs="仿宋_GB2312" w:eastAsia="仿宋_GB2312"/>
              </w:rPr>
              <w:t>授课教师须毕业于中国传媒大学、浙江传媒学院、北京电影学院、中央戏剧学院、西安美术学院、西安音乐学院等专业高校，具备两年以上教学经验，年轻有活力。</w:t>
            </w:r>
          </w:p>
          <w:p>
            <w:pPr>
              <w:pStyle w:val="null3"/>
            </w:pPr>
            <w:r>
              <w:rPr>
                <w:rFonts w:ascii="仿宋_GB2312" w:hAnsi="仿宋_GB2312" w:cs="仿宋_GB2312" w:eastAsia="仿宋_GB2312"/>
              </w:rPr>
              <w:t>4.专家课堂</w:t>
            </w:r>
          </w:p>
          <w:p>
            <w:pPr>
              <w:pStyle w:val="null3"/>
            </w:pPr>
            <w:r>
              <w:rPr>
                <w:rFonts w:ascii="仿宋_GB2312" w:hAnsi="仿宋_GB2312" w:cs="仿宋_GB2312" w:eastAsia="仿宋_GB2312"/>
              </w:rPr>
              <w:t>专家课堂须邀请来自中国传媒大学、上海戏剧学院、浙江传媒学院、西安美术学院、西安音乐学院等高校的教授、讲师，或资深媒体人担任授课。</w:t>
            </w:r>
          </w:p>
          <w:p>
            <w:pPr>
              <w:pStyle w:val="null3"/>
            </w:pPr>
            <w:r>
              <w:rPr>
                <w:rFonts w:ascii="仿宋_GB2312" w:hAnsi="仿宋_GB2312" w:cs="仿宋_GB2312" w:eastAsia="仿宋_GB2312"/>
              </w:rPr>
              <w:t>5.实践课程</w:t>
            </w:r>
          </w:p>
          <w:p>
            <w:pPr>
              <w:pStyle w:val="null3"/>
            </w:pPr>
            <w:r>
              <w:rPr>
                <w:rFonts w:ascii="仿宋_GB2312" w:hAnsi="仿宋_GB2312" w:cs="仿宋_GB2312" w:eastAsia="仿宋_GB2312"/>
              </w:rPr>
              <w:t>实践课程应设计明确的板块学习目标，并安排实践成果展示环节。</w:t>
            </w:r>
          </w:p>
          <w:p>
            <w:pPr>
              <w:pStyle w:val="null3"/>
            </w:pPr>
            <w:r>
              <w:rPr>
                <w:rFonts w:ascii="仿宋_GB2312" w:hAnsi="仿宋_GB2312" w:cs="仿宋_GB2312" w:eastAsia="仿宋_GB2312"/>
              </w:rPr>
              <w:t>6.阶段性考核</w:t>
            </w:r>
          </w:p>
          <w:p>
            <w:pPr>
              <w:pStyle w:val="null3"/>
            </w:pPr>
            <w:r>
              <w:rPr>
                <w:rFonts w:ascii="仿宋_GB2312" w:hAnsi="仿宋_GB2312" w:cs="仿宋_GB2312" w:eastAsia="仿宋_GB2312"/>
              </w:rPr>
              <w:t>教学过程中须设置阶段性考核，以监测学生学习进展。</w:t>
            </w:r>
          </w:p>
          <w:p>
            <w:pPr>
              <w:pStyle w:val="null3"/>
            </w:pPr>
            <w:r>
              <w:rPr>
                <w:rFonts w:ascii="仿宋_GB2312" w:hAnsi="仿宋_GB2312" w:cs="仿宋_GB2312" w:eastAsia="仿宋_GB2312"/>
              </w:rPr>
              <w:t>7.</w:t>
            </w:r>
            <w:r>
              <w:rPr>
                <w:rFonts w:ascii="仿宋_GB2312" w:hAnsi="仿宋_GB2312" w:cs="仿宋_GB2312" w:eastAsia="仿宋_GB2312"/>
              </w:rPr>
              <w:t>期末汇报</w:t>
            </w:r>
          </w:p>
          <w:p>
            <w:pPr>
              <w:pStyle w:val="null3"/>
            </w:pPr>
            <w:r>
              <w:rPr>
                <w:rFonts w:ascii="仿宋_GB2312" w:hAnsi="仿宋_GB2312" w:cs="仿宋_GB2312" w:eastAsia="仿宋_GB2312"/>
              </w:rPr>
              <w:t>每学期末须组织各科目的汇报展示，呈现学习成果。</w:t>
            </w:r>
          </w:p>
          <w:p>
            <w:pPr>
              <w:pStyle w:val="null3"/>
            </w:pPr>
            <w:r>
              <w:rPr>
                <w:rFonts w:ascii="仿宋_GB2312" w:hAnsi="仿宋_GB2312" w:cs="仿宋_GB2312" w:eastAsia="仿宋_GB2312"/>
              </w:rPr>
              <w:t>8.教学场地保障:</w:t>
            </w:r>
          </w:p>
          <w:p>
            <w:pPr>
              <w:pStyle w:val="null3"/>
            </w:pPr>
            <w:r>
              <w:rPr>
                <w:rFonts w:ascii="仿宋_GB2312" w:hAnsi="仿宋_GB2312" w:cs="仿宋_GB2312" w:eastAsia="仿宋_GB2312"/>
                <w:sz w:val="21"/>
              </w:rPr>
              <w:t>如遇场地冲突，乙方须主动协调安排其他可用场地，确保课程正常交付。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 2026年8月13日起至2027年6月12日止。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西安市第三十中学指定地点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预付款，合同签订后，成交供应商应在合同签订后3个工作日内开具合同⾦额5%的履约保函及合同金额50% 的预付款保函（预付款保函有效期为2026年8月至2026年12月），达到付款条件起10个工作日内，支付合同总金额的50.0%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其他，2026年12月，成交供应商应在支付前3个工作日内，向甲方提供合同金额 50% 的预付款保函，有效期为2026年12月至项目全部服务完成并验收通过之日止，达到付款条件起10个工作日内，支付合同总金额的50.0%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1、采购文件要求签字或盖章之处，非法人单位均参照执行。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本项目专门面向小微企业采购，供应商应为小微企业或监狱企业或残疾人福利性单位，并提供声明函。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响应方案说明.docx 分项报价表.docx 中小企业声明函 残疾人福利性单位声明函 标的清单 供应商资格证明文件.docx 服务内容及服务要求应答表.docx 响应函 供应商承诺书.docx 监狱企业的证明文件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响应方案说明.docx 分项报价表.docx 中小企业声明函 残疾人福利性单位声明函 标的清单 供应商资格证明文件.docx 服务内容及服务要求应答表.docx 响应函 供应商承诺书.docx 监狱企业的证明文件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响应方案说明.docx 分项报价表.docx 中小企业声明函 残疾人福利性单位声明函 标的清单 供应商资格证明文件.docx 服务内容及服务要求应答表.docx 响应函 供应商承诺书.docx 监狱企业的证明文件 商务条款响应说明.docx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提出针对本项目的总体服务方案，内容包括但不限于：①服务目标、②技术方法、③工作程序、④工作成果、⑤重难点问题解决措施、⑥合理化建议。 评审依据：方案各项内容全面详细、阐述条理清晰、对评审内容中的各项要求有详细描述及说明得24分（单项内容分值为4分）。每有一项缺项扣4分,每项内容每有一处缺陷扣1分,单项内容分值扣完为止。 备注：缺陷指存在规范或标准错误、地点区域错误、项目名称错误、仅有框架或标题、出现与本项目无关的内容、不符合采购需求、存在不可能实现的夸大情形、方案内容仅照搬项目需求以上任意一种情况。</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课程设置</w:t>
            </w:r>
          </w:p>
        </w:tc>
        <w:tc>
          <w:tcPr>
            <w:tcW w:type="dxa" w:w="2492"/>
          </w:tcPr>
          <w:p>
            <w:pPr>
              <w:pStyle w:val="null3"/>
            </w:pPr>
            <w:r>
              <w:rPr>
                <w:rFonts w:ascii="仿宋_GB2312" w:hAnsi="仿宋_GB2312" w:cs="仿宋_GB2312" w:eastAsia="仿宋_GB2312"/>
              </w:rPr>
              <w:t>提出针对本项目的总体服务方案，内容包括但不限于：①课程目标、②内容模块、③课时安排。 评审依据：方案各项内容全面详细、阐述条理清晰、对评审内容中的各项要求有详细描述及说明得12分（单项内容分值为4分）。每有一项缺项扣4分,每项内容每有一处缺陷扣1分,单项内容分值扣完为止。 备注：缺陷指存在规范或标准错误、地点区域错误、项目名称错误、仅有框架或标题、出现与本项目无关的内容、不符合采购需求、存在不可能实现的夸大情形、方案内容仅照搬项目需求以上任意一种情况。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提出针对本项目的进度保证措施，内容包括但不限于：①项目进度安排、②组织协调措施、③进度控制与管理。 评审依据：方案各项内容全面详细、阐述条理清晰、对评审内容中的各项要求有详细描述及说明得9分（单项内容分值为3分）。每有一项缺项扣3分,每项内容每有一处缺陷扣1分,单项内容分值扣完为止。 备注：缺陷指存在规范或标准错误、地点区域错误、项目名称错误、仅有框架或标题、出现与本项目无关的内容、不符合采购需求、存在不可能实现的夸大情形、方案内容仅照搬项目需求以上任意一种情况。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提出针对本项目的人员配置方案，内容包括但不限于：①拟投入的服务团队人员结构、②人员分工及职责、③管理人员工作经验、④人员管理制度。 评审依据：方案各项内容全面详细、阐述条理清晰、对评审内容中的各项要求有详细描述及说明得16分（单项内容分值为4分）。每有一项缺项扣4分,每项内容每有一处缺陷扣1分,单项内容分值扣完为止。 备注：缺陷指存在规范或标准错误、地点区域错误、项目名称错误、仅有框架或标题、出现与本项目无关的内容、不符合采购需求、存在不可能实现的夸大情形、方案内容仅照搬项目需求以上任意一种情况。</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提出针对本项目的应急保障措施，内容包括但不限于：①人员安排及响应时间、②突发事件解决能力及措施。 评审依据：方案各项内容全面详细、阐述条理清晰、对评审内容中的各项要求有详细描述及说明得6分（单项内容分值为3分）。每有一项缺项扣3分,每项内容每有一处缺陷扣1分,单项内容分值扣完为止。 备注：缺陷指存在规范或标准错误、地点区域错误、项目名称错误、仅有框架或标题、出现与本项目无关的内容、不符合采购需求、存在不可能实现的夸大情形、方案内容仅照搬项目需求以上任意一种情况。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后续服务方案及承诺</w:t>
            </w:r>
          </w:p>
        </w:tc>
        <w:tc>
          <w:tcPr>
            <w:tcW w:type="dxa" w:w="2492"/>
          </w:tcPr>
          <w:p>
            <w:pPr>
              <w:pStyle w:val="null3"/>
            </w:pPr>
            <w:r>
              <w:rPr>
                <w:rFonts w:ascii="仿宋_GB2312" w:hAnsi="仿宋_GB2312" w:cs="仿宋_GB2312" w:eastAsia="仿宋_GB2312"/>
              </w:rPr>
              <w:t>提出针对本项目的后续服务方案及承诺，内容包括但不限于： ①对于本项目后续实施服务有明确的服务范围、服务时限和服务措施等。 ②对本项目实施及协调过程有明确承诺，并承诺积极按照采购人提出的要求或意见改进工作，确保项目顺利实施。 评审依据：方案各项内容全面详细、阐述条理清晰、对评审内容中的各项要求有详细描述及说明得8分（单项内容分值为4分）。每有一项缺项扣4分,每项内容每有一处缺陷扣1分,单项内容分值扣完为止。 备注：缺陷指存在规范或标准错误、地点区域错误、项目名称错误、仅有框架或标题、出现与本项目无关的内容、不符合采购需求、存在不可能实现的夸大情形、方案内容仅照搬项目需求以上任意一种情况。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供应商提供2023年1月1日至今（以合同签订日期为准）类似项目的业绩合同，每份计1分，满分5分。 评审依据：须提供项目合同或协议的关键页（包括但不限于合同首尾页、项目内容页，签字盖章页，签订日期页）扫描件，加盖公章，否则不计分。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