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版本号：JQ-ZFCG-20261020260720001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2026年富平县齐村镇横坡村柿子深加工项目二期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JQ-ZFCG-202610</w:t>
      </w:r>
      <w:r>
        <w:br/>
      </w:r>
      <w:r>
        <w:br/>
      </w:r>
      <w:r>
        <w:br/>
      </w:r>
    </w:p>
    <w:p>
      <w:pPr>
        <w:pStyle w:val="null3"/>
        <w:jc w:val="center"/>
        <w:outlineLvl w:val="2"/>
      </w:pPr>
      <w:r>
        <w:rPr>
          <w:rFonts w:ascii="仿宋_GB2312" w:hAnsi="仿宋_GB2312" w:cs="仿宋_GB2312" w:eastAsia="仿宋_GB2312"/>
          <w:sz w:val="28"/>
          <w:b/>
        </w:rPr>
        <w:t>富平县齐村镇人民政府（本级）</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富平县齐村镇人民政府（本级）</w:t>
      </w:r>
      <w:r>
        <w:rPr>
          <w:rFonts w:ascii="仿宋_GB2312" w:hAnsi="仿宋_GB2312" w:cs="仿宋_GB2312" w:eastAsia="仿宋_GB2312"/>
        </w:rPr>
        <w:t>委托，拟对</w:t>
      </w:r>
      <w:r>
        <w:rPr>
          <w:rFonts w:ascii="仿宋_GB2312" w:hAnsi="仿宋_GB2312" w:cs="仿宋_GB2312" w:eastAsia="仿宋_GB2312"/>
        </w:rPr>
        <w:t>2026年富平县齐村镇横坡村柿子深加工项目二期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JQ-ZFCG-202610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2026年富平县齐村镇横坡村柿子深加工项目二期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新建包装车间800m²,环氧地坪漆800m²,包装机1台,新建冷库500m³。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采购包1（2026年富平县齐村镇横坡村柿子深加工项目二期）：属于专门面向中小企业采购。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2、法定代表人授权委托书：提供法定代表人授权委托书（法定代表人参会提供法定代表人身份证明书）；</w:t>
      </w:r>
    </w:p>
    <w:p>
      <w:pPr>
        <w:pStyle w:val="null3"/>
      </w:pPr>
      <w:r>
        <w:rPr>
          <w:rFonts w:ascii="仿宋_GB2312" w:hAnsi="仿宋_GB2312" w:cs="仿宋_GB2312" w:eastAsia="仿宋_GB2312"/>
        </w:rPr>
        <w:t>3、资质证书：需具有建设行政主管部门核发的建筑工程施工总承包三级及以上资质；</w:t>
      </w:r>
    </w:p>
    <w:p>
      <w:pPr>
        <w:pStyle w:val="null3"/>
      </w:pPr>
      <w:r>
        <w:rPr>
          <w:rFonts w:ascii="仿宋_GB2312" w:hAnsi="仿宋_GB2312" w:cs="仿宋_GB2312" w:eastAsia="仿宋_GB2312"/>
        </w:rPr>
        <w:t>4、安全生产许可证：须具有建设行政主管部门核发有效的安全生产许可证；</w:t>
      </w:r>
    </w:p>
    <w:p>
      <w:pPr>
        <w:pStyle w:val="null3"/>
      </w:pPr>
      <w:r>
        <w:rPr>
          <w:rFonts w:ascii="仿宋_GB2312" w:hAnsi="仿宋_GB2312" w:cs="仿宋_GB2312" w:eastAsia="仿宋_GB2312"/>
        </w:rPr>
        <w:t>5、项目经理：拟派项目经理须具备建筑工程专业二级及以上（含二级）注册建造师执业资格和有效的安全生产考核合格证书；（可提供证书复印件或有可识别的二维码证书复印件并加盖公章），且无在建工程（须提供无在建工程的相关证明材料或承诺书）；</w:t>
      </w:r>
    </w:p>
    <w:p>
      <w:pPr>
        <w:pStyle w:val="null3"/>
      </w:pPr>
      <w:r>
        <w:rPr>
          <w:rFonts w:ascii="仿宋_GB2312" w:hAnsi="仿宋_GB2312" w:cs="仿宋_GB2312" w:eastAsia="仿宋_GB2312"/>
        </w:rPr>
        <w:t>6、健全的财务会计制度：须提供2024年至今任意一年经审计的财务报告，审计报告应当经过注册会计师行业统一监管平台备案赋码（供应商成立时间至响应文件递交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7、税收的良好记录：须提供依法缴纳税收的良好记录（提供响应文件递交截止时间前六个月内任意一个月份的缴纳凭据复印件并加盖单位公章，依法免税或磋商公告发布前一年内零申报的供应商应提供相关证明文件）</w:t>
      </w:r>
    </w:p>
    <w:p>
      <w:pPr>
        <w:pStyle w:val="null3"/>
      </w:pPr>
      <w:r>
        <w:rPr>
          <w:rFonts w:ascii="仿宋_GB2312" w:hAnsi="仿宋_GB2312" w:cs="仿宋_GB2312" w:eastAsia="仿宋_GB2312"/>
        </w:rPr>
        <w:t>8、社会保障资金的良好记录：须提供依法缴纳社会保障资金的良好记录（提供响应文件递交截止时间前六个月内任意一个月份的缴纳凭据复印件并加盖单位公章）；</w:t>
      </w:r>
    </w:p>
    <w:p>
      <w:pPr>
        <w:pStyle w:val="null3"/>
      </w:pPr>
      <w:r>
        <w:rPr>
          <w:rFonts w:ascii="仿宋_GB2312" w:hAnsi="仿宋_GB2312" w:cs="仿宋_GB2312" w:eastAsia="仿宋_GB2312"/>
        </w:rPr>
        <w:t>9、网站截图：响应文件递交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10、书面声明：提供近三年内在经营活动中无重大违法记录的书面声明；</w:t>
      </w:r>
    </w:p>
    <w:p>
      <w:pPr>
        <w:pStyle w:val="null3"/>
      </w:pPr>
      <w:r>
        <w:rPr>
          <w:rFonts w:ascii="仿宋_GB2312" w:hAnsi="仿宋_GB2312" w:cs="仿宋_GB2312" w:eastAsia="仿宋_GB2312"/>
        </w:rPr>
        <w:t>11、保证金转账凭证或保函复印件：提供磋商保证金银行转账凭证及基本账户信息证明资料复印件或金融机构、担保机构出具的保函复印件，复印件均须加盖公章；</w:t>
      </w:r>
    </w:p>
    <w:p>
      <w:pPr>
        <w:pStyle w:val="null3"/>
      </w:pPr>
      <w:r>
        <w:rPr>
          <w:rFonts w:ascii="仿宋_GB2312" w:hAnsi="仿宋_GB2312" w:cs="仿宋_GB2312" w:eastAsia="仿宋_GB2312"/>
        </w:rPr>
        <w:t>12、书面声明：提供单位负责人为同一人或者存在直接控股、管理关系的不同供应商，不得参加同一合同项下的政府采购活动的书面声明；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13、书面承诺书：提供具有履行本合同所必需的设备和专业技术能力的说明及承诺；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富平县齐村镇人民政府（本级）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富平县齐村镇街道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18792385156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陕西省西安市高陵区东环路土地局家属院2幢6号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19992553727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开户名称：泾清项目管理有限公司富平分公司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银行账号：61050164830800002007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费参照国家计委关于印发《《招标代理服务收费管理暂行办法》的通知（计价格〔2002〕1980号）、《国家发展和改革委员会办公厅关于招标代理服务收费有关问题的通知》（发改办价格〔2003〕857号）文件规定，代理服务费优惠后按中标价格的6‰收取，招标代理费、编制标底费不计入工程造价。由采购人支付。具体金额详见采购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富平县齐村镇人民政府（本级）</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富平县齐村镇人民政府（本级）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富平县齐村镇人民政府（本级）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属发包人所有，承包人不得将此类图纸用于任何与本工程以外的项目，承包人对所有图纸和工程文件负有保密义务，不得任意扩大接触和使用范围，不得泄露给与本工程无关的其他人员。发包人无需支付保密措施费用。因承包人原因造成泄密的，应承担赔偿损失等法律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详见响应文件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联系人：许倩</w:t>
      </w:r>
    </w:p>
    <w:p>
      <w:pPr>
        <w:pStyle w:val="null3"/>
      </w:pPr>
      <w:r>
        <w:rPr>
          <w:rFonts w:ascii="仿宋_GB2312" w:hAnsi="仿宋_GB2312" w:cs="仿宋_GB2312" w:eastAsia="仿宋_GB2312"/>
        </w:rPr>
        <w:t>联系电话：19992553727</w:t>
      </w:r>
    </w:p>
    <w:p>
      <w:pPr>
        <w:pStyle w:val="null3"/>
      </w:pPr>
      <w:r>
        <w:rPr>
          <w:rFonts w:ascii="仿宋_GB2312" w:hAnsi="仿宋_GB2312" w:cs="仿宋_GB2312" w:eastAsia="仿宋_GB2312"/>
        </w:rPr>
        <w:t>地址：陕西省西安市高陵区东环路土地局家属院2幢6号</w:t>
      </w:r>
    </w:p>
    <w:p>
      <w:pPr>
        <w:pStyle w:val="null3"/>
      </w:pPr>
      <w:r>
        <w:rPr>
          <w:rFonts w:ascii="仿宋_GB2312" w:hAnsi="仿宋_GB2312" w:cs="仿宋_GB2312" w:eastAsia="仿宋_GB2312"/>
        </w:rPr>
        <w:t>邮编：710200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1,399,971.60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2026年富平县齐村镇横坡村柿子深加工项目二期</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标的名称：2026年富平县齐村镇横坡村柿子深加工项目二期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项目内容：</w:t>
            </w:r>
            <w:r>
              <w:rPr>
                <w:rFonts w:ascii="仿宋_GB2312" w:hAnsi="仿宋_GB2312" w:cs="仿宋_GB2312" w:eastAsia="仿宋_GB2312"/>
                <w:sz w:val="21"/>
              </w:rPr>
              <w:t>主要建设内容为新建包装车间</w:t>
            </w:r>
            <w:r>
              <w:rPr>
                <w:rFonts w:ascii="仿宋_GB2312" w:hAnsi="仿宋_GB2312" w:cs="仿宋_GB2312" w:eastAsia="仿宋_GB2312"/>
                <w:sz w:val="21"/>
              </w:rPr>
              <w:t>800m²,环氧地坪漆800m²,包装机1台,新建冷库500m³。</w:t>
            </w:r>
            <w:r>
              <w:rPr>
                <w:rFonts w:ascii="仿宋_GB2312" w:hAnsi="仿宋_GB2312" w:cs="仿宋_GB2312" w:eastAsia="仿宋_GB2312"/>
                <w:sz w:val="21"/>
              </w:rPr>
              <w:t>（详见工程量清单）</w:t>
            </w:r>
          </w:p>
          <w:p>
            <w:pPr>
              <w:pStyle w:val="null3"/>
            </w:pPr>
            <w:r>
              <w:rPr>
                <w:rFonts w:ascii="仿宋_GB2312" w:hAnsi="仿宋_GB2312" w:cs="仿宋_GB2312" w:eastAsia="仿宋_GB2312"/>
                <w:sz w:val="21"/>
              </w:rPr>
              <w:t>工</w:t>
            </w:r>
            <w:r>
              <w:rPr>
                <w:rFonts w:ascii="仿宋_GB2312" w:hAnsi="仿宋_GB2312" w:cs="仿宋_GB2312" w:eastAsia="仿宋_GB2312"/>
                <w:sz w:val="21"/>
              </w:rPr>
              <w:t xml:space="preserve">  </w:t>
            </w:r>
            <w:r>
              <w:rPr>
                <w:rFonts w:ascii="仿宋_GB2312" w:hAnsi="仿宋_GB2312" w:cs="仿宋_GB2312" w:eastAsia="仿宋_GB2312"/>
                <w:sz w:val="21"/>
              </w:rPr>
              <w:t>期：</w:t>
            </w:r>
            <w:r>
              <w:rPr>
                <w:rFonts w:ascii="仿宋_GB2312" w:hAnsi="仿宋_GB2312" w:cs="仿宋_GB2312" w:eastAsia="仿宋_GB2312"/>
                <w:sz w:val="21"/>
              </w:rPr>
              <w:t>60</w:t>
            </w:r>
            <w:r>
              <w:rPr>
                <w:rFonts w:ascii="仿宋_GB2312" w:hAnsi="仿宋_GB2312" w:cs="仿宋_GB2312" w:eastAsia="仿宋_GB2312"/>
                <w:sz w:val="21"/>
              </w:rPr>
              <w:t>日历天（具体起止日期以合同签订时间为准）</w:t>
            </w:r>
          </w:p>
          <w:p>
            <w:pPr>
              <w:pStyle w:val="null3"/>
            </w:pPr>
            <w:r>
              <w:rPr>
                <w:rFonts w:ascii="仿宋_GB2312" w:hAnsi="仿宋_GB2312" w:cs="仿宋_GB2312" w:eastAsia="仿宋_GB2312"/>
                <w:sz w:val="21"/>
              </w:rPr>
              <w:t>合同履约地点：甲方指定地点</w:t>
            </w:r>
          </w:p>
          <w:p>
            <w:pPr>
              <w:pStyle w:val="null3"/>
            </w:pPr>
            <w:r>
              <w:rPr>
                <w:rFonts w:ascii="仿宋_GB2312" w:hAnsi="仿宋_GB2312" w:cs="仿宋_GB2312" w:eastAsia="仿宋_GB2312"/>
                <w:sz w:val="21"/>
              </w:rPr>
              <w:t>工程质量：合格</w:t>
            </w:r>
          </w:p>
          <w:p>
            <w:pPr>
              <w:pStyle w:val="null3"/>
              <w:jc w:val="both"/>
            </w:pPr>
            <w:r>
              <w:rPr>
                <w:rFonts w:ascii="仿宋_GB2312" w:hAnsi="仿宋_GB2312" w:cs="仿宋_GB2312" w:eastAsia="仿宋_GB2312"/>
                <w:sz w:val="21"/>
              </w:rPr>
              <w:t>付款方式：合同签订后，支付合同总价</w:t>
            </w:r>
            <w:r>
              <w:rPr>
                <w:rFonts w:ascii="仿宋_GB2312" w:hAnsi="仿宋_GB2312" w:cs="仿宋_GB2312" w:eastAsia="仿宋_GB2312"/>
                <w:sz w:val="21"/>
              </w:rPr>
              <w:t>30%作为预付款；工程竣工验收合格后，付至合同总价款的70%；待工程决算审计报告经双方签字盖章确认后，付至审定金额的97%；剩余3%作为质量保证金，于缺陷责任期满后一次性付清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供应商无需提供纸质版响应文件。成交供应商在领取中标（成交）通知书前将纸质版响应文件打印胶装2份、电子版（U 盘）文件2份提交至采购代理机构处，U盘内除存放全套电子版响应文件外，还需另行存放广联达格式一次、二次报价文件，以便采购人进行留存备案等工作，成交供应商应保持响应文件纸质版内容与电子版内容完全一致，否则将承担一切法律责任。纸质版响应文件一律采用书籍（胶装）方式装订且单面或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供应商成立时间至响应文件递交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提供法定代表人授权委托书（法定代表人参会提供法定代表人身份证明书）；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需具有建设行政主管部门核发的建筑工程施工总承包三级及以上资质；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须具有建设行政主管部门核发有效的安全生产许可证；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及以上（含二级）注册建造师执业资格和有效的安全生产考核合格证书；（可提供证书复印件或有可识别的二维码证书复印件并加盖公章），且无在建工程（须提供无在建工程的相关证明材料或承诺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供应商成立时间至响应文件递交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税收的良好记录</w:t>
            </w:r>
          </w:p>
        </w:tc>
        <w:tc>
          <w:tcPr>
            <w:tcW w:type="dxa" w:w="3322"/>
          </w:tcPr>
          <w:p>
            <w:pPr>
              <w:pStyle w:val="null3"/>
            </w:pPr>
            <w:r>
              <w:rPr>
                <w:rFonts w:ascii="仿宋_GB2312" w:hAnsi="仿宋_GB2312" w:cs="仿宋_GB2312" w:eastAsia="仿宋_GB2312"/>
              </w:rPr>
              <w:t>须提供依法缴纳税收的良好记录（提供响应文件递交截止时间前六个月内任意一个月份的缴纳凭据复印件并加盖单位公章，依法免税或磋商公告发布前一年内零申报的供应商应提供相关证明文件）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社会保障资金的良好记录</w:t>
            </w:r>
          </w:p>
        </w:tc>
        <w:tc>
          <w:tcPr>
            <w:tcW w:type="dxa" w:w="3322"/>
          </w:tcPr>
          <w:p>
            <w:pPr>
              <w:pStyle w:val="null3"/>
            </w:pPr>
            <w:r>
              <w:rPr>
                <w:rFonts w:ascii="仿宋_GB2312" w:hAnsi="仿宋_GB2312" w:cs="仿宋_GB2312" w:eastAsia="仿宋_GB2312"/>
              </w:rPr>
              <w:t>须提供依法缴纳社会保障资金的良好记录（提供响应文件递交截止时间前六个月内任意一个月份的缴纳凭据复印件并加盖单位公章）；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响应文件递交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保证金转账凭证或保函复印件</w:t>
            </w:r>
          </w:p>
        </w:tc>
        <w:tc>
          <w:tcPr>
            <w:tcW w:type="dxa" w:w="3322"/>
          </w:tcPr>
          <w:p>
            <w:pPr>
              <w:pStyle w:val="null3"/>
            </w:pPr>
            <w:r>
              <w:rPr>
                <w:rFonts w:ascii="仿宋_GB2312" w:hAnsi="仿宋_GB2312" w:cs="仿宋_GB2312" w:eastAsia="仿宋_GB2312"/>
              </w:rPr>
              <w:t>提供磋商保证金银行转账凭证及基本账户信息证明资料复印件或金融机构、担保机构出具的保函复印件，复印件均须加盖公章；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书面承诺书</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与提供的证明材料一致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内容无重大缺漏项，符合磋商文件要求，且不高于本项目最高限价。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其他应说明的事项.docx 残疾人福利性单位声明函 报价函 标的清单 供应商类似项目业绩一览表 资格证明材料.docx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①质量管理目标②管理机构职责分工③质量管理制度④质量保证措施。方案全面 、有效的计8 分 ，方案不完善或有缺陷（不完善或有缺陷是指：方案粗略 、逻辑混乱 、描述过于简单 、与项目特点不匹配 、凭空编造、逻辑漏洞、出现常识性错误 、套用其他项目方案、存在不可能实现的夸大情形 、存在不适用项目实际情况的情形）每项扣1分 ，方案缺漏项或只有标题没有实质性内容的每项扣2分，扣完为止。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①安全管理目标②安全管理机构职责分工③安全管理制度④安全保证措施 。方案全面 、有效的计8 分 ，方案不完善或有缺陷（不完善或有缺陷是指：方案粗略 、逻辑混乱 、描述过于简单 、 与项目特点不匹配 、 凭空编造 、逻辑漏洞 、 出现常识性错误 、 套用其他项目方案 、存在不可能实现的夸大情形 、 存在不适用项 目实际情况的情形）每项扣1 分 ，方案缺漏项或只有标题没有实质性内容的每项扣 2分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①环境保护管理目标②环境保护管理机构 职责分工③环境保护管理制度④环境保护保证措 施 。方案合理完整的计 8 分 ，方案不完善或有缺陷 （不完善或有缺陷是指： 方案粗略 、逻辑混乱 、描述过于简单 、与项 目特点不匹配 、 凭空编造 、逻辑 漏洞 、 出现常识性错误 、套用其他项目方案 、存在不可能实现的夸大情形 、存在不适用项目实际情况 的情形）每项扣1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①总工期及节点工期安排②施工进度计划安排③进度保证措施 ④资源保障与优化配置。方案合理完整的计 8分 ，方案不完善或有缺陷（不完善或有缺陷是指：方案粗略、逻辑混乱、描述过于简单 、与项目特点不匹配、 凭空编造 、逻辑漏洞 、 出现常识性错误 、套用其他项目方案 、存在不可能实现的夸大情形 、存在不适 用项目实际情况的情形） 每项扣 1 分 ，方案缺漏项或只有标题没有实质性内容的每项扣 2 分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①对项目总体概况表述②施工部署及措施③对项 目主要及关键方案的表述④施工平面布置 。方案合理完善的计12分 ，方案不完善或有缺陷（不完善 或有缺陷是指： 方案粗略 、逻辑混乱 、描述过于简 单 、与项目特点不匹配 、凭空编造 、逻辑漏洞 、出现常识性错误 、套用其他项目方案 、存在不可能实现的夸大情形 、存在不适用项目实际情况的情形） 每项扣1 分 ，方案缺漏项或只有标题没有实质性内容的每项扣3分 ， 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 目制定资源配备计划包含： ①劳动力计划②主要材料供应计划③施工机械设备配备计划。方案合理完整的计 6 分 ， 方案不完善或有缺陷 （不完善或有缺陷是指：方案粗略 、逻辑混乱 、描 述过于简单 、与项目特点不匹配 、 凭空编造 、逻辑 漏洞 、 出现常识性错误 、套用其他项目方案 、存在不可能实现的夸大情形 、存在不适用项目实际情况 的情形） 每项扣 1 分 ，方案缺漏项或只有标题没有实质性内容的每项扣 2 分 ， 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①施工过程中的相关承诺②投入材料质量承诺③质量保修期服务承诺④服务响应时间 。服务承诺合理 、可行的计 4 分 ，方案不完善或有缺陷（不完善或有缺陷是 指 ：方案粗略 、逻辑混乱 、描述过于简单 、与项 目 特点不匹配 、 凭空编造 、逻辑漏洞 、 出现常识性错误 、套用其他项目方案 、存在不可能实现的夸大情 形 、存在不适用项目实际情况的情形） 每项扣 0.5 分 ，方案缺漏项或只有标题没有实质性内容的每项扣 1 分 ， 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近三年完成的类似业绩一项得2分，最多得6分（提供2023年7月1日至今类似工程；投标文件中须附类似工程业绩中标通知书或合同协议书或竣工验收证明材料复印件或扫描件，并加盖公章）。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具有五大员（质量员、安全员、施工员、材料员、资料员）上岗证书（安全员须含安全生产考核合格证）的每证得1分；有相应职称证（初级及以上均可）的每证加1分，共计10分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①评标基准价的确定：经对各供应商资格审查合格后，将有效投标（响应）价格最低的作为评标基准价，此项得满分；投标（响应）报价大于最高限价的，为无效报价，应作为无效标处理； ②根据下列公式计算出各供应商的投标（响应）报价与评标基准价的差异率。 其他供应商报价得分=(评标基准价／投标（响应）报价)×30%×100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