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A6498">
      <w:pPr>
        <w:widowControl/>
        <w:spacing w:line="360" w:lineRule="auto"/>
        <w:jc w:val="left"/>
        <w:rPr>
          <w:rFonts w:ascii="Calibri" w:hAnsi="Calibri" w:eastAsia="宋体" w:cs="Times New Roman"/>
          <w:color w:val="auto"/>
          <w:kern w:val="0"/>
          <w:sz w:val="20"/>
          <w:szCs w:val="20"/>
          <w:lang w:eastAsia="zh-Hans"/>
        </w:rPr>
      </w:pPr>
    </w:p>
    <w:p w14:paraId="4A121B45">
      <w:pPr>
        <w:widowControl/>
        <w:spacing w:line="360" w:lineRule="auto"/>
        <w:jc w:val="left"/>
        <w:rPr>
          <w:rFonts w:ascii="宋体" w:hAnsi="宋体" w:eastAsia="宋体" w:cs="Times New Roman"/>
          <w:b/>
          <w:bCs/>
          <w:color w:val="auto"/>
          <w:kern w:val="0"/>
          <w:sz w:val="24"/>
          <w:szCs w:val="24"/>
          <w:lang w:eastAsia="zh-Hans"/>
        </w:rPr>
      </w:pPr>
      <w:r>
        <w:rPr>
          <w:rFonts w:ascii="宋体" w:hAnsi="宋体" w:eastAsia="宋体" w:cs="Times New Roman"/>
          <w:b/>
          <w:bCs/>
          <w:color w:val="auto"/>
          <w:kern w:val="0"/>
          <w:sz w:val="24"/>
          <w:szCs w:val="24"/>
          <w:lang w:eastAsia="zh-Hans"/>
        </w:rPr>
        <w:t>特别说明：以下内容只作为合同基本条款，在签订具体合同时，请根据项目实际情况再签订技术协议作为合同的附件。</w:t>
      </w:r>
    </w:p>
    <w:p w14:paraId="0FC25AB1">
      <w:pPr>
        <w:widowControl/>
        <w:spacing w:line="360" w:lineRule="auto"/>
        <w:jc w:val="left"/>
        <w:rPr>
          <w:rFonts w:hint="eastAsia" w:ascii="宋体" w:hAnsi="宋体" w:eastAsia="宋体" w:cs="Times New Roman"/>
          <w:b/>
          <w:bCs/>
          <w:color w:val="auto"/>
          <w:kern w:val="0"/>
          <w:sz w:val="24"/>
          <w:szCs w:val="24"/>
          <w:lang w:eastAsia="zh-Hans"/>
        </w:rPr>
      </w:pPr>
    </w:p>
    <w:p w14:paraId="33AD103E">
      <w:pPr>
        <w:widowControl/>
        <w:spacing w:line="360" w:lineRule="auto"/>
        <w:ind w:firstLine="480" w:firstLineChars="200"/>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根据《中华人民共和国政府采购法》、《中华人民共和国民法典》及有关法律规定，遵循平等、自愿、公平和诚实信用的原则，</w:t>
      </w:r>
      <w:r>
        <w:rPr>
          <w:rFonts w:hint="eastAsia" w:ascii="宋体" w:hAnsi="宋体" w:eastAsia="宋体" w:cs="Times New Roman"/>
          <w:color w:val="auto"/>
          <w:kern w:val="0"/>
          <w:sz w:val="24"/>
          <w:szCs w:val="24"/>
          <w:lang w:eastAsia="zh-CN"/>
        </w:rPr>
        <w:t>西安理工大学</w:t>
      </w:r>
      <w:r>
        <w:rPr>
          <w:rFonts w:ascii="宋体" w:hAnsi="宋体" w:eastAsia="宋体" w:cs="Times New Roman"/>
          <w:color w:val="auto"/>
          <w:kern w:val="0"/>
          <w:sz w:val="24"/>
          <w:szCs w:val="24"/>
          <w:lang w:eastAsia="zh-Hans"/>
        </w:rPr>
        <w:t>（甲方）与</w:t>
      </w:r>
      <w:r>
        <w:rPr>
          <w:rFonts w:hint="eastAsia" w:ascii="宋体" w:hAnsi="宋体" w:eastAsia="宋体" w:cs="Times New Roman"/>
          <w:color w:val="auto"/>
          <w:kern w:val="0"/>
          <w:sz w:val="24"/>
          <w:szCs w:val="24"/>
          <w:u w:val="single"/>
          <w:lang w:val="en-US" w:eastAsia="zh-CN"/>
        </w:rPr>
        <w:t xml:space="preserve">                        </w:t>
      </w:r>
      <w:r>
        <w:rPr>
          <w:rFonts w:ascii="宋体" w:hAnsi="宋体" w:eastAsia="宋体" w:cs="Times New Roman"/>
          <w:color w:val="auto"/>
          <w:kern w:val="0"/>
          <w:sz w:val="24"/>
          <w:szCs w:val="24"/>
          <w:lang w:eastAsia="zh-Hans"/>
        </w:rPr>
        <w:t>公司（乙方）就</w:t>
      </w:r>
      <w:r>
        <w:rPr>
          <w:rFonts w:hint="eastAsia" w:ascii="宋体" w:hAnsi="宋体" w:eastAsia="宋体" w:cs="Times New Roman"/>
          <w:color w:val="auto"/>
          <w:kern w:val="0"/>
          <w:sz w:val="24"/>
          <w:szCs w:val="24"/>
          <w:u w:val="single"/>
          <w:lang w:val="en-US" w:eastAsia="zh-CN"/>
        </w:rPr>
        <w:t xml:space="preserve">  西安理工大学教育网出口带宽  </w:t>
      </w:r>
      <w:r>
        <w:rPr>
          <w:rFonts w:hint="eastAsia" w:ascii="宋体" w:hAnsi="宋体" w:eastAsia="宋体" w:cs="Times New Roman"/>
          <w:color w:val="auto"/>
          <w:kern w:val="0"/>
          <w:sz w:val="24"/>
          <w:szCs w:val="24"/>
          <w:lang w:eastAsia="zh-Hans"/>
        </w:rPr>
        <w:t>项目</w:t>
      </w:r>
      <w:r>
        <w:rPr>
          <w:rFonts w:ascii="宋体" w:hAnsi="宋体" w:eastAsia="宋体" w:cs="Times New Roman"/>
          <w:color w:val="auto"/>
          <w:kern w:val="0"/>
          <w:sz w:val="24"/>
          <w:szCs w:val="24"/>
          <w:lang w:eastAsia="zh-Hans"/>
        </w:rPr>
        <w:t>（</w:t>
      </w:r>
      <w:r>
        <w:rPr>
          <w:rFonts w:hint="eastAsia" w:ascii="宋体" w:hAnsi="宋体" w:eastAsia="宋体" w:cs="Times New Roman"/>
          <w:color w:val="auto"/>
          <w:kern w:val="0"/>
          <w:sz w:val="24"/>
          <w:szCs w:val="24"/>
          <w:lang w:val="en-US" w:eastAsia="zh-CN"/>
        </w:rPr>
        <w:t>采购</w:t>
      </w:r>
      <w:r>
        <w:rPr>
          <w:rFonts w:ascii="宋体" w:hAnsi="宋体" w:eastAsia="宋体" w:cs="Times New Roman"/>
          <w:color w:val="auto"/>
          <w:kern w:val="0"/>
          <w:sz w:val="24"/>
          <w:szCs w:val="24"/>
          <w:lang w:eastAsia="zh-Hans"/>
        </w:rPr>
        <w:t>编号：</w:t>
      </w:r>
      <w:r>
        <w:rPr>
          <w:rFonts w:hint="eastAsia" w:ascii="宋体" w:hAnsi="宋体" w:eastAsia="宋体" w:cs="Times New Roman"/>
          <w:color w:val="auto"/>
          <w:kern w:val="0"/>
          <w:sz w:val="24"/>
          <w:szCs w:val="24"/>
          <w:u w:val="single"/>
          <w:lang w:val="en-US" w:eastAsia="zh-CN"/>
        </w:rPr>
        <w:t xml:space="preserve"> RH采字【20260615】号 </w:t>
      </w:r>
      <w:r>
        <w:rPr>
          <w:rFonts w:ascii="宋体" w:hAnsi="宋体" w:eastAsia="宋体" w:cs="Times New Roman"/>
          <w:color w:val="auto"/>
          <w:kern w:val="0"/>
          <w:sz w:val="24"/>
          <w:szCs w:val="24"/>
          <w:lang w:eastAsia="zh-Hans"/>
        </w:rPr>
        <w:t>）经双方协商达成如下合同条款：</w:t>
      </w:r>
    </w:p>
    <w:p w14:paraId="1154DCC3">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一、服务名称</w:t>
      </w:r>
      <w:bookmarkStart w:id="0" w:name="_GoBack"/>
      <w:bookmarkEnd w:id="0"/>
    </w:p>
    <w:p w14:paraId="7FA5EE31">
      <w:pPr>
        <w:widowControl/>
        <w:spacing w:line="360" w:lineRule="auto"/>
        <w:ind w:firstLine="405"/>
        <w:jc w:val="left"/>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u w:val="single"/>
          <w:lang w:val="en-US" w:eastAsia="zh-CN"/>
        </w:rPr>
        <w:t xml:space="preserve">西安理工大学教育网出口带宽 </w:t>
      </w:r>
      <w:r>
        <w:rPr>
          <w:rFonts w:ascii="宋体" w:hAnsi="宋体" w:eastAsia="宋体" w:cs="Times New Roman"/>
          <w:color w:val="auto"/>
          <w:kern w:val="0"/>
          <w:sz w:val="24"/>
          <w:szCs w:val="24"/>
          <w:lang w:eastAsia="zh-Hans"/>
        </w:rPr>
        <w:t>项目</w:t>
      </w:r>
    </w:p>
    <w:p w14:paraId="1BAFC756">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二、服务内容、要求及标准</w:t>
      </w:r>
    </w:p>
    <w:p w14:paraId="417EF9B2">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 xml:space="preserve">   </w:t>
      </w:r>
      <w:r>
        <w:rPr>
          <w:rFonts w:hint="eastAsia" w:ascii="宋体" w:hAnsi="宋体" w:eastAsia="宋体" w:cs="Times New Roman"/>
          <w:color w:val="auto"/>
          <w:kern w:val="0"/>
          <w:sz w:val="24"/>
          <w:szCs w:val="24"/>
          <w:lang w:val="en-US" w:eastAsia="zh-CN"/>
        </w:rPr>
        <w:t xml:space="preserve"> </w:t>
      </w:r>
      <w:r>
        <w:rPr>
          <w:rFonts w:hint="eastAsia" w:ascii="宋体" w:hAnsi="宋体" w:eastAsia="宋体" w:cs="Times New Roman"/>
          <w:color w:val="auto"/>
          <w:kern w:val="0"/>
          <w:sz w:val="24"/>
          <w:szCs w:val="24"/>
          <w:u w:val="single"/>
          <w:lang w:val="en-US" w:eastAsia="zh-CN"/>
        </w:rPr>
        <w:t xml:space="preserve">                                  </w:t>
      </w:r>
      <w:r>
        <w:rPr>
          <w:rFonts w:ascii="宋体" w:hAnsi="宋体" w:eastAsia="宋体" w:cs="Times New Roman"/>
          <w:color w:val="auto"/>
          <w:kern w:val="0"/>
          <w:sz w:val="24"/>
          <w:szCs w:val="24"/>
          <w:lang w:eastAsia="zh-Hans"/>
        </w:rPr>
        <w:t xml:space="preserve"> </w:t>
      </w:r>
    </w:p>
    <w:p w14:paraId="3F3DF822">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三、服务费用及支付方式</w:t>
      </w:r>
    </w:p>
    <w:p w14:paraId="4764FB5B">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（一）服务费用 ：大写金额</w:t>
      </w:r>
      <w:r>
        <w:rPr>
          <w:rFonts w:hint="eastAsia" w:ascii="宋体" w:hAnsi="宋体" w:eastAsia="宋体" w:cs="Times New Roman"/>
          <w:color w:val="auto"/>
          <w:kern w:val="0"/>
          <w:sz w:val="24"/>
          <w:szCs w:val="24"/>
          <w:u w:val="single"/>
          <w:lang w:val="en-US" w:eastAsia="zh-CN"/>
        </w:rPr>
        <w:t xml:space="preserve">              </w:t>
      </w:r>
      <w:r>
        <w:rPr>
          <w:rFonts w:ascii="宋体" w:hAnsi="宋体" w:eastAsia="宋体" w:cs="Times New Roman"/>
          <w:color w:val="auto"/>
          <w:kern w:val="0"/>
          <w:sz w:val="24"/>
          <w:szCs w:val="24"/>
          <w:lang w:eastAsia="zh-Hans"/>
        </w:rPr>
        <w:t xml:space="preserve">；小写金额 </w:t>
      </w:r>
      <w:r>
        <w:rPr>
          <w:rFonts w:hint="eastAsia" w:ascii="宋体" w:hAnsi="宋体" w:eastAsia="宋体" w:cs="Times New Roman"/>
          <w:color w:val="auto"/>
          <w:kern w:val="0"/>
          <w:sz w:val="24"/>
          <w:szCs w:val="24"/>
          <w:u w:val="single"/>
          <w:lang w:val="en-US" w:eastAsia="zh-CN"/>
        </w:rPr>
        <w:t xml:space="preserve">             </w:t>
      </w:r>
      <w:r>
        <w:rPr>
          <w:rFonts w:ascii="宋体" w:hAnsi="宋体" w:eastAsia="宋体" w:cs="Times New Roman"/>
          <w:color w:val="auto"/>
          <w:kern w:val="0"/>
          <w:sz w:val="24"/>
          <w:szCs w:val="24"/>
          <w:lang w:eastAsia="zh-Hans"/>
        </w:rPr>
        <w:t xml:space="preserve"> 。</w:t>
      </w:r>
    </w:p>
    <w:p w14:paraId="41C8D3FF">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（二）支付方式和要求</w:t>
      </w:r>
      <w:r>
        <w:rPr>
          <w:rFonts w:hint="eastAsia" w:ascii="宋体" w:hAnsi="宋体" w:eastAsia="宋体" w:cs="Times New Roman"/>
          <w:color w:val="auto"/>
          <w:kern w:val="0"/>
          <w:sz w:val="24"/>
          <w:szCs w:val="24"/>
          <w:lang w:eastAsia="zh-CN"/>
        </w:rPr>
        <w:t>：</w:t>
      </w:r>
      <w:r>
        <w:rPr>
          <w:rFonts w:hint="eastAsia" w:ascii="宋体" w:hAnsi="宋体" w:eastAsia="宋体" w:cs="Times New Roman"/>
          <w:color w:val="auto"/>
          <w:kern w:val="0"/>
          <w:sz w:val="24"/>
          <w:szCs w:val="24"/>
          <w:u w:val="single"/>
          <w:lang w:val="en-US" w:eastAsia="zh-CN"/>
        </w:rPr>
        <w:t>合同生效后，乙方为甲方开通使用权限，甲方使用1个月后经甲乙双方共同验收，验收合格，</w:t>
      </w:r>
      <w:r>
        <w:rPr>
          <w:rFonts w:hint="eastAsia" w:ascii="宋体" w:hAnsi="宋体" w:eastAsia="宋体" w:cs="Times New Roman"/>
          <w:color w:val="auto"/>
          <w:kern w:val="0"/>
          <w:sz w:val="24"/>
          <w:szCs w:val="24"/>
          <w:u w:val="single"/>
          <w:lang w:val="en-US" w:eastAsia="zh-CN"/>
        </w:rPr>
        <w:t>达到付款条件起 30 日内，支付合同总金额的 100.00%。</w:t>
      </w:r>
    </w:p>
    <w:p w14:paraId="5079AE69">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四、服务期限</w:t>
      </w:r>
    </w:p>
    <w:p w14:paraId="257F3C28">
      <w:pPr>
        <w:widowControl/>
        <w:spacing w:line="360" w:lineRule="auto"/>
        <w:ind w:firstLine="480" w:firstLineChars="200"/>
        <w:jc w:val="left"/>
        <w:rPr>
          <w:rFonts w:ascii="宋体" w:hAnsi="宋体" w:eastAsia="宋体" w:cs="Times New Roman"/>
          <w:color w:val="auto"/>
          <w:kern w:val="0"/>
          <w:sz w:val="24"/>
          <w:szCs w:val="24"/>
          <w:lang w:eastAsia="zh-Hans"/>
        </w:rPr>
      </w:pPr>
      <w:r>
        <w:rPr>
          <w:rFonts w:hint="eastAsia" w:ascii="宋体" w:hAnsi="宋体" w:eastAsia="宋体" w:cs="Times New Roman"/>
          <w:color w:val="auto"/>
          <w:kern w:val="0"/>
          <w:sz w:val="24"/>
          <w:szCs w:val="24"/>
          <w:u w:val="single"/>
          <w:lang w:val="en-US" w:eastAsia="zh-CN"/>
        </w:rPr>
        <w:t>1年（12个月）。合同期满后，采购人将对成交供应商的服务质量、工作内容等进行考核（以《西安理工大学教育网出口带宽服务考核表》为准），考核合格，合同价款不变的情况下，续签下一年度合同，最多续签两年，总服务期不超过3年。</w:t>
      </w:r>
    </w:p>
    <w:p w14:paraId="0898A0E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五、知识产权</w:t>
      </w:r>
    </w:p>
    <w:p w14:paraId="62613872">
      <w:pPr>
        <w:widowControl/>
        <w:spacing w:line="360" w:lineRule="auto"/>
        <w:ind w:firstLine="480" w:firstLineChars="200"/>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乙方应保证所提供的服务或其任何一部分均不会侵犯任何第三方的专利权、商标权或著作权。</w:t>
      </w:r>
    </w:p>
    <w:p w14:paraId="46BF63A7">
      <w:pPr>
        <w:widowControl/>
        <w:spacing w:line="360" w:lineRule="auto"/>
        <w:ind w:firstLine="480" w:firstLineChars="200"/>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乙方保证所提供的服务的所有权完全属于乙方且无任何抵押、查封等产权瑕疵。如有产权瑕疵的，视为乙方违约。乙方应负担由此而产生的一切损失。</w:t>
      </w:r>
    </w:p>
    <w:p w14:paraId="375EC94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六、验收要求</w:t>
      </w:r>
    </w:p>
    <w:p w14:paraId="4A5C4078">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（一）质量标准</w:t>
      </w:r>
    </w:p>
    <w:p w14:paraId="502224B8">
      <w:pPr>
        <w:widowControl/>
        <w:spacing w:line="360" w:lineRule="auto"/>
        <w:ind w:firstLine="480" w:firstLineChars="200"/>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乙方保证提供的服务质量应符合中华人民共和国相关标准及相应的技术规范、本次采购相关文件中的全部相关要求及乙方相关服务标准及相应的技术规范中之较高者。</w:t>
      </w:r>
    </w:p>
    <w:p w14:paraId="48E77A9D">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（二）验收组织</w:t>
      </w:r>
    </w:p>
    <w:p w14:paraId="7357B5B8">
      <w:pPr>
        <w:widowControl/>
        <w:spacing w:line="360" w:lineRule="auto"/>
        <w:ind w:firstLine="480" w:firstLineChars="200"/>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项目所有服务和产品无故障运行至少30天后，中标服务商提出书面验收申请，由学校以合同、招投标文件、澄清及国家相应的标准、规范等为依据，负责组织验收。</w:t>
      </w:r>
    </w:p>
    <w:p w14:paraId="06E34823">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七、甲方的权利和义务</w:t>
      </w:r>
    </w:p>
    <w:p w14:paraId="58531698">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（一）甲方有权对合同规定范围内乙方的服务行为进行监督和检查，拥有监管权。有权定期核对乙方提供服务所配备的人员数量。对甲方认为不合理的部分有权下达整改通知书，并要求乙方限期整改。</w:t>
      </w:r>
    </w:p>
    <w:p w14:paraId="0696A1AF">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（二）甲方有权依据双方签订的合同约定对乙方提供的服务进行定期考评。当考评结果未达到标准时，有权依据约定的数额延迟付款或扣除履约保证金。</w:t>
      </w:r>
    </w:p>
    <w:p w14:paraId="5BC56F98">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（三）负责检查监督乙方管理工作的实施及制度的执行情况。</w:t>
      </w:r>
    </w:p>
    <w:p w14:paraId="4056FCD3">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（四）根据本合同规定，按时向乙方支付应付服务费用。</w:t>
      </w:r>
    </w:p>
    <w:p w14:paraId="642E05FD">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（五）国家法律、法规所规定由甲方承担的其它责任。</w:t>
      </w:r>
    </w:p>
    <w:p w14:paraId="54A8A4DC">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八、乙方的权利和义务</w:t>
      </w:r>
    </w:p>
    <w:p w14:paraId="64C95F9D">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（一）对本合同规定的委托服务范围内的项目享有管理权及服务义务。</w:t>
      </w:r>
    </w:p>
    <w:p w14:paraId="1C66061E">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（二）根据本合同的规定向甲方收取相关服务费用，并有权在本项目管理范围内管理及合理使用。</w:t>
      </w:r>
    </w:p>
    <w:p w14:paraId="11057EF3">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（三）及时向甲方通告本项目服务范围内有关服务的重大事项，及时配合处理投诉。</w:t>
      </w:r>
    </w:p>
    <w:p w14:paraId="1AE3DFC9">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（四）接受项目行业管理部门及政府有关部门的指导，接受甲方的监督。</w:t>
      </w:r>
    </w:p>
    <w:p w14:paraId="330CDBA4">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（五）国家法律、法规所规定由乙方承担的其它责任。</w:t>
      </w:r>
    </w:p>
    <w:p w14:paraId="0F52F03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九、售后服务</w:t>
      </w:r>
    </w:p>
    <w:p w14:paraId="7BD5DB9F">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（一）乙方对合同服务的质量保证期为验收合格后之日起</w:t>
      </w:r>
      <w:r>
        <w:rPr>
          <w:rFonts w:hint="eastAsia" w:ascii="宋体" w:hAnsi="宋体" w:eastAsia="宋体" w:cs="Times New Roman"/>
          <w:color w:val="auto"/>
          <w:kern w:val="0"/>
          <w:sz w:val="24"/>
          <w:szCs w:val="24"/>
          <w:u w:val="single"/>
          <w:lang w:val="en-US" w:eastAsia="zh-CN"/>
        </w:rPr>
        <w:t xml:space="preserve">           </w:t>
      </w:r>
      <w:r>
        <w:rPr>
          <w:rFonts w:ascii="宋体" w:hAnsi="宋体" w:eastAsia="宋体" w:cs="Times New Roman"/>
          <w:color w:val="auto"/>
          <w:kern w:val="0"/>
          <w:sz w:val="24"/>
          <w:szCs w:val="24"/>
          <w:lang w:eastAsia="zh-Hans"/>
        </w:rPr>
        <w:t>个月。</w:t>
      </w:r>
    </w:p>
    <w:p w14:paraId="56574FB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根据甲方按检验标准自己检验或委托有资质的相关质检机构检验的检验结果，发现服务的质量或性能与政府采购合同不符；或者在质量保证期内，证实服务存在缺陷（包括潜在的缺陷等），甲方应尽快通知乙方。乙方在收到通知后7天内免费维修或更换有缺陷的部分。</w:t>
      </w:r>
    </w:p>
    <w:p w14:paraId="6E99B0C9">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（三）如乙方在收到通知后，没有弥补缺陷，甲方可采取必要的补救措施，但由此引发的风险和费用将由乙方承担。</w:t>
      </w:r>
    </w:p>
    <w:p w14:paraId="19200DA7">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十、违约责任</w:t>
      </w:r>
    </w:p>
    <w:p w14:paraId="7DB8723E">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（一）合同生效后，甲乙双方应按合同规定认真履约。合同履约责任只涉及合同甲乙双方，不考虑第三方因素。</w:t>
      </w:r>
    </w:p>
    <w:p w14:paraId="2803A5AB">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EF74F63">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（三）如乙方提供的服务构成第三方知识产权侵权，由乙方承担全部责任。</w:t>
      </w:r>
    </w:p>
    <w:p w14:paraId="60AD60A1">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四）合同履约过程中，甲方应积极配合乙方进行验收以及验收前的外围配套等工作。否则，因此导致不能按期验收时，不能追究乙方责任；正常情况下应在验收合格后15天内按规定向乙方付款，最长时间不能超过30天。否则，每超过一周应向乙方支付合同应付款</w:t>
      </w:r>
      <w:r>
        <w:rPr>
          <w:rFonts w:ascii="宋体" w:hAnsi="宋体" w:eastAsia="宋体" w:cs="Times New Roman"/>
          <w:color w:val="auto"/>
          <w:kern w:val="0"/>
          <w:sz w:val="24"/>
          <w:szCs w:val="24"/>
          <w:u w:val="single"/>
          <w:lang w:eastAsia="zh-Hans"/>
        </w:rPr>
        <w:t>3‰</w:t>
      </w:r>
      <w:r>
        <w:rPr>
          <w:rFonts w:hint="eastAsia" w:ascii="宋体" w:hAnsi="宋体" w:eastAsia="宋体" w:cs="Times New Roman"/>
          <w:color w:val="auto"/>
          <w:kern w:val="0"/>
          <w:sz w:val="24"/>
          <w:szCs w:val="24"/>
          <w:u w:val="single"/>
          <w:lang w:val="en-US" w:eastAsia="zh-CN"/>
        </w:rPr>
        <w:t xml:space="preserve">  </w:t>
      </w:r>
      <w:r>
        <w:rPr>
          <w:rFonts w:ascii="宋体" w:hAnsi="宋体" w:eastAsia="宋体" w:cs="Times New Roman"/>
          <w:color w:val="auto"/>
          <w:kern w:val="0"/>
          <w:sz w:val="24"/>
          <w:szCs w:val="24"/>
          <w:lang w:eastAsia="zh-Hans"/>
        </w:rPr>
        <w:t>的滞纳金。</w:t>
      </w:r>
    </w:p>
    <w:p w14:paraId="7660EE41">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（五）除不可抗力原因外，如遇下列情况之一者，乙方</w:t>
      </w:r>
      <w:r>
        <w:rPr>
          <w:rFonts w:hint="eastAsia" w:ascii="宋体" w:hAnsi="宋体" w:eastAsia="宋体" w:cs="Times New Roman"/>
          <w:color w:val="auto"/>
          <w:kern w:val="0"/>
          <w:sz w:val="24"/>
          <w:szCs w:val="24"/>
          <w:lang w:val="en-US" w:eastAsia="zh-CN"/>
        </w:rPr>
        <w:t>应按合同应付款</w:t>
      </w:r>
      <w:r>
        <w:rPr>
          <w:rFonts w:hint="eastAsia" w:ascii="宋体" w:hAnsi="宋体" w:eastAsia="宋体" w:cs="Times New Roman"/>
          <w:color w:val="auto"/>
          <w:kern w:val="0"/>
          <w:sz w:val="24"/>
          <w:szCs w:val="24"/>
          <w:u w:val="single"/>
          <w:lang w:val="en-US" w:eastAsia="zh-CN"/>
        </w:rPr>
        <w:t xml:space="preserve">    ‰ </w:t>
      </w:r>
      <w:r>
        <w:rPr>
          <w:rFonts w:ascii="宋体" w:hAnsi="宋体" w:eastAsia="宋体" w:cs="Times New Roman"/>
          <w:color w:val="auto"/>
          <w:kern w:val="0"/>
          <w:sz w:val="24"/>
          <w:szCs w:val="24"/>
          <w:lang w:eastAsia="zh-Hans"/>
        </w:rPr>
        <w:t>对甲方</w:t>
      </w:r>
      <w:r>
        <w:rPr>
          <w:rFonts w:hint="eastAsia" w:ascii="宋体" w:hAnsi="宋体" w:eastAsia="宋体" w:cs="Times New Roman"/>
          <w:color w:val="auto"/>
          <w:kern w:val="0"/>
          <w:sz w:val="24"/>
          <w:szCs w:val="24"/>
          <w:lang w:val="en-US" w:eastAsia="zh-CN"/>
        </w:rPr>
        <w:t>进行</w:t>
      </w:r>
      <w:r>
        <w:rPr>
          <w:rFonts w:ascii="宋体" w:hAnsi="宋体" w:eastAsia="宋体" w:cs="Times New Roman"/>
          <w:color w:val="auto"/>
          <w:kern w:val="0"/>
          <w:sz w:val="24"/>
          <w:szCs w:val="24"/>
          <w:lang w:eastAsia="zh-Hans"/>
        </w:rPr>
        <w:t>赔偿：（1）合同签订后不能按合同时限要求提供服务；（2）所提供服务与合同不符；（3）不能按合同履约；（4）项目验收不合格。</w:t>
      </w:r>
    </w:p>
    <w:p w14:paraId="7FA137C9">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十</w:t>
      </w:r>
      <w:r>
        <w:rPr>
          <w:rFonts w:ascii="宋体" w:hAnsi="宋体" w:eastAsia="宋体" w:cs="Times New Roman"/>
          <w:color w:val="auto"/>
          <w:kern w:val="0"/>
          <w:sz w:val="24"/>
          <w:szCs w:val="24"/>
        </w:rPr>
        <w:t>一</w:t>
      </w:r>
      <w:r>
        <w:rPr>
          <w:rFonts w:ascii="宋体" w:hAnsi="宋体" w:eastAsia="宋体" w:cs="Times New Roman"/>
          <w:color w:val="auto"/>
          <w:kern w:val="0"/>
          <w:sz w:val="24"/>
          <w:szCs w:val="24"/>
          <w:lang w:eastAsia="zh-Hans"/>
        </w:rPr>
        <w:t>、 不可抗力事件处理</w:t>
      </w:r>
    </w:p>
    <w:p w14:paraId="66E603BE">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（一）在合同有效期内，任何一方因不可抗力事件导致不能履行合同，则合同履行期可延长，其延长期与不可抗力影响期相同。</w:t>
      </w:r>
    </w:p>
    <w:p w14:paraId="212A7541">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（二）不可抗力事件发生后，应立即通知对方，并寄送有关权威机构出具的证明。</w:t>
      </w:r>
    </w:p>
    <w:p w14:paraId="74E1014C">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（三）不可抗力事件延续30天以上，双方应通过友好协商，确定是否继续履行合同。</w:t>
      </w:r>
    </w:p>
    <w:p w14:paraId="76FBB3C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十二、合同的终止</w:t>
      </w:r>
    </w:p>
    <w:p w14:paraId="312C93D0">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（一）本合同因下列原因而终止：</w:t>
      </w:r>
    </w:p>
    <w:p w14:paraId="162F6729">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1、本合同正常履行完毕；</w:t>
      </w:r>
    </w:p>
    <w:p w14:paraId="3395462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2、合同双方协议终止本合同的履行；</w:t>
      </w:r>
    </w:p>
    <w:p w14:paraId="00B0C067">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3、不可抗力事件导致本合同无法履行或履行不必要；</w:t>
      </w:r>
    </w:p>
    <w:p w14:paraId="17D1E36C">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4、符合本合同约定的其他终止合同的条款。</w:t>
      </w:r>
    </w:p>
    <w:p w14:paraId="6A0E5BF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（二）对本合同终止有过错的一方应赔偿另一方因合同终止而受到的损失。对合同终止双方均无过错的，则各自承担所受到的损失。</w:t>
      </w:r>
    </w:p>
    <w:p w14:paraId="43EAB469">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十三、其他事项</w:t>
      </w:r>
    </w:p>
    <w:p w14:paraId="1E17FF9B">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（一）合同经双方签字盖章后生效。本合同一式</w:t>
      </w:r>
      <w:r>
        <w:rPr>
          <w:rFonts w:ascii="宋体" w:hAnsi="宋体" w:eastAsia="宋体" w:cs="Times New Roman"/>
          <w:color w:val="auto"/>
          <w:kern w:val="0"/>
          <w:sz w:val="24"/>
          <w:szCs w:val="24"/>
          <w:u w:val="single"/>
        </w:rPr>
        <w:t xml:space="preserve">  </w:t>
      </w:r>
      <w:r>
        <w:rPr>
          <w:rFonts w:ascii="宋体" w:hAnsi="宋体" w:eastAsia="宋体" w:cs="Times New Roman"/>
          <w:color w:val="auto"/>
          <w:kern w:val="0"/>
          <w:sz w:val="24"/>
          <w:szCs w:val="24"/>
          <w:lang w:eastAsia="zh-Hans"/>
        </w:rPr>
        <w:t>份，甲方执</w:t>
      </w:r>
      <w:r>
        <w:rPr>
          <w:rFonts w:ascii="宋体" w:hAnsi="宋体" w:eastAsia="宋体" w:cs="Times New Roman"/>
          <w:color w:val="auto"/>
          <w:kern w:val="0"/>
          <w:sz w:val="24"/>
          <w:szCs w:val="24"/>
          <w:u w:val="single"/>
        </w:rPr>
        <w:t xml:space="preserve">  </w:t>
      </w:r>
      <w:r>
        <w:rPr>
          <w:rFonts w:ascii="宋体" w:hAnsi="宋体" w:eastAsia="宋体" w:cs="Times New Roman"/>
          <w:color w:val="auto"/>
          <w:kern w:val="0"/>
          <w:sz w:val="24"/>
          <w:szCs w:val="24"/>
          <w:lang w:eastAsia="zh-Hans"/>
        </w:rPr>
        <w:t>份，乙方执</w:t>
      </w:r>
      <w:r>
        <w:rPr>
          <w:rFonts w:ascii="宋体" w:hAnsi="宋体" w:eastAsia="宋体" w:cs="Times New Roman"/>
          <w:color w:val="auto"/>
          <w:kern w:val="0"/>
          <w:sz w:val="24"/>
          <w:szCs w:val="24"/>
          <w:u w:val="single"/>
        </w:rPr>
        <w:t xml:space="preserve">  </w:t>
      </w:r>
      <w:r>
        <w:rPr>
          <w:rFonts w:ascii="宋体" w:hAnsi="宋体" w:eastAsia="宋体" w:cs="Times New Roman"/>
          <w:color w:val="auto"/>
          <w:kern w:val="0"/>
          <w:sz w:val="24"/>
          <w:szCs w:val="24"/>
          <w:lang w:eastAsia="zh-Hans"/>
        </w:rPr>
        <w:t>份，执行完毕后自行失效。</w:t>
      </w:r>
    </w:p>
    <w:p w14:paraId="19B5A086">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（二）下述文件为本合同的一部分，并与本合同一起阅读和解释，且具有同等法律效力：</w:t>
      </w:r>
    </w:p>
    <w:p w14:paraId="67DBE588">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1、合同附件1：服务内容、要求及标准；</w:t>
      </w:r>
    </w:p>
    <w:p w14:paraId="7A017CBA">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2、合同附件2：补充条款（如果有）；</w:t>
      </w:r>
    </w:p>
    <w:p w14:paraId="261AE21C">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3、合同附件3：澄清函及最终报价和承诺；</w:t>
      </w:r>
    </w:p>
    <w:p w14:paraId="70610D6F">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4、招标文件；</w:t>
      </w:r>
    </w:p>
    <w:p w14:paraId="564D3D2E">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5、投标文件；</w:t>
      </w:r>
    </w:p>
    <w:p w14:paraId="6C30F03D">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6、中标通知书。</w:t>
      </w:r>
    </w:p>
    <w:p w14:paraId="2C7D4EE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（三）在本合同执行过程中，甲、乙双方协商签订的补充合同与原合同具有同等法律效力。</w:t>
      </w:r>
    </w:p>
    <w:p w14:paraId="5E486F0C">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（四）未尽事宜，双方协商解决。</w:t>
      </w:r>
    </w:p>
    <w:p w14:paraId="1BD9009E">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（五）合同签订地点：西安</w:t>
      </w:r>
    </w:p>
    <w:p w14:paraId="6EF97E65">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（六）合同签订时间：　　 　　年　  月　  日</w:t>
      </w:r>
    </w:p>
    <w:p w14:paraId="7472D017">
      <w:pPr>
        <w:widowControl/>
        <w:spacing w:line="360" w:lineRule="auto"/>
        <w:jc w:val="left"/>
        <w:rPr>
          <w:rFonts w:hint="eastAsia" w:ascii="宋体" w:hAnsi="宋体" w:eastAsia="宋体" w:cs="Times New Roman"/>
          <w:color w:val="auto"/>
          <w:kern w:val="0"/>
          <w:sz w:val="24"/>
          <w:szCs w:val="24"/>
        </w:rPr>
      </w:pPr>
      <w:r>
        <w:rPr>
          <w:rFonts w:ascii="宋体" w:hAnsi="宋体" w:eastAsia="宋体" w:cs="Times New Roman"/>
          <w:color w:val="auto"/>
          <w:kern w:val="0"/>
          <w:sz w:val="24"/>
          <w:szCs w:val="24"/>
          <w:lang w:eastAsia="zh-Hans"/>
        </w:rPr>
        <w:t>（以下无正文）</w:t>
      </w:r>
    </w:p>
    <w:p w14:paraId="73A5F5AB">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甲    方                                      乙    方（全填）</w:t>
      </w:r>
    </w:p>
    <w:p w14:paraId="40CE8FF1">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单位名称（盖章）：                             单位名称（盖章）：</w:t>
      </w:r>
    </w:p>
    <w:p w14:paraId="4F74DCE7">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地    址：                                    地    址：</w:t>
      </w:r>
    </w:p>
    <w:p w14:paraId="514B6747">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法定代表人：                                 法定代表人：（盖章/签字）</w:t>
      </w:r>
    </w:p>
    <w:p w14:paraId="54C5F512">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委托代理人：（签字）                           委托代理人：（签字）</w:t>
      </w:r>
    </w:p>
    <w:p w14:paraId="49578B0E">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电话：　　　　　　　　　　　　　　　　　　　　电话：</w:t>
      </w:r>
    </w:p>
    <w:p w14:paraId="3E7E77EB">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传真：                                    　　传真：</w:t>
      </w:r>
    </w:p>
    <w:p w14:paraId="14CB586D">
      <w:pPr>
        <w:widowControl/>
        <w:spacing w:line="360" w:lineRule="auto"/>
        <w:jc w:val="left"/>
        <w:rPr>
          <w:rFonts w:hint="eastAsia"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邮编：　　　　　　　　　　　　　　　　　　　　邮编：</w:t>
      </w:r>
    </w:p>
    <w:p w14:paraId="74F9C272">
      <w:pPr>
        <w:widowControl/>
        <w:spacing w:line="360" w:lineRule="auto"/>
        <w:jc w:val="left"/>
        <w:rPr>
          <w:rFonts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t>　　　　　　　　　　　　　　　　　　　　　开户银行及账号：</w:t>
      </w:r>
    </w:p>
    <w:p w14:paraId="580C1035">
      <w:pPr>
        <w:rPr>
          <w:rFonts w:ascii="宋体" w:hAnsi="宋体" w:eastAsia="宋体" w:cs="Times New Roman"/>
          <w:color w:val="auto"/>
          <w:kern w:val="0"/>
          <w:sz w:val="24"/>
          <w:szCs w:val="24"/>
          <w:lang w:eastAsia="zh-Hans"/>
        </w:rPr>
      </w:pPr>
      <w:r>
        <w:rPr>
          <w:rFonts w:ascii="宋体" w:hAnsi="宋体" w:eastAsia="宋体" w:cs="Times New Roman"/>
          <w:color w:val="auto"/>
          <w:kern w:val="0"/>
          <w:sz w:val="24"/>
          <w:szCs w:val="24"/>
          <w:lang w:eastAsia="zh-Hans"/>
        </w:rPr>
        <w:br w:type="page"/>
      </w:r>
    </w:p>
    <w:p w14:paraId="7F3C0B14">
      <w:pPr>
        <w:widowControl/>
        <w:spacing w:line="360" w:lineRule="auto"/>
        <w:jc w:val="left"/>
        <w:rPr>
          <w:rFonts w:hint="eastAsia" w:ascii="宋体" w:hAnsi="宋体" w:eastAsia="宋体" w:cs="Times New Roman"/>
          <w:color w:val="auto"/>
          <w:kern w:val="0"/>
          <w:sz w:val="24"/>
          <w:szCs w:val="24"/>
          <w:lang w:val="en-US" w:eastAsia="zh-CN"/>
        </w:rPr>
      </w:pPr>
      <w:r>
        <w:rPr>
          <w:rFonts w:hint="eastAsia" w:ascii="宋体" w:hAnsi="宋体" w:eastAsia="宋体" w:cs="Times New Roman"/>
          <w:color w:val="auto"/>
          <w:kern w:val="0"/>
          <w:sz w:val="24"/>
          <w:szCs w:val="24"/>
          <w:lang w:val="en-US" w:eastAsia="zh-CN"/>
        </w:rPr>
        <w:t>附件：</w:t>
      </w:r>
    </w:p>
    <w:tbl>
      <w:tblPr>
        <w:tblStyle w:val="4"/>
        <w:tblW w:w="9300" w:type="dxa"/>
        <w:jc w:val="center"/>
        <w:tblLayout w:type="autofit"/>
        <w:tblCellMar>
          <w:top w:w="0" w:type="dxa"/>
          <w:left w:w="108" w:type="dxa"/>
          <w:bottom w:w="0" w:type="dxa"/>
          <w:right w:w="108" w:type="dxa"/>
        </w:tblCellMar>
      </w:tblPr>
      <w:tblGrid>
        <w:gridCol w:w="929"/>
        <w:gridCol w:w="2746"/>
        <w:gridCol w:w="4745"/>
        <w:gridCol w:w="880"/>
      </w:tblGrid>
      <w:tr w14:paraId="19728401">
        <w:tblPrEx>
          <w:tblCellMar>
            <w:top w:w="0" w:type="dxa"/>
            <w:left w:w="108" w:type="dxa"/>
            <w:bottom w:w="0" w:type="dxa"/>
            <w:right w:w="108" w:type="dxa"/>
          </w:tblCellMar>
        </w:tblPrEx>
        <w:trPr>
          <w:trHeight w:val="581" w:hRule="atLeast"/>
          <w:jc w:val="center"/>
        </w:trPr>
        <w:tc>
          <w:tcPr>
            <w:tcW w:w="9300" w:type="dxa"/>
            <w:gridSpan w:val="4"/>
            <w:tcBorders>
              <w:top w:val="single" w:color="auto" w:sz="8" w:space="0"/>
              <w:left w:val="single" w:color="auto" w:sz="8" w:space="0"/>
              <w:bottom w:val="single" w:color="auto" w:sz="8" w:space="0"/>
              <w:right w:val="single" w:color="auto" w:sz="8" w:space="0"/>
            </w:tcBorders>
            <w:vAlign w:val="center"/>
          </w:tcPr>
          <w:p w14:paraId="0F85C20F">
            <w:pPr>
              <w:widowControl/>
              <w:spacing w:line="360"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highlight w:val="none"/>
              </w:rPr>
              <w:t>西安理工大学教育网出口带宽服务考核表</w:t>
            </w:r>
          </w:p>
        </w:tc>
      </w:tr>
      <w:tr w14:paraId="5DA17247">
        <w:tblPrEx>
          <w:tblCellMar>
            <w:top w:w="0" w:type="dxa"/>
            <w:left w:w="108" w:type="dxa"/>
            <w:bottom w:w="0" w:type="dxa"/>
            <w:right w:w="108" w:type="dxa"/>
          </w:tblCellMar>
        </w:tblPrEx>
        <w:trPr>
          <w:trHeight w:val="443" w:hRule="atLeast"/>
          <w:jc w:val="center"/>
        </w:trPr>
        <w:tc>
          <w:tcPr>
            <w:tcW w:w="9300" w:type="dxa"/>
            <w:gridSpan w:val="4"/>
            <w:tcBorders>
              <w:top w:val="single" w:color="auto" w:sz="8" w:space="0"/>
              <w:left w:val="single" w:color="auto" w:sz="8" w:space="0"/>
              <w:bottom w:val="single" w:color="auto" w:sz="8" w:space="0"/>
              <w:right w:val="single" w:color="auto" w:sz="8" w:space="0"/>
            </w:tcBorders>
            <w:vAlign w:val="center"/>
          </w:tcPr>
          <w:p w14:paraId="593EE9F0">
            <w:pPr>
              <w:widowControl/>
              <w:spacing w:line="360" w:lineRule="auto"/>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打分单位：西安理工大学 信息化管理处</w:t>
            </w:r>
          </w:p>
        </w:tc>
      </w:tr>
      <w:tr w14:paraId="3635B4D6">
        <w:tblPrEx>
          <w:tblCellMar>
            <w:top w:w="0" w:type="dxa"/>
            <w:left w:w="108" w:type="dxa"/>
            <w:bottom w:w="0" w:type="dxa"/>
            <w:right w:w="108" w:type="dxa"/>
          </w:tblCellMar>
        </w:tblPrEx>
        <w:trPr>
          <w:trHeight w:val="443" w:hRule="atLeast"/>
          <w:jc w:val="center"/>
        </w:trPr>
        <w:tc>
          <w:tcPr>
            <w:tcW w:w="9300" w:type="dxa"/>
            <w:gridSpan w:val="4"/>
            <w:tcBorders>
              <w:top w:val="single" w:color="auto" w:sz="8" w:space="0"/>
              <w:left w:val="single" w:color="auto" w:sz="8" w:space="0"/>
              <w:bottom w:val="single" w:color="auto" w:sz="8" w:space="0"/>
              <w:right w:val="single" w:color="auto" w:sz="8" w:space="0"/>
            </w:tcBorders>
            <w:vAlign w:val="center"/>
          </w:tcPr>
          <w:p w14:paraId="15AA02AF">
            <w:pPr>
              <w:widowControl/>
              <w:spacing w:line="360" w:lineRule="auto"/>
              <w:jc w:val="left"/>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 xml:space="preserve">考核日期： </w:t>
            </w:r>
          </w:p>
        </w:tc>
      </w:tr>
      <w:tr w14:paraId="5C12B734">
        <w:tblPrEx>
          <w:tblCellMar>
            <w:top w:w="0" w:type="dxa"/>
            <w:left w:w="108" w:type="dxa"/>
            <w:bottom w:w="0" w:type="dxa"/>
            <w:right w:w="108" w:type="dxa"/>
          </w:tblCellMar>
        </w:tblPrEx>
        <w:trPr>
          <w:trHeight w:val="443" w:hRule="atLeast"/>
          <w:jc w:val="center"/>
        </w:trPr>
        <w:tc>
          <w:tcPr>
            <w:tcW w:w="929" w:type="dxa"/>
            <w:tcBorders>
              <w:top w:val="single" w:color="000000" w:sz="4" w:space="0"/>
              <w:left w:val="single" w:color="000000" w:sz="4" w:space="0"/>
              <w:bottom w:val="single" w:color="000000" w:sz="4" w:space="0"/>
              <w:right w:val="single" w:color="auto" w:sz="4" w:space="0"/>
            </w:tcBorders>
            <w:vAlign w:val="center"/>
          </w:tcPr>
          <w:p w14:paraId="720FEA74">
            <w:pPr>
              <w:spacing w:line="360" w:lineRule="auto"/>
              <w:jc w:val="center"/>
              <w:rPr>
                <w:rFonts w:hint="eastAsia" w:ascii="新宋体" w:hAnsi="新宋体" w:eastAsia="新宋体" w:cs="新宋体"/>
                <w:color w:val="auto"/>
                <w:kern w:val="2"/>
                <w:sz w:val="24"/>
                <w:szCs w:val="24"/>
              </w:rPr>
            </w:pPr>
            <w:r>
              <w:rPr>
                <w:rFonts w:hint="eastAsia" w:ascii="新宋体" w:hAnsi="新宋体" w:eastAsia="新宋体" w:cs="新宋体"/>
                <w:color w:val="auto"/>
                <w:sz w:val="24"/>
                <w:szCs w:val="24"/>
              </w:rPr>
              <w:t>序号</w:t>
            </w:r>
          </w:p>
        </w:tc>
        <w:tc>
          <w:tcPr>
            <w:tcW w:w="7491" w:type="dxa"/>
            <w:gridSpan w:val="2"/>
            <w:tcBorders>
              <w:top w:val="single" w:color="000000" w:sz="4" w:space="0"/>
              <w:left w:val="single" w:color="auto" w:sz="4" w:space="0"/>
              <w:bottom w:val="single" w:color="000000" w:sz="4" w:space="0"/>
              <w:right w:val="single" w:color="000000" w:sz="4" w:space="0"/>
            </w:tcBorders>
            <w:vAlign w:val="center"/>
          </w:tcPr>
          <w:p w14:paraId="28986AF7">
            <w:pPr>
              <w:spacing w:line="360"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评分标准</w:t>
            </w:r>
          </w:p>
        </w:tc>
        <w:tc>
          <w:tcPr>
            <w:tcW w:w="880" w:type="dxa"/>
            <w:tcBorders>
              <w:top w:val="single" w:color="000000" w:sz="4" w:space="0"/>
              <w:left w:val="single" w:color="000000" w:sz="4" w:space="0"/>
              <w:bottom w:val="single" w:color="000000" w:sz="4" w:space="0"/>
              <w:right w:val="single" w:color="000000" w:sz="4" w:space="0"/>
            </w:tcBorders>
            <w:vAlign w:val="center"/>
          </w:tcPr>
          <w:p w14:paraId="7A4C4C29">
            <w:pPr>
              <w:spacing w:line="360"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得分</w:t>
            </w:r>
          </w:p>
        </w:tc>
      </w:tr>
      <w:tr w14:paraId="50636774">
        <w:tblPrEx>
          <w:tblCellMar>
            <w:top w:w="0" w:type="dxa"/>
            <w:left w:w="108" w:type="dxa"/>
            <w:bottom w:w="0" w:type="dxa"/>
            <w:right w:w="108" w:type="dxa"/>
          </w:tblCellMar>
        </w:tblPrEx>
        <w:trPr>
          <w:trHeight w:val="647" w:hRule="atLeast"/>
          <w:jc w:val="center"/>
        </w:trPr>
        <w:tc>
          <w:tcPr>
            <w:tcW w:w="929" w:type="dxa"/>
            <w:tcBorders>
              <w:top w:val="single" w:color="000000" w:sz="4" w:space="0"/>
              <w:left w:val="single" w:color="000000" w:sz="4" w:space="0"/>
              <w:bottom w:val="single" w:color="auto" w:sz="4" w:space="0"/>
              <w:right w:val="single" w:color="000000" w:sz="4" w:space="0"/>
            </w:tcBorders>
            <w:vAlign w:val="center"/>
          </w:tcPr>
          <w:p w14:paraId="64930B21">
            <w:pPr>
              <w:pStyle w:val="6"/>
              <w:numPr>
                <w:ilvl w:val="0"/>
                <w:numId w:val="1"/>
              </w:numPr>
              <w:spacing w:line="276" w:lineRule="auto"/>
              <w:ind w:firstLineChars="0"/>
              <w:jc w:val="center"/>
              <w:rPr>
                <w:rFonts w:hint="eastAsia" w:ascii="新宋体" w:hAnsi="新宋体" w:eastAsia="新宋体" w:cs="新宋体"/>
                <w:color w:val="auto"/>
                <w:sz w:val="24"/>
                <w:szCs w:val="24"/>
              </w:rPr>
            </w:pPr>
          </w:p>
        </w:tc>
        <w:tc>
          <w:tcPr>
            <w:tcW w:w="2746" w:type="dxa"/>
            <w:tcBorders>
              <w:top w:val="single" w:color="000000" w:sz="4" w:space="0"/>
              <w:left w:val="single" w:color="000000" w:sz="4" w:space="0"/>
              <w:bottom w:val="single" w:color="000000" w:sz="4" w:space="0"/>
              <w:right w:val="single" w:color="auto" w:sz="4" w:space="0"/>
            </w:tcBorders>
            <w:vAlign w:val="center"/>
          </w:tcPr>
          <w:p w14:paraId="5CAFC2BC">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带宽性能指标</w:t>
            </w:r>
          </w:p>
          <w:p w14:paraId="781EEA98">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（10分）</w:t>
            </w:r>
          </w:p>
        </w:tc>
        <w:tc>
          <w:tcPr>
            <w:tcW w:w="4745" w:type="dxa"/>
            <w:tcBorders>
              <w:top w:val="single" w:color="000000" w:sz="4" w:space="0"/>
              <w:left w:val="single" w:color="auto" w:sz="4" w:space="0"/>
              <w:bottom w:val="single" w:color="auto" w:sz="4" w:space="0"/>
              <w:right w:val="single" w:color="000000" w:sz="4" w:space="0"/>
            </w:tcBorders>
            <w:vAlign w:val="center"/>
          </w:tcPr>
          <w:p w14:paraId="08F335DE">
            <w:pPr>
              <w:spacing w:line="276"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性能满足要求：10分</w:t>
            </w:r>
          </w:p>
          <w:p w14:paraId="551AC1DA">
            <w:pPr>
              <w:spacing w:line="276"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性能不满足要求：扣10分。</w:t>
            </w:r>
          </w:p>
        </w:tc>
        <w:tc>
          <w:tcPr>
            <w:tcW w:w="880" w:type="dxa"/>
            <w:tcBorders>
              <w:top w:val="single" w:color="000000" w:sz="4" w:space="0"/>
              <w:left w:val="single" w:color="000000" w:sz="4" w:space="0"/>
              <w:bottom w:val="single" w:color="auto" w:sz="4" w:space="0"/>
              <w:right w:val="single" w:color="000000" w:sz="4" w:space="0"/>
            </w:tcBorders>
            <w:vAlign w:val="center"/>
          </w:tcPr>
          <w:p w14:paraId="7E8BB31D">
            <w:pPr>
              <w:spacing w:line="276" w:lineRule="auto"/>
              <w:jc w:val="center"/>
              <w:rPr>
                <w:rFonts w:hint="eastAsia" w:ascii="新宋体" w:hAnsi="新宋体" w:eastAsia="新宋体" w:cs="新宋体"/>
                <w:color w:val="auto"/>
                <w:sz w:val="24"/>
                <w:szCs w:val="24"/>
              </w:rPr>
            </w:pPr>
          </w:p>
        </w:tc>
      </w:tr>
      <w:tr w14:paraId="3CC4EC55">
        <w:tblPrEx>
          <w:tblCellMar>
            <w:top w:w="0" w:type="dxa"/>
            <w:left w:w="108" w:type="dxa"/>
            <w:bottom w:w="0" w:type="dxa"/>
            <w:right w:w="108" w:type="dxa"/>
          </w:tblCellMar>
        </w:tblPrEx>
        <w:trPr>
          <w:trHeight w:val="1265" w:hRule="atLeast"/>
          <w:jc w:val="center"/>
        </w:trPr>
        <w:tc>
          <w:tcPr>
            <w:tcW w:w="929" w:type="dxa"/>
            <w:tcBorders>
              <w:top w:val="single" w:color="000000" w:sz="4" w:space="0"/>
              <w:left w:val="single" w:color="000000" w:sz="4" w:space="0"/>
              <w:bottom w:val="single" w:color="auto" w:sz="4" w:space="0"/>
              <w:right w:val="single" w:color="000000" w:sz="4" w:space="0"/>
            </w:tcBorders>
            <w:vAlign w:val="center"/>
          </w:tcPr>
          <w:p w14:paraId="6E97C486">
            <w:pPr>
              <w:pStyle w:val="6"/>
              <w:numPr>
                <w:ilvl w:val="0"/>
                <w:numId w:val="1"/>
              </w:numPr>
              <w:spacing w:line="276" w:lineRule="auto"/>
              <w:ind w:firstLineChars="0"/>
              <w:jc w:val="center"/>
              <w:rPr>
                <w:rFonts w:hint="eastAsia" w:ascii="新宋体" w:hAnsi="新宋体" w:eastAsia="新宋体" w:cs="新宋体"/>
                <w:color w:val="auto"/>
                <w:sz w:val="24"/>
                <w:szCs w:val="24"/>
              </w:rPr>
            </w:pPr>
          </w:p>
        </w:tc>
        <w:tc>
          <w:tcPr>
            <w:tcW w:w="2746" w:type="dxa"/>
            <w:tcBorders>
              <w:top w:val="single" w:color="000000" w:sz="4" w:space="0"/>
              <w:left w:val="single" w:color="000000" w:sz="4" w:space="0"/>
              <w:bottom w:val="single" w:color="000000" w:sz="4" w:space="0"/>
              <w:right w:val="single" w:color="auto" w:sz="4" w:space="0"/>
            </w:tcBorders>
            <w:vAlign w:val="center"/>
          </w:tcPr>
          <w:p w14:paraId="0D12C0BA">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链路保障能力</w:t>
            </w:r>
          </w:p>
          <w:p w14:paraId="4F5B431D">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（20分）</w:t>
            </w:r>
          </w:p>
        </w:tc>
        <w:tc>
          <w:tcPr>
            <w:tcW w:w="4745" w:type="dxa"/>
            <w:tcBorders>
              <w:top w:val="single" w:color="000000" w:sz="4" w:space="0"/>
              <w:left w:val="single" w:color="auto" w:sz="4" w:space="0"/>
              <w:bottom w:val="single" w:color="auto" w:sz="4" w:space="0"/>
              <w:right w:val="single" w:color="000000" w:sz="4" w:space="0"/>
            </w:tcBorders>
            <w:vAlign w:val="center"/>
          </w:tcPr>
          <w:p w14:paraId="7B2A81E1">
            <w:pPr>
              <w:spacing w:line="276"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服务期内，因供货方原因发生一次意外故障，故障时间大于30分钟的，每出现一次扣5分，最高扣20分。</w:t>
            </w:r>
          </w:p>
        </w:tc>
        <w:tc>
          <w:tcPr>
            <w:tcW w:w="880" w:type="dxa"/>
            <w:tcBorders>
              <w:top w:val="single" w:color="000000" w:sz="4" w:space="0"/>
              <w:left w:val="single" w:color="000000" w:sz="4" w:space="0"/>
              <w:bottom w:val="single" w:color="auto" w:sz="4" w:space="0"/>
              <w:right w:val="single" w:color="000000" w:sz="4" w:space="0"/>
            </w:tcBorders>
            <w:vAlign w:val="center"/>
          </w:tcPr>
          <w:p w14:paraId="28C5867B">
            <w:pPr>
              <w:spacing w:line="276" w:lineRule="auto"/>
              <w:jc w:val="center"/>
              <w:rPr>
                <w:rFonts w:hint="eastAsia" w:ascii="新宋体" w:hAnsi="新宋体" w:eastAsia="新宋体" w:cs="新宋体"/>
                <w:color w:val="auto"/>
                <w:sz w:val="24"/>
                <w:szCs w:val="24"/>
              </w:rPr>
            </w:pPr>
          </w:p>
        </w:tc>
      </w:tr>
      <w:tr w14:paraId="1289E8EA">
        <w:tblPrEx>
          <w:tblCellMar>
            <w:top w:w="0" w:type="dxa"/>
            <w:left w:w="108" w:type="dxa"/>
            <w:bottom w:w="0" w:type="dxa"/>
            <w:right w:w="108" w:type="dxa"/>
          </w:tblCellMar>
        </w:tblPrEx>
        <w:trPr>
          <w:trHeight w:val="1887" w:hRule="atLeast"/>
          <w:jc w:val="center"/>
        </w:trPr>
        <w:tc>
          <w:tcPr>
            <w:tcW w:w="929" w:type="dxa"/>
            <w:tcBorders>
              <w:top w:val="single" w:color="000000" w:sz="4" w:space="0"/>
              <w:left w:val="single" w:color="000000" w:sz="4" w:space="0"/>
              <w:bottom w:val="single" w:color="auto" w:sz="4" w:space="0"/>
              <w:right w:val="single" w:color="000000" w:sz="4" w:space="0"/>
            </w:tcBorders>
            <w:vAlign w:val="center"/>
          </w:tcPr>
          <w:p w14:paraId="0186FD15">
            <w:pPr>
              <w:pStyle w:val="6"/>
              <w:numPr>
                <w:ilvl w:val="0"/>
                <w:numId w:val="1"/>
              </w:numPr>
              <w:spacing w:line="276" w:lineRule="auto"/>
              <w:ind w:firstLineChars="0"/>
              <w:jc w:val="center"/>
              <w:rPr>
                <w:rFonts w:hint="eastAsia" w:ascii="新宋体" w:hAnsi="新宋体" w:eastAsia="新宋体" w:cs="新宋体"/>
                <w:color w:val="auto"/>
                <w:sz w:val="24"/>
                <w:szCs w:val="24"/>
              </w:rPr>
            </w:pPr>
          </w:p>
        </w:tc>
        <w:tc>
          <w:tcPr>
            <w:tcW w:w="2746" w:type="dxa"/>
            <w:tcBorders>
              <w:top w:val="single" w:color="000000" w:sz="4" w:space="0"/>
              <w:left w:val="single" w:color="000000" w:sz="4" w:space="0"/>
              <w:bottom w:val="single" w:color="000000" w:sz="4" w:space="0"/>
              <w:right w:val="single" w:color="auto" w:sz="4" w:space="0"/>
            </w:tcBorders>
            <w:vAlign w:val="center"/>
          </w:tcPr>
          <w:p w14:paraId="08DF7856">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服务响应</w:t>
            </w:r>
          </w:p>
          <w:p w14:paraId="32A7C780">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（40分）</w:t>
            </w:r>
          </w:p>
        </w:tc>
        <w:tc>
          <w:tcPr>
            <w:tcW w:w="4745" w:type="dxa"/>
            <w:tcBorders>
              <w:top w:val="single" w:color="000000" w:sz="4" w:space="0"/>
              <w:left w:val="single" w:color="auto" w:sz="4" w:space="0"/>
              <w:bottom w:val="single" w:color="auto" w:sz="4" w:space="0"/>
              <w:right w:val="single" w:color="000000" w:sz="4" w:space="0"/>
            </w:tcBorders>
            <w:vAlign w:val="center"/>
          </w:tcPr>
          <w:p w14:paraId="3CC4D1DF">
            <w:pPr>
              <w:spacing w:line="276"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响应时间:接到故障电话后，立即响</w:t>
            </w:r>
          </w:p>
          <w:p w14:paraId="699D4E2B">
            <w:pPr>
              <w:spacing w:line="276"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应，半小时内给出支持方式，如需上门服务，需要在2小时内到达现场，4小时内解决问题。应急处置超时，每出现一次扣5分，最高扣40分。</w:t>
            </w:r>
          </w:p>
        </w:tc>
        <w:tc>
          <w:tcPr>
            <w:tcW w:w="880" w:type="dxa"/>
            <w:tcBorders>
              <w:top w:val="single" w:color="000000" w:sz="4" w:space="0"/>
              <w:left w:val="single" w:color="000000" w:sz="4" w:space="0"/>
              <w:bottom w:val="single" w:color="auto" w:sz="4" w:space="0"/>
              <w:right w:val="single" w:color="000000" w:sz="4" w:space="0"/>
            </w:tcBorders>
            <w:vAlign w:val="center"/>
          </w:tcPr>
          <w:p w14:paraId="52CCB6B4">
            <w:pPr>
              <w:spacing w:line="276" w:lineRule="auto"/>
              <w:jc w:val="center"/>
              <w:rPr>
                <w:rFonts w:hint="eastAsia" w:ascii="新宋体" w:hAnsi="新宋体" w:eastAsia="新宋体" w:cs="新宋体"/>
                <w:color w:val="auto"/>
                <w:sz w:val="24"/>
                <w:szCs w:val="24"/>
              </w:rPr>
            </w:pPr>
          </w:p>
        </w:tc>
      </w:tr>
      <w:tr w14:paraId="4A6B0109">
        <w:tblPrEx>
          <w:tblCellMar>
            <w:top w:w="0" w:type="dxa"/>
            <w:left w:w="108" w:type="dxa"/>
            <w:bottom w:w="0" w:type="dxa"/>
            <w:right w:w="108" w:type="dxa"/>
          </w:tblCellMar>
        </w:tblPrEx>
        <w:trPr>
          <w:trHeight w:val="1265" w:hRule="atLeast"/>
          <w:jc w:val="center"/>
        </w:trPr>
        <w:tc>
          <w:tcPr>
            <w:tcW w:w="929" w:type="dxa"/>
            <w:tcBorders>
              <w:top w:val="single" w:color="auto" w:sz="4" w:space="0"/>
              <w:left w:val="single" w:color="000000" w:sz="4" w:space="0"/>
              <w:bottom w:val="single" w:color="auto" w:sz="4" w:space="0"/>
              <w:right w:val="single" w:color="000000" w:sz="4" w:space="0"/>
            </w:tcBorders>
            <w:vAlign w:val="center"/>
          </w:tcPr>
          <w:p w14:paraId="059331A3">
            <w:pPr>
              <w:pStyle w:val="6"/>
              <w:numPr>
                <w:ilvl w:val="0"/>
                <w:numId w:val="1"/>
              </w:numPr>
              <w:spacing w:line="276" w:lineRule="auto"/>
              <w:ind w:firstLineChars="0"/>
              <w:jc w:val="center"/>
              <w:rPr>
                <w:rFonts w:hint="eastAsia" w:ascii="新宋体" w:hAnsi="新宋体" w:eastAsia="新宋体" w:cs="新宋体"/>
                <w:color w:val="auto"/>
                <w:sz w:val="24"/>
                <w:szCs w:val="24"/>
              </w:rPr>
            </w:pPr>
          </w:p>
        </w:tc>
        <w:tc>
          <w:tcPr>
            <w:tcW w:w="2746" w:type="dxa"/>
            <w:tcBorders>
              <w:top w:val="single" w:color="000000" w:sz="4" w:space="0"/>
              <w:left w:val="single" w:color="000000" w:sz="4" w:space="0"/>
              <w:bottom w:val="single" w:color="000000" w:sz="4" w:space="0"/>
              <w:right w:val="single" w:color="auto" w:sz="4" w:space="0"/>
            </w:tcBorders>
            <w:vAlign w:val="center"/>
          </w:tcPr>
          <w:p w14:paraId="7AE3E6CB">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巡检服务</w:t>
            </w:r>
          </w:p>
          <w:p w14:paraId="1419FCE0">
            <w:pPr>
              <w:pStyle w:val="3"/>
              <w:spacing w:line="276" w:lineRule="auto"/>
              <w:ind w:left="48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（20分）</w:t>
            </w:r>
          </w:p>
        </w:tc>
        <w:tc>
          <w:tcPr>
            <w:tcW w:w="4745" w:type="dxa"/>
            <w:tcBorders>
              <w:top w:val="single" w:color="000000" w:sz="4" w:space="0"/>
              <w:left w:val="single" w:color="auto" w:sz="4" w:space="0"/>
              <w:bottom w:val="single" w:color="000000" w:sz="4" w:space="0"/>
              <w:right w:val="single" w:color="000000" w:sz="4" w:space="0"/>
            </w:tcBorders>
            <w:vAlign w:val="center"/>
          </w:tcPr>
          <w:p w14:paraId="4406CC0E">
            <w:pPr>
              <w:spacing w:line="276"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服务期内，服务工程师每6个月进行一次全面检查及预防性维护，并提交巡检报告，缺少一次扣10分，最高扣20分。</w:t>
            </w:r>
          </w:p>
        </w:tc>
        <w:tc>
          <w:tcPr>
            <w:tcW w:w="880" w:type="dxa"/>
            <w:tcBorders>
              <w:top w:val="single" w:color="auto" w:sz="4" w:space="0"/>
              <w:left w:val="single" w:color="000000" w:sz="4" w:space="0"/>
              <w:bottom w:val="single" w:color="auto" w:sz="4" w:space="0"/>
              <w:right w:val="single" w:color="000000" w:sz="4" w:space="0"/>
            </w:tcBorders>
            <w:vAlign w:val="center"/>
          </w:tcPr>
          <w:p w14:paraId="53CF1525">
            <w:pPr>
              <w:spacing w:line="276" w:lineRule="auto"/>
              <w:jc w:val="center"/>
              <w:rPr>
                <w:rFonts w:hint="eastAsia" w:ascii="新宋体" w:hAnsi="新宋体" w:eastAsia="新宋体" w:cs="新宋体"/>
                <w:color w:val="auto"/>
                <w:sz w:val="24"/>
                <w:szCs w:val="24"/>
              </w:rPr>
            </w:pPr>
          </w:p>
        </w:tc>
      </w:tr>
      <w:tr w14:paraId="1B19A3E5">
        <w:tblPrEx>
          <w:tblCellMar>
            <w:top w:w="0" w:type="dxa"/>
            <w:left w:w="108" w:type="dxa"/>
            <w:bottom w:w="0" w:type="dxa"/>
            <w:right w:w="108" w:type="dxa"/>
          </w:tblCellMar>
        </w:tblPrEx>
        <w:trPr>
          <w:trHeight w:val="1286" w:hRule="atLeast"/>
          <w:jc w:val="center"/>
        </w:trPr>
        <w:tc>
          <w:tcPr>
            <w:tcW w:w="929" w:type="dxa"/>
            <w:tcBorders>
              <w:top w:val="single" w:color="auto" w:sz="4" w:space="0"/>
              <w:left w:val="single" w:color="000000" w:sz="4" w:space="0"/>
              <w:bottom w:val="single" w:color="auto" w:sz="4" w:space="0"/>
              <w:right w:val="single" w:color="000000" w:sz="4" w:space="0"/>
            </w:tcBorders>
            <w:vAlign w:val="center"/>
          </w:tcPr>
          <w:p w14:paraId="627CFC49">
            <w:pPr>
              <w:pStyle w:val="6"/>
              <w:numPr>
                <w:ilvl w:val="0"/>
                <w:numId w:val="1"/>
              </w:numPr>
              <w:spacing w:line="276" w:lineRule="auto"/>
              <w:ind w:firstLineChars="0"/>
              <w:jc w:val="center"/>
              <w:rPr>
                <w:rFonts w:hint="eastAsia" w:ascii="新宋体" w:hAnsi="新宋体" w:eastAsia="新宋体" w:cs="新宋体"/>
                <w:color w:val="auto"/>
                <w:sz w:val="24"/>
                <w:szCs w:val="24"/>
              </w:rPr>
            </w:pPr>
          </w:p>
        </w:tc>
        <w:tc>
          <w:tcPr>
            <w:tcW w:w="2746" w:type="dxa"/>
            <w:tcBorders>
              <w:top w:val="single" w:color="000000" w:sz="4" w:space="0"/>
              <w:left w:val="single" w:color="000000" w:sz="4" w:space="0"/>
              <w:bottom w:val="single" w:color="000000" w:sz="4" w:space="0"/>
              <w:right w:val="single" w:color="auto" w:sz="4" w:space="0"/>
            </w:tcBorders>
            <w:vAlign w:val="center"/>
          </w:tcPr>
          <w:p w14:paraId="6FE761F8">
            <w:pPr>
              <w:spacing w:line="276"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沟通及时性</w:t>
            </w:r>
          </w:p>
          <w:p w14:paraId="1AA6650D">
            <w:pPr>
              <w:pStyle w:val="3"/>
              <w:spacing w:line="276" w:lineRule="auto"/>
              <w:ind w:left="48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（10分）</w:t>
            </w:r>
          </w:p>
        </w:tc>
        <w:tc>
          <w:tcPr>
            <w:tcW w:w="4745" w:type="dxa"/>
            <w:tcBorders>
              <w:top w:val="single" w:color="000000" w:sz="4" w:space="0"/>
              <w:left w:val="single" w:color="auto" w:sz="4" w:space="0"/>
              <w:bottom w:val="single" w:color="000000" w:sz="4" w:space="0"/>
              <w:right w:val="single" w:color="000000" w:sz="4" w:space="0"/>
            </w:tcBorders>
            <w:vAlign w:val="center"/>
          </w:tcPr>
          <w:p w14:paraId="7C7F643C">
            <w:pPr>
              <w:spacing w:line="276"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供货商对其设备进行维护时，如需中断通信，必须提前48小时通知采购人，并征得采购人同意。通知不到位一次扣2分，最高扣10分。</w:t>
            </w:r>
          </w:p>
        </w:tc>
        <w:tc>
          <w:tcPr>
            <w:tcW w:w="880" w:type="dxa"/>
            <w:tcBorders>
              <w:top w:val="single" w:color="000000" w:sz="4" w:space="0"/>
              <w:left w:val="single" w:color="000000" w:sz="4" w:space="0"/>
              <w:bottom w:val="single" w:color="auto" w:sz="4" w:space="0"/>
              <w:right w:val="single" w:color="000000" w:sz="4" w:space="0"/>
            </w:tcBorders>
            <w:vAlign w:val="center"/>
          </w:tcPr>
          <w:p w14:paraId="3E353AB2">
            <w:pPr>
              <w:spacing w:line="276" w:lineRule="auto"/>
              <w:jc w:val="center"/>
              <w:rPr>
                <w:rFonts w:hint="eastAsia" w:ascii="新宋体" w:hAnsi="新宋体" w:eastAsia="新宋体" w:cs="新宋体"/>
                <w:color w:val="auto"/>
                <w:sz w:val="24"/>
                <w:szCs w:val="24"/>
              </w:rPr>
            </w:pPr>
          </w:p>
        </w:tc>
      </w:tr>
      <w:tr w14:paraId="2CD1F6D3">
        <w:tblPrEx>
          <w:tblCellMar>
            <w:top w:w="0" w:type="dxa"/>
            <w:left w:w="108" w:type="dxa"/>
            <w:bottom w:w="0" w:type="dxa"/>
            <w:right w:w="108" w:type="dxa"/>
          </w:tblCellMar>
        </w:tblPrEx>
        <w:trPr>
          <w:trHeight w:val="426" w:hRule="atLeast"/>
          <w:jc w:val="center"/>
        </w:trPr>
        <w:tc>
          <w:tcPr>
            <w:tcW w:w="929" w:type="dxa"/>
            <w:tcBorders>
              <w:top w:val="single" w:color="000000" w:sz="4" w:space="0"/>
              <w:left w:val="single" w:color="000000" w:sz="4" w:space="0"/>
              <w:bottom w:val="single" w:color="000000" w:sz="4" w:space="0"/>
              <w:right w:val="single" w:color="000000" w:sz="4" w:space="0"/>
            </w:tcBorders>
            <w:vAlign w:val="center"/>
          </w:tcPr>
          <w:p w14:paraId="3892D452">
            <w:pPr>
              <w:spacing w:line="360"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总分</w:t>
            </w:r>
          </w:p>
        </w:tc>
        <w:tc>
          <w:tcPr>
            <w:tcW w:w="8371" w:type="dxa"/>
            <w:gridSpan w:val="3"/>
            <w:tcBorders>
              <w:top w:val="single" w:color="000000" w:sz="4" w:space="0"/>
              <w:left w:val="single" w:color="000000" w:sz="4" w:space="0"/>
              <w:bottom w:val="single" w:color="000000" w:sz="4" w:space="0"/>
              <w:right w:val="single" w:color="000000" w:sz="4" w:space="0"/>
            </w:tcBorders>
            <w:vAlign w:val="center"/>
          </w:tcPr>
          <w:p w14:paraId="73E82B4C">
            <w:pPr>
              <w:spacing w:line="360" w:lineRule="auto"/>
              <w:jc w:val="center"/>
              <w:rPr>
                <w:rFonts w:hint="eastAsia" w:ascii="新宋体" w:hAnsi="新宋体" w:eastAsia="新宋体" w:cs="新宋体"/>
                <w:color w:val="auto"/>
                <w:sz w:val="24"/>
                <w:szCs w:val="24"/>
              </w:rPr>
            </w:pPr>
          </w:p>
        </w:tc>
      </w:tr>
      <w:tr w14:paraId="15F055E9">
        <w:tblPrEx>
          <w:tblCellMar>
            <w:top w:w="0" w:type="dxa"/>
            <w:left w:w="108" w:type="dxa"/>
            <w:bottom w:w="0" w:type="dxa"/>
            <w:right w:w="108" w:type="dxa"/>
          </w:tblCellMar>
        </w:tblPrEx>
        <w:trPr>
          <w:trHeight w:val="1336" w:hRule="atLeast"/>
          <w:jc w:val="center"/>
        </w:trPr>
        <w:tc>
          <w:tcPr>
            <w:tcW w:w="929" w:type="dxa"/>
            <w:tcBorders>
              <w:top w:val="single" w:color="000000" w:sz="4" w:space="0"/>
              <w:left w:val="single" w:color="000000" w:sz="4" w:space="0"/>
              <w:bottom w:val="single" w:color="000000" w:sz="4" w:space="0"/>
              <w:right w:val="single" w:color="000000" w:sz="4" w:space="0"/>
            </w:tcBorders>
            <w:vAlign w:val="center"/>
          </w:tcPr>
          <w:p w14:paraId="0DF6CC01">
            <w:pPr>
              <w:spacing w:line="360" w:lineRule="auto"/>
              <w:jc w:val="center"/>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备注</w:t>
            </w:r>
          </w:p>
        </w:tc>
        <w:tc>
          <w:tcPr>
            <w:tcW w:w="8371" w:type="dxa"/>
            <w:gridSpan w:val="3"/>
            <w:tcBorders>
              <w:top w:val="single" w:color="000000" w:sz="4" w:space="0"/>
              <w:left w:val="single" w:color="000000" w:sz="4" w:space="0"/>
              <w:bottom w:val="single" w:color="000000" w:sz="4" w:space="0"/>
              <w:right w:val="single" w:color="000000" w:sz="4" w:space="0"/>
            </w:tcBorders>
            <w:vAlign w:val="center"/>
          </w:tcPr>
          <w:p w14:paraId="57AFFFAC">
            <w:pPr>
              <w:spacing w:line="360" w:lineRule="auto"/>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年度考核得分小于60分，不能续签合同。</w:t>
            </w:r>
          </w:p>
        </w:tc>
      </w:tr>
    </w:tbl>
    <w:p w14:paraId="4B0A0AA0">
      <w:pPr>
        <w:widowControl/>
        <w:spacing w:line="360" w:lineRule="auto"/>
        <w:jc w:val="left"/>
        <w:rPr>
          <w:rFonts w:hint="eastAsia" w:ascii="宋体" w:hAnsi="宋体" w:eastAsia="宋体" w:cs="Times New Roman"/>
          <w:color w:val="auto"/>
          <w:kern w:val="0"/>
          <w:sz w:val="24"/>
          <w:szCs w:val="24"/>
          <w:lang w:val="en-US" w:eastAsia="zh-CN"/>
        </w:rPr>
      </w:pPr>
    </w:p>
    <w:p w14:paraId="61D6AD73">
      <w:pPr>
        <w:widowControl/>
        <w:spacing w:line="360" w:lineRule="auto"/>
        <w:jc w:val="left"/>
        <w:rPr>
          <w:rFonts w:hint="eastAsia" w:ascii="宋体" w:hAnsi="宋体" w:eastAsia="宋体" w:cs="Times New Roman"/>
          <w:color w:val="auto"/>
          <w:kern w:val="0"/>
          <w:sz w:val="24"/>
          <w:szCs w:val="24"/>
          <w:lang w:eastAsia="zh-Hans"/>
        </w:rPr>
      </w:pPr>
    </w:p>
    <w:p w14:paraId="509B0040">
      <w:pPr>
        <w:rPr>
          <w:rFonts w:hint="eastAsia"/>
          <w:color w:val="auto"/>
        </w:rPr>
      </w:pPr>
    </w:p>
    <w:p w14:paraId="24F3BE31">
      <w:pPr>
        <w:pStyle w:val="7"/>
        <w:rPr>
          <w:rFonts w:hint="eastAsia" w:ascii="宋体" w:hAnsi="宋体" w:eastAsia="宋体" w:cs="宋体"/>
          <w:color w:val="auto"/>
          <w:lang w:val="en-US" w:eastAsia="zh-Hans"/>
        </w:rPr>
      </w:pPr>
    </w:p>
    <w:p w14:paraId="09617394">
      <w:pPr>
        <w:rPr>
          <w:color w:val="auto"/>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72652"/>
    <w:multiLevelType w:val="multilevel"/>
    <w:tmpl w:val="2E8726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E12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First Indent 2"/>
    <w:basedOn w:val="2"/>
    <w:unhideWhenUsed/>
    <w:qFormat/>
    <w:uiPriority w:val="99"/>
    <w:pPr>
      <w:ind w:firstLine="420" w:firstLineChars="200"/>
    </w:pPr>
    <w:rPr>
      <w:rFonts w:ascii="Times New Roman"/>
      <w:kern w:val="2"/>
      <w:sz w:val="21"/>
      <w:szCs w:val="24"/>
    </w:rPr>
  </w:style>
  <w:style w:type="paragraph" w:styleId="6">
    <w:name w:val="List Paragraph"/>
    <w:basedOn w:val="1"/>
    <w:qFormat/>
    <w:uiPriority w:val="99"/>
    <w:pPr>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2026-07-05T23:44:38Z</dcterms:created>
  <dc:creator>Administrator</dc:creator>
  <cp:lastModifiedBy>hh</cp:lastModifiedBy>
  <dcterms:modified xsi:type="dcterms:W3CDTF">2026-07-05T23:45:04Z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9D2A3877F62741B6B4C9019BD3A7FF73_12</vt:lpwstr>
  </property>
</Properties>
</file>