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版本号：HRC-ZBDL-2026-0115420260901003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鄠邑校区部分道路综合改造项目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HRC-ZBDL-2026-01154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鄠邑校区部分道路综合改造项目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HRC-ZBDL-2026-01154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鄠邑校区部分道路综合改造项目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校区部分道路综合改造项目。采购包1：本项目为鄠邑校区紫叶李林间区域，为林间休闲景观提升改造项目。主要建设内容包含：林间透水砖步道铺设、步道路缘石安装、步道侧面景观灯带安装、景观休闲凉亭修建、两处休闲小广场铺装及景观完善。项目整体遵循林间生态、美观整洁、安全耐久、透水环保原则，满足居民林间散步、休闲停留、观景休憩功能，整体施工质量达到园林景观工程合格验收标准。采购包2： 本项目为博思楼南侧新建道路项目，主要包含混凝土车行路面浇筑、透水砖人行道路面铺设、照明电缆及电源线敷设、道路路灯安装全套施工内容。工程需实现场地道路硬化、人行通行、排水透水、夜间照明等功能，整体施工质量符合市政小型基础设施建设标准，完工后场地平整美观、排水通畅、照明稳定、安全耐用，满足日常通行及场地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采购包1（鄠邑校区紫叶李林间道路改造项目）：属于专门面向中小企业采购。</w:t>
      </w:r>
    </w:p>
    <w:p>
      <w:pPr>
        <w:pStyle w:val="null3"/>
      </w:pPr>
      <w:r>
        <w:rPr>
          <w:rFonts w:ascii="仿宋_GB2312" w:hAnsi="仿宋_GB2312" w:cs="仿宋_GB2312" w:eastAsia="仿宋_GB2312"/>
        </w:rPr>
        <w:t>采购包2（鄠邑校区博思楼南侧新建道路项目）：属于专门面向中小企业采购。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负责人）委托授权书/身份证明：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3、供应商资质要求：供应商具备建筑工程施工总承包三级及以上（含三级）资质或市政公用工程施工总承包资质三级及以上(含三级)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经理：拟委派的项目经理应具备建筑工程专业二级以上（含二级）注册建造师资格，有效的安全生产考核合格证书（建安B证），在本单位注册，且未担任其他在建工程项目经理（提供承诺），提供近半年内任一个月在本单位的社保缴费证明材料。 供应商需在项目电子化交易系统中按要求上传相应证明文件并进行电子签章。</w:t>
      </w:r>
    </w:p>
    <w:p>
      <w:pPr>
        <w:pStyle w:val="null3"/>
      </w:pPr>
      <w:r>
        <w:rPr>
          <w:rFonts w:ascii="仿宋_GB2312" w:hAnsi="仿宋_GB2312" w:cs="仿宋_GB2312" w:eastAsia="仿宋_GB2312"/>
        </w:rPr>
        <w:t>5、供应商及拟派项目经理信息查询：提供陕西省住房和城乡建设厅（https://js.shaanxi.gov.cn）《陕西省建筑市场监管与诚信信息发布平台》企业和拟派项目经理查询截图；外省进陕企业需提供陕西省住房和城乡建设厅官网企业库外省进陕企业信息首页截图。 供应商需在项目电子化交易系统中按要求上传相应证明文件并进行电子签章。</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负责人）委托授权书/身份证明：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3、供应商资质要求：供应商具备建筑工程施工总承包三级及以上（含三级）资质或市政公用工程施工总承包资质三级及以上(含三级)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经理：拟委派的项目经理应具备建筑工程专业二级以上（含二级）注册建造师资格，有效的安全生产考核合格证书（建安B证），在本单位注册，且未担任其他在建工程项目经理（提供承诺），提供近半年内任一个月在本单位的社保缴费证明材料。 供应商需在项目电子化交易系统中按要求上传相应证明文件并进行电子签章。</w:t>
      </w:r>
    </w:p>
    <w:p>
      <w:pPr>
        <w:pStyle w:val="null3"/>
      </w:pPr>
      <w:r>
        <w:rPr>
          <w:rFonts w:ascii="仿宋_GB2312" w:hAnsi="仿宋_GB2312" w:cs="仿宋_GB2312" w:eastAsia="仿宋_GB2312"/>
        </w:rPr>
        <w:t>5、供应商及拟派项目经理信息查询：提供陕西省住房和城乡建设厅（https://js.shaanxi.gov.cn）《陕西省建筑市场监管与诚信信息发布平台》企业和拟派项目经理查询截图；外省进陕企业需提供陕西省住房和城乡建设厅官网企业库外省进陕企业信息首页截图。 供应商需在项目电子化交易系统中按要求上传相应证明文件并进行电子签章。</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15209203045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采购包1：493,996.32元</w:t>
            </w:r>
          </w:p>
          <w:p>
            <w:pPr>
              <w:pStyle w:val="null3"/>
            </w:pPr>
            <w:r>
              <w:rPr>
                <w:rFonts w:ascii="仿宋_GB2312" w:hAnsi="仿宋_GB2312" w:cs="仿宋_GB2312" w:eastAsia="仿宋_GB2312"/>
              </w:rPr>
              <w:t>采购包2：299,657.13元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开户银行：平安银行西安分行营业部/平安银行西安分行（行号：307791041016）</w:t>
            </w:r>
          </w:p>
          <w:p>
            <w:pPr>
              <w:pStyle w:val="null3"/>
            </w:pPr>
            <w:r>
              <w:rPr>
                <w:rFonts w:ascii="仿宋_GB2312" w:hAnsi="仿宋_GB2312" w:cs="仿宋_GB2312" w:eastAsia="仿宋_GB2312"/>
              </w:rPr>
              <w:t>银行账号：30205868007229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代理服务费收费标准：以成交金额为基数，参照国家计委颁布的《招标代理服务收费管理暂行办法》(计价格[2002]1980号)号文件收费标准下浮10%收取。预算30万元(含)以下项目，按标准收取。 成交供应商在领取成交通知书前，须向采购代理机构支付代理服务费。 缴纳方式：银行转账。户名：华睿诚项目管理有限公司 开户银行：西安银行小寨东路支行 账 号：816011580000101224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联系人：何幸</w:t>
      </w:r>
    </w:p>
    <w:p>
      <w:pPr>
        <w:pStyle w:val="null3"/>
      </w:pPr>
      <w:r>
        <w:rPr>
          <w:rFonts w:ascii="仿宋_GB2312" w:hAnsi="仿宋_GB2312" w:cs="仿宋_GB2312" w:eastAsia="仿宋_GB2312"/>
        </w:rPr>
        <w:t>联系电话：15209203045</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493,996.32</w:t>
      </w:r>
    </w:p>
    <w:p>
      <w:pPr>
        <w:pStyle w:val="null3"/>
      </w:pPr>
      <w:r>
        <w:rPr>
          <w:rFonts w:ascii="仿宋_GB2312" w:hAnsi="仿宋_GB2312" w:cs="仿宋_GB2312" w:eastAsia="仿宋_GB2312"/>
        </w:rPr>
        <w:t>采购包最高限价（元）: 493,996.32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鄠邑校区紫叶李林间道路改造项目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493,996.32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299,657.13</w:t>
      </w:r>
    </w:p>
    <w:p>
      <w:pPr>
        <w:pStyle w:val="null3"/>
      </w:pPr>
      <w:r>
        <w:rPr>
          <w:rFonts w:ascii="仿宋_GB2312" w:hAnsi="仿宋_GB2312" w:cs="仿宋_GB2312" w:eastAsia="仿宋_GB2312"/>
        </w:rPr>
        <w:t>采购包最高限价（元）: 299,657.13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鄠邑校区博思楼南侧新建道路项目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299,657.13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标的名称：鄠邑校区紫叶李林间道路改造项目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rPr>
              <w:t>采购内容和需求</w:t>
            </w:r>
            <w:r>
              <w:rPr>
                <w:rFonts w:ascii="仿宋_GB2312" w:hAnsi="仿宋_GB2312" w:cs="仿宋_GB2312" w:eastAsia="仿宋_GB2312"/>
                <w:sz w:val="24"/>
              </w:rPr>
              <w:t>：</w:t>
            </w:r>
          </w:p>
          <w:p>
            <w:pPr>
              <w:pStyle w:val="null3"/>
            </w:pPr>
            <w:r>
              <w:rPr>
                <w:rFonts w:ascii="仿宋_GB2312" w:hAnsi="仿宋_GB2312" w:cs="仿宋_GB2312" w:eastAsia="仿宋_GB2312"/>
                <w:sz w:val="24"/>
              </w:rPr>
              <w:t>本项目为鄠邑校区紫叶李林间区域，为林间休闲景观提升改造项目。主要建设内容包含：林间透水砖步道铺设、步道路缘石安装、步道侧面景观灯带安装、景观休闲凉亭修建、两处休闲小广场铺装及景观完善。项目整体遵循林间生态、美观整洁、安全耐久、透水环保原则，满足居民林间散步、休闲停留、观景休憩功能，整体施工质量达到园林景观工程合格验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二、总体采购及施工要求</w:t>
            </w:r>
          </w:p>
          <w:p>
            <w:pPr>
              <w:pStyle w:val="null3"/>
            </w:pPr>
            <w:r>
              <w:rPr>
                <w:rFonts w:ascii="仿宋_GB2312" w:hAnsi="仿宋_GB2312" w:cs="仿宋_GB2312" w:eastAsia="仿宋_GB2312"/>
                <w:sz w:val="24"/>
              </w:rPr>
              <w:t>1. 质量标准：符合《园林绿化工程施工及验收规范》《透水铺装技术规程》《城市道路照明工程施工及验收规范》等国家及地方现行规范，工程一次性验收合格。</w:t>
            </w:r>
          </w:p>
          <w:p>
            <w:pPr>
              <w:pStyle w:val="null3"/>
            </w:pPr>
            <w:r>
              <w:rPr>
                <w:rFonts w:ascii="仿宋_GB2312" w:hAnsi="仿宋_GB2312" w:cs="仿宋_GB2312" w:eastAsia="仿宋_GB2312"/>
                <w:sz w:val="24"/>
              </w:rPr>
              <w:t>2. 整体观感：线型顺直、铺装平整、设施稳固、灯光柔和、场地干净整洁，与林间环境协调统一。</w:t>
            </w:r>
          </w:p>
          <w:p>
            <w:pPr>
              <w:pStyle w:val="null3"/>
            </w:pPr>
            <w:r>
              <w:rPr>
                <w:rFonts w:ascii="仿宋_GB2312" w:hAnsi="仿宋_GB2312" w:cs="仿宋_GB2312" w:eastAsia="仿宋_GB2312"/>
                <w:sz w:val="24"/>
              </w:rPr>
              <w:t>3. 质保要求：整体工程质保期2年，铺装松动、开裂、下沉、灯带损坏、亭子构件松动等问题由施工方免费维修更换。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三、分项详细技术要求</w:t>
            </w:r>
          </w:p>
          <w:p>
            <w:pPr>
              <w:pStyle w:val="null3"/>
            </w:pPr>
            <w:r>
              <w:rPr>
                <w:rFonts w:ascii="仿宋_GB2312" w:hAnsi="仿宋_GB2312" w:cs="仿宋_GB2312" w:eastAsia="仿宋_GB2312"/>
                <w:sz w:val="24"/>
              </w:rPr>
              <w:t>（一）林间透水砖步道工程</w:t>
            </w:r>
          </w:p>
          <w:p>
            <w:pPr>
              <w:pStyle w:val="null3"/>
            </w:pPr>
            <w:r>
              <w:rPr>
                <w:rFonts w:ascii="仿宋_GB2312" w:hAnsi="仿宋_GB2312" w:cs="仿宋_GB2312" w:eastAsia="仿宋_GB2312"/>
                <w:sz w:val="24"/>
              </w:rPr>
              <w:t>1. 场地基层处理</w:t>
            </w:r>
          </w:p>
          <w:p>
            <w:pPr>
              <w:pStyle w:val="null3"/>
            </w:pPr>
            <w:r>
              <w:rPr>
                <w:rFonts w:ascii="仿宋_GB2312" w:hAnsi="仿宋_GB2312" w:cs="仿宋_GB2312" w:eastAsia="仿宋_GB2312"/>
                <w:sz w:val="24"/>
              </w:rPr>
              <w:t>林间原有杂草、浮土、树根杂物全部清理干净，步道基底整平、碾压夯实，软弱土层进行换填处理，基底密实、无坑洼、无松软沉降点。根据林间排水趋势设置自然排水坡度，保证雨后不积水、不淤水。</w:t>
            </w:r>
          </w:p>
          <w:p>
            <w:pPr>
              <w:pStyle w:val="null3"/>
            </w:pPr>
            <w:r>
              <w:rPr>
                <w:rFonts w:ascii="仿宋_GB2312" w:hAnsi="仿宋_GB2312" w:cs="仿宋_GB2312" w:eastAsia="仿宋_GB2312"/>
                <w:sz w:val="24"/>
              </w:rPr>
              <w:t>2. 垫层结构要求</w:t>
            </w:r>
          </w:p>
          <w:p>
            <w:pPr>
              <w:pStyle w:val="null3"/>
            </w:pPr>
            <w:r>
              <w:rPr>
                <w:rFonts w:ascii="仿宋_GB2312" w:hAnsi="仿宋_GB2312" w:cs="仿宋_GB2312" w:eastAsia="仿宋_GB2312"/>
                <w:sz w:val="24"/>
              </w:rPr>
              <w:t>步道采用透水铺装标准结构：素土夯实</w:t>
            </w:r>
            <w:r>
              <w:rPr>
                <w:rFonts w:ascii="仿宋_GB2312" w:hAnsi="仿宋_GB2312" w:cs="仿宋_GB2312" w:eastAsia="仿宋_GB2312"/>
                <w:sz w:val="24"/>
              </w:rPr>
              <w:t>+ 级配碎石透水垫层 + 中砂找平层。垫层摊铺均匀、压实到位，厚度均匀一致，整体透水、稳定、不下沉。</w:t>
            </w:r>
          </w:p>
          <w:p>
            <w:pPr>
              <w:pStyle w:val="null3"/>
            </w:pPr>
            <w:r>
              <w:rPr>
                <w:rFonts w:ascii="仿宋_GB2312" w:hAnsi="仿宋_GB2312" w:cs="仿宋_GB2312" w:eastAsia="仿宋_GB2312"/>
                <w:sz w:val="24"/>
              </w:rPr>
              <w:t>3. 透水砖技术参数</w:t>
            </w:r>
          </w:p>
          <w:p>
            <w:pPr>
              <w:pStyle w:val="null3"/>
            </w:pPr>
            <w:r>
              <w:rPr>
                <w:rFonts w:ascii="仿宋_GB2312" w:hAnsi="仿宋_GB2312" w:cs="仿宋_GB2312" w:eastAsia="仿宋_GB2312"/>
                <w:sz w:val="24"/>
              </w:rPr>
              <w:t>采用高强度生态透水砖，适配林间户外环境，耐冻、耐磨、防滑、透水性强。砖体色泽均匀、边角完整、无裂纹、无缺角、无变形。铺装完成表面平整、缝隙均匀、线条顺直、无空鼓、无松动。透水性能满足林间雨水下渗要求，不积水、不积泥。</w:t>
            </w:r>
          </w:p>
          <w:p>
            <w:pPr>
              <w:pStyle w:val="null3"/>
            </w:pPr>
            <w:r>
              <w:rPr>
                <w:rFonts w:ascii="仿宋_GB2312" w:hAnsi="仿宋_GB2312" w:cs="仿宋_GB2312" w:eastAsia="仿宋_GB2312"/>
                <w:sz w:val="24"/>
              </w:rPr>
              <w:t>4. 步道整体效果</w:t>
            </w:r>
          </w:p>
          <w:p>
            <w:pPr>
              <w:pStyle w:val="null3"/>
            </w:pPr>
            <w:r>
              <w:rPr>
                <w:rFonts w:ascii="仿宋_GB2312" w:hAnsi="仿宋_GB2312" w:cs="仿宋_GB2312" w:eastAsia="仿宋_GB2312"/>
                <w:sz w:val="24"/>
              </w:rPr>
              <w:t>步道线型自然流畅，贴合林间走势，铺装平整统一，行走舒适，整体景观整洁大方。</w:t>
            </w:r>
          </w:p>
          <w:p>
            <w:pPr>
              <w:pStyle w:val="null3"/>
            </w:pPr>
            <w:r>
              <w:rPr>
                <w:rFonts w:ascii="仿宋_GB2312" w:hAnsi="仿宋_GB2312" w:cs="仿宋_GB2312" w:eastAsia="仿宋_GB2312"/>
                <w:sz w:val="24"/>
              </w:rPr>
              <w:t>（二）步道路缘石安装工程</w:t>
            </w:r>
          </w:p>
          <w:p>
            <w:pPr>
              <w:pStyle w:val="null3"/>
            </w:pPr>
            <w:r>
              <w:rPr>
                <w:rFonts w:ascii="仿宋_GB2312" w:hAnsi="仿宋_GB2312" w:cs="仿宋_GB2312" w:eastAsia="仿宋_GB2312"/>
                <w:sz w:val="24"/>
              </w:rPr>
              <w:t>1. 步道两侧统一安装景观路缘石，材质坚实、耐风化、不易破损。</w:t>
            </w:r>
          </w:p>
          <w:p>
            <w:pPr>
              <w:pStyle w:val="null3"/>
            </w:pPr>
            <w:r>
              <w:rPr>
                <w:rFonts w:ascii="仿宋_GB2312" w:hAnsi="仿宋_GB2312" w:cs="仿宋_GB2312" w:eastAsia="仿宋_GB2312"/>
                <w:sz w:val="24"/>
              </w:rPr>
              <w:t>2. 路缘石安装顺直度统一，高度一致、拼缝严密、稳固不晃动，基础坐浆密实，无松动、无外翻、无沉降。</w:t>
            </w:r>
          </w:p>
          <w:p>
            <w:pPr>
              <w:pStyle w:val="null3"/>
            </w:pPr>
            <w:r>
              <w:rPr>
                <w:rFonts w:ascii="仿宋_GB2312" w:hAnsi="仿宋_GB2312" w:cs="仿宋_GB2312" w:eastAsia="仿宋_GB2312"/>
                <w:sz w:val="24"/>
              </w:rPr>
              <w:t>3. 拐角、转弯处圆弧顺滑，收口美观，与步道铺装衔接自然，线条整洁规整。</w:t>
            </w:r>
          </w:p>
          <w:p>
            <w:pPr>
              <w:pStyle w:val="null3"/>
            </w:pPr>
            <w:r>
              <w:rPr>
                <w:rFonts w:ascii="仿宋_GB2312" w:hAnsi="仿宋_GB2312" w:cs="仿宋_GB2312" w:eastAsia="仿宋_GB2312"/>
                <w:sz w:val="24"/>
              </w:rPr>
              <w:t>（三）步道侧面景观灯带安装工程</w:t>
            </w:r>
          </w:p>
          <w:p>
            <w:pPr>
              <w:pStyle w:val="null3"/>
            </w:pPr>
            <w:r>
              <w:rPr>
                <w:rFonts w:ascii="仿宋_GB2312" w:hAnsi="仿宋_GB2312" w:cs="仿宋_GB2312" w:eastAsia="仿宋_GB2312"/>
                <w:sz w:val="24"/>
              </w:rPr>
              <w:t>1. 在步道路缘石侧边或步道内侧位置，通长加装户外防水景观灯带，整体连续、无断点、光影均匀柔和。</w:t>
            </w:r>
          </w:p>
          <w:p>
            <w:pPr>
              <w:pStyle w:val="null3"/>
            </w:pPr>
            <w:r>
              <w:rPr>
                <w:rFonts w:ascii="仿宋_GB2312" w:hAnsi="仿宋_GB2312" w:cs="仿宋_GB2312" w:eastAsia="仿宋_GB2312"/>
                <w:sz w:val="24"/>
              </w:rPr>
              <w:t>2. 灯带采用户外专用防水灯带，防水等级IP65以上，抗老化、耐雨淋、耐暴晒、低温不脆裂，适合常年户外林间环境。</w:t>
            </w:r>
          </w:p>
          <w:p>
            <w:pPr>
              <w:pStyle w:val="null3"/>
            </w:pPr>
            <w:r>
              <w:rPr>
                <w:rFonts w:ascii="仿宋_GB2312" w:hAnsi="仿宋_GB2312" w:cs="仿宋_GB2312" w:eastAsia="仿宋_GB2312"/>
                <w:sz w:val="24"/>
              </w:rPr>
              <w:t>3. 线路隐蔽敷设，线缆防踩踏、防拉扯、防老化，接线处全部防水绝缘处理，无裸露线头。</w:t>
            </w:r>
          </w:p>
          <w:p>
            <w:pPr>
              <w:pStyle w:val="null3"/>
            </w:pPr>
            <w:r>
              <w:rPr>
                <w:rFonts w:ascii="仿宋_GB2312" w:hAnsi="仿宋_GB2312" w:cs="仿宋_GB2312" w:eastAsia="仿宋_GB2312"/>
                <w:sz w:val="24"/>
              </w:rPr>
              <w:t>4. 灯光色调统一，亮度柔和不刺眼，满足夜间步道景观亮化、引导通行效果，整体夜景整洁美观。</w:t>
            </w:r>
          </w:p>
          <w:p>
            <w:pPr>
              <w:pStyle w:val="null3"/>
            </w:pPr>
            <w:r>
              <w:rPr>
                <w:rFonts w:ascii="仿宋_GB2312" w:hAnsi="仿宋_GB2312" w:cs="仿宋_GB2312" w:eastAsia="仿宋_GB2312"/>
                <w:sz w:val="24"/>
              </w:rPr>
              <w:t>5. 安装平整顺直，无扭曲、无鼓包、无脱落，通电后亮度均匀、无频闪、无局部暗区。</w:t>
            </w:r>
          </w:p>
          <w:p>
            <w:pPr>
              <w:pStyle w:val="null3"/>
            </w:pPr>
            <w:r>
              <w:rPr>
                <w:rFonts w:ascii="仿宋_GB2312" w:hAnsi="仿宋_GB2312" w:cs="仿宋_GB2312" w:eastAsia="仿宋_GB2312"/>
                <w:sz w:val="24"/>
              </w:rPr>
              <w:t>（四）林间休闲凉亭修建工程</w:t>
            </w:r>
          </w:p>
          <w:p>
            <w:pPr>
              <w:pStyle w:val="null3"/>
            </w:pPr>
            <w:r>
              <w:rPr>
                <w:rFonts w:ascii="仿宋_GB2312" w:hAnsi="仿宋_GB2312" w:cs="仿宋_GB2312" w:eastAsia="仿宋_GB2312"/>
                <w:sz w:val="24"/>
              </w:rPr>
              <w:t>1. 在林间适宜位置新建景观休闲凉亭，结构稳固、造型简约大气，适配林间景观风格。</w:t>
            </w:r>
          </w:p>
          <w:p>
            <w:pPr>
              <w:pStyle w:val="null3"/>
            </w:pPr>
            <w:r>
              <w:rPr>
                <w:rFonts w:ascii="仿宋_GB2312" w:hAnsi="仿宋_GB2312" w:cs="仿宋_GB2312" w:eastAsia="仿宋_GB2312"/>
                <w:sz w:val="24"/>
              </w:rPr>
              <w:t>2. 凉亭基础：采用混凝土独立基础，基础夯实浇筑到位，养护达标，杜绝后期沉降、倾斜。</w:t>
            </w:r>
          </w:p>
          <w:p>
            <w:pPr>
              <w:pStyle w:val="null3"/>
            </w:pPr>
            <w:r>
              <w:rPr>
                <w:rFonts w:ascii="仿宋_GB2312" w:hAnsi="仿宋_GB2312" w:cs="仿宋_GB2312" w:eastAsia="仿宋_GB2312"/>
                <w:sz w:val="24"/>
              </w:rPr>
              <w:t>3. 主体结构：框架稳固、焊接/拼接密实、构件平整牢固，防腐防锈处理到位，户外耐久抗风化。</w:t>
            </w:r>
          </w:p>
          <w:p>
            <w:pPr>
              <w:pStyle w:val="null3"/>
            </w:pPr>
            <w:r>
              <w:rPr>
                <w:rFonts w:ascii="仿宋_GB2312" w:hAnsi="仿宋_GB2312" w:cs="仿宋_GB2312" w:eastAsia="仿宋_GB2312"/>
                <w:sz w:val="24"/>
              </w:rPr>
              <w:t>4. 亭顶屋面平整、排水顺畅、不积水、不渗漏；亭内平整干净，可供行人遮阳、避雨、临时休息。</w:t>
            </w:r>
          </w:p>
          <w:p>
            <w:pPr>
              <w:pStyle w:val="null3"/>
            </w:pPr>
            <w:r>
              <w:rPr>
                <w:rFonts w:ascii="仿宋_GB2312" w:hAnsi="仿宋_GB2312" w:cs="仿宋_GB2312" w:eastAsia="仿宋_GB2312"/>
                <w:sz w:val="24"/>
              </w:rPr>
              <w:t>5. 整体外观整洁统一，结构安全可靠，无松动异响、无破损缺陷。</w:t>
            </w:r>
          </w:p>
          <w:p>
            <w:pPr>
              <w:pStyle w:val="null3"/>
            </w:pPr>
            <w:r>
              <w:rPr>
                <w:rFonts w:ascii="仿宋_GB2312" w:hAnsi="仿宋_GB2312" w:cs="仿宋_GB2312" w:eastAsia="仿宋_GB2312"/>
                <w:sz w:val="24"/>
              </w:rPr>
              <w:t>（五）两处休闲休息广场铺装工程</w:t>
            </w:r>
          </w:p>
          <w:p>
            <w:pPr>
              <w:pStyle w:val="null3"/>
            </w:pPr>
            <w:r>
              <w:rPr>
                <w:rFonts w:ascii="仿宋_GB2312" w:hAnsi="仿宋_GB2312" w:cs="仿宋_GB2312" w:eastAsia="仿宋_GB2312"/>
                <w:sz w:val="24"/>
              </w:rPr>
              <w:t>1. 本项目新建两处林间休闲小广场，场地整平压实，地形顺畅自然。</w:t>
            </w:r>
          </w:p>
          <w:p>
            <w:pPr>
              <w:pStyle w:val="null3"/>
            </w:pPr>
            <w:r>
              <w:rPr>
                <w:rFonts w:ascii="仿宋_GB2312" w:hAnsi="仿宋_GB2312" w:cs="仿宋_GB2312" w:eastAsia="仿宋_GB2312"/>
                <w:sz w:val="24"/>
              </w:rPr>
              <w:t>2. 广场采用生态透水铺装工艺，结构稳固、平整度高、排水顺畅、整体规整大气。</w:t>
            </w:r>
          </w:p>
          <w:p>
            <w:pPr>
              <w:pStyle w:val="null3"/>
            </w:pPr>
            <w:r>
              <w:rPr>
                <w:rFonts w:ascii="仿宋_GB2312" w:hAnsi="仿宋_GB2312" w:cs="仿宋_GB2312" w:eastAsia="仿宋_GB2312"/>
                <w:sz w:val="24"/>
              </w:rPr>
              <w:t>3. 广场边线顺直、方正统一，铺装缝隙均匀、表面干净平整，无空鼓、松动、破损、积水。</w:t>
            </w:r>
          </w:p>
          <w:p>
            <w:pPr>
              <w:pStyle w:val="null3"/>
            </w:pPr>
            <w:r>
              <w:rPr>
                <w:rFonts w:ascii="仿宋_GB2312" w:hAnsi="仿宋_GB2312" w:cs="仿宋_GB2312" w:eastAsia="仿宋_GB2312"/>
                <w:sz w:val="24"/>
              </w:rPr>
              <w:t>4. 广场区域视野开阔、整洁舒适，满足居民驻足休息、闲谈停留、观景休憩使用需求。</w:t>
            </w:r>
          </w:p>
          <w:p>
            <w:pPr>
              <w:pStyle w:val="null3"/>
            </w:pPr>
            <w:r>
              <w:rPr>
                <w:rFonts w:ascii="仿宋_GB2312" w:hAnsi="仿宋_GB2312" w:cs="仿宋_GB2312" w:eastAsia="仿宋_GB2312"/>
                <w:sz w:val="24"/>
              </w:rPr>
              <w:t>5. 广场与林间步道顺畅衔接，过渡自然，整体景观统一协调。</w:t>
            </w:r>
          </w:p>
          <w:p>
            <w:pPr>
              <w:pStyle w:val="null3"/>
            </w:pPr>
            <w:r>
              <w:rPr>
                <w:rFonts w:ascii="仿宋_GB2312" w:hAnsi="仿宋_GB2312" w:cs="仿宋_GB2312" w:eastAsia="仿宋_GB2312"/>
                <w:sz w:val="24"/>
              </w:rPr>
              <w:t>四、电气及亮化通用要求</w:t>
            </w:r>
          </w:p>
          <w:p>
            <w:pPr>
              <w:pStyle w:val="null3"/>
            </w:pPr>
            <w:r>
              <w:rPr>
                <w:rFonts w:ascii="仿宋_GB2312" w:hAnsi="仿宋_GB2312" w:cs="仿宋_GB2312" w:eastAsia="仿宋_GB2312"/>
                <w:sz w:val="24"/>
              </w:rPr>
              <w:t>1. 所有线缆为国标户外专用线缆，绝缘、防水、耐老化，敷设规整、隐蔽美观。</w:t>
            </w:r>
          </w:p>
          <w:p>
            <w:pPr>
              <w:pStyle w:val="null3"/>
            </w:pPr>
            <w:r>
              <w:rPr>
                <w:rFonts w:ascii="仿宋_GB2312" w:hAnsi="仿宋_GB2312" w:cs="仿宋_GB2312" w:eastAsia="仿宋_GB2312"/>
                <w:sz w:val="24"/>
              </w:rPr>
              <w:t>2. 所有接头、分支点全部做防水、绝缘、防腐处理，杜绝漏电、短路、故障隐患。</w:t>
            </w:r>
          </w:p>
          <w:p>
            <w:pPr>
              <w:pStyle w:val="null3"/>
            </w:pPr>
            <w:r>
              <w:rPr>
                <w:rFonts w:ascii="仿宋_GB2312" w:hAnsi="仿宋_GB2312" w:cs="仿宋_GB2312" w:eastAsia="仿宋_GB2312"/>
                <w:sz w:val="24"/>
              </w:rPr>
              <w:t>3. 全线通电调试正常，灯光均匀、运行稳定，可长期全天候户外使用。</w:t>
            </w:r>
          </w:p>
          <w:p>
            <w:pPr>
              <w:pStyle w:val="null3"/>
            </w:pPr>
            <w:r>
              <w:rPr>
                <w:rFonts w:ascii="仿宋_GB2312" w:hAnsi="仿宋_GB2312" w:cs="仿宋_GB2312" w:eastAsia="仿宋_GB2312"/>
                <w:sz w:val="24"/>
              </w:rPr>
              <w:t>五、安全及文明施工要求</w:t>
            </w:r>
          </w:p>
          <w:p>
            <w:pPr>
              <w:pStyle w:val="null3"/>
            </w:pPr>
            <w:r>
              <w:rPr>
                <w:rFonts w:ascii="仿宋_GB2312" w:hAnsi="仿宋_GB2312" w:cs="仿宋_GB2312" w:eastAsia="仿宋_GB2312"/>
                <w:sz w:val="24"/>
              </w:rPr>
              <w:t>1. 林间施工做好成品保护，尽量保护原有绿植、树木、原有景观，禁止随意破坏植被。</w:t>
            </w:r>
          </w:p>
          <w:p>
            <w:pPr>
              <w:pStyle w:val="null3"/>
            </w:pPr>
            <w:r>
              <w:rPr>
                <w:rFonts w:ascii="仿宋_GB2312" w:hAnsi="仿宋_GB2312" w:cs="仿宋_GB2312" w:eastAsia="仿宋_GB2312"/>
                <w:sz w:val="24"/>
              </w:rPr>
              <w:t>2. 施工区域做好围挡、警示标识，保证行人安全。</w:t>
            </w:r>
          </w:p>
          <w:p>
            <w:pPr>
              <w:pStyle w:val="null3"/>
            </w:pPr>
            <w:r>
              <w:rPr>
                <w:rFonts w:ascii="仿宋_GB2312" w:hAnsi="仿宋_GB2312" w:cs="仿宋_GB2312" w:eastAsia="仿宋_GB2312"/>
                <w:sz w:val="24"/>
              </w:rPr>
              <w:t>3. 施工垃圾日产日清，完工后场地全面清理、平整、保洁，做到工完场清。</w:t>
            </w:r>
          </w:p>
          <w:p>
            <w:pPr>
              <w:pStyle w:val="null3"/>
            </w:pPr>
            <w:r>
              <w:rPr>
                <w:rFonts w:ascii="仿宋_GB2312" w:hAnsi="仿宋_GB2312" w:cs="仿宋_GB2312" w:eastAsia="仿宋_GB2312"/>
                <w:sz w:val="24"/>
              </w:rPr>
              <w:t>六、验收标准</w:t>
            </w:r>
          </w:p>
          <w:p>
            <w:pPr>
              <w:pStyle w:val="null3"/>
            </w:pPr>
            <w:r>
              <w:rPr>
                <w:rFonts w:ascii="仿宋_GB2312" w:hAnsi="仿宋_GB2312" w:cs="仿宋_GB2312" w:eastAsia="仿宋_GB2312"/>
                <w:sz w:val="24"/>
              </w:rPr>
              <w:t>1. 步道平整牢固、透水良好、无积水、无松动破损。</w:t>
            </w:r>
          </w:p>
          <w:p>
            <w:pPr>
              <w:pStyle w:val="null3"/>
            </w:pPr>
            <w:r>
              <w:rPr>
                <w:rFonts w:ascii="仿宋_GB2312" w:hAnsi="仿宋_GB2312" w:cs="仿宋_GB2312" w:eastAsia="仿宋_GB2312"/>
                <w:sz w:val="24"/>
              </w:rPr>
              <w:t>2. 路缘石顺直稳固、线型美观。</w:t>
            </w:r>
          </w:p>
          <w:p>
            <w:pPr>
              <w:pStyle w:val="null3"/>
            </w:pPr>
            <w:r>
              <w:rPr>
                <w:rFonts w:ascii="仿宋_GB2312" w:hAnsi="仿宋_GB2312" w:cs="仿宋_GB2312" w:eastAsia="仿宋_GB2312"/>
                <w:sz w:val="24"/>
              </w:rPr>
              <w:t>3. 灯带亮化连续完整、亮度均匀、无故障、防水达标。</w:t>
            </w:r>
          </w:p>
          <w:p>
            <w:pPr>
              <w:pStyle w:val="null3"/>
            </w:pPr>
            <w:r>
              <w:rPr>
                <w:rFonts w:ascii="仿宋_GB2312" w:hAnsi="仿宋_GB2312" w:cs="仿宋_GB2312" w:eastAsia="仿宋_GB2312"/>
                <w:sz w:val="24"/>
              </w:rPr>
              <w:t>4. 凉亭结构安全稳固、外观整洁、无渗漏、无松动。</w:t>
            </w:r>
          </w:p>
          <w:p>
            <w:pPr>
              <w:pStyle w:val="null3"/>
            </w:pPr>
            <w:r>
              <w:rPr>
                <w:rFonts w:ascii="仿宋_GB2312" w:hAnsi="仿宋_GB2312" w:cs="仿宋_GB2312" w:eastAsia="仿宋_GB2312"/>
                <w:sz w:val="24"/>
              </w:rPr>
              <w:t>5. 休息广场平整规整、排水通畅、整体景观统一美观。</w:t>
            </w:r>
          </w:p>
          <w:p>
            <w:pPr>
              <w:pStyle w:val="null3"/>
            </w:pPr>
            <w:r>
              <w:rPr>
                <w:rFonts w:ascii="仿宋_GB2312" w:hAnsi="仿宋_GB2312" w:cs="仿宋_GB2312" w:eastAsia="仿宋_GB2312"/>
                <w:sz w:val="24"/>
              </w:rPr>
              <w:t>6. 所有工序资料齐全，整体一次性验收合格。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w:t>
            </w:r>
            <w:r>
              <w:rPr>
                <w:rFonts w:ascii="仿宋_GB2312" w:hAnsi="仿宋_GB2312" w:cs="仿宋_GB2312" w:eastAsia="仿宋_GB2312"/>
                <w:sz w:val="24"/>
              </w:rPr>
              <w:t>、施工质量总体要求</w:t>
            </w:r>
          </w:p>
          <w:p>
            <w:pPr>
              <w:pStyle w:val="null3"/>
            </w:pPr>
            <w:r>
              <w:rPr>
                <w:rFonts w:ascii="仿宋_GB2312" w:hAnsi="仿宋_GB2312" w:cs="仿宋_GB2312" w:eastAsia="仿宋_GB2312"/>
                <w:sz w:val="24"/>
              </w:rPr>
              <w:t>本项目所有材料、设备均需提供产品合格证、检测报告、环保认证证书，严禁使用假冒伪劣、不合格产品，材料进场需经校方验收合格后方可使用；</w:t>
            </w:r>
          </w:p>
          <w:p>
            <w:pPr>
              <w:pStyle w:val="null3"/>
            </w:pPr>
            <w:r>
              <w:rPr>
                <w:rFonts w:ascii="仿宋_GB2312" w:hAnsi="仿宋_GB2312" w:cs="仿宋_GB2312" w:eastAsia="仿宋_GB2312"/>
                <w:sz w:val="24"/>
              </w:rPr>
              <w:t>所有施工工序、材料选用、工艺做法严格遵循《建筑地面工程施工质量验收规范》《建筑给排水及采暖工程施工质量验收规范》《建筑电气工程施工质量验收规范》等国家、行业现行标准，同时满足西安石油大学校园基建管理相关规定，图纸、清单内所有施工内容不得降低设计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w:t>
            </w:r>
            <w:r>
              <w:rPr>
                <w:rFonts w:ascii="仿宋_GB2312" w:hAnsi="仿宋_GB2312" w:cs="仿宋_GB2312" w:eastAsia="仿宋_GB2312"/>
                <w:sz w:val="24"/>
              </w:rPr>
              <w:t>、安全与文明施工要求</w:t>
            </w:r>
          </w:p>
          <w:p>
            <w:pPr>
              <w:pStyle w:val="null3"/>
            </w:pPr>
            <w:r>
              <w:rPr>
                <w:rFonts w:ascii="仿宋_GB2312" w:hAnsi="仿宋_GB2312" w:cs="仿宋_GB2312" w:eastAsia="仿宋_GB2312"/>
                <w:sz w:val="24"/>
              </w:rPr>
              <w:t>施工单位需具备相应施工资质，施工人员持证上岗，严格遵守校园安全管理规定，做好施工安全防护，搭设安全防护设施，杜绝安全事故；</w:t>
            </w:r>
          </w:p>
          <w:p>
            <w:pPr>
              <w:pStyle w:val="null3"/>
            </w:pPr>
            <w:r>
              <w:rPr>
                <w:rFonts w:ascii="仿宋_GB2312" w:hAnsi="仿宋_GB2312" w:cs="仿宋_GB2312" w:eastAsia="仿宋_GB2312"/>
                <w:sz w:val="24"/>
              </w:rPr>
              <w:t>施工期间采取降噪、降尘措施，合理安排施工时间，避免影响学生正常学习、休息；施工人员服从校方管理，严禁在校园内违规动火、用电，做好施工现场消防安全工作；项目质保期不低于</w:t>
            </w:r>
            <w:r>
              <w:rPr>
                <w:rFonts w:ascii="仿宋_GB2312" w:hAnsi="仿宋_GB2312" w:cs="仿宋_GB2312" w:eastAsia="仿宋_GB2312"/>
                <w:sz w:val="24"/>
              </w:rPr>
              <w:t>2 年，质保期内出现质量问题，施工单位需无条件免费维修、更换。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六</w:t>
            </w:r>
            <w:r>
              <w:rPr>
                <w:rFonts w:ascii="仿宋_GB2312" w:hAnsi="仿宋_GB2312" w:cs="仿宋_GB2312" w:eastAsia="仿宋_GB2312"/>
                <w:sz w:val="24"/>
              </w:rPr>
              <w:t>、售后保障要求</w:t>
            </w:r>
          </w:p>
          <w:p>
            <w:pPr>
              <w:pStyle w:val="null3"/>
            </w:pPr>
            <w:r>
              <w:rPr>
                <w:rFonts w:ascii="仿宋_GB2312" w:hAnsi="仿宋_GB2312" w:cs="仿宋_GB2312" w:eastAsia="仿宋_GB2312"/>
                <w:sz w:val="24"/>
              </w:rPr>
              <w:t>供应商需提供完整的施工方案、材料清单、质保承诺；</w:t>
            </w:r>
          </w:p>
          <w:p>
            <w:pPr>
              <w:pStyle w:val="null3"/>
            </w:pPr>
            <w:r>
              <w:rPr>
                <w:rFonts w:ascii="仿宋_GB2312" w:hAnsi="仿宋_GB2312" w:cs="仿宋_GB2312" w:eastAsia="仿宋_GB2312"/>
                <w:sz w:val="24"/>
              </w:rPr>
              <w:t>质保期内，接到校方维修通知后，</w:t>
            </w:r>
            <w:r>
              <w:rPr>
                <w:rFonts w:ascii="仿宋_GB2312" w:hAnsi="仿宋_GB2312" w:cs="仿宋_GB2312" w:eastAsia="仿宋_GB2312"/>
                <w:sz w:val="24"/>
              </w:rPr>
              <w:t>24 小时内响应，48 小时内到场处理问题；</w:t>
            </w:r>
          </w:p>
          <w:p>
            <w:pPr>
              <w:pStyle w:val="null3"/>
            </w:pPr>
            <w:r>
              <w:rPr>
                <w:rFonts w:ascii="仿宋_GB2312" w:hAnsi="仿宋_GB2312" w:cs="仿宋_GB2312" w:eastAsia="仿宋_GB2312"/>
                <w:sz w:val="24"/>
              </w:rPr>
              <w:t>项目完工后，向校方移交完整的竣工资料、产品说明书及质保文件。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工期</w:t>
            </w:r>
            <w:r>
              <w:rPr>
                <w:rFonts w:ascii="仿宋_GB2312" w:hAnsi="仿宋_GB2312" w:cs="仿宋_GB2312" w:eastAsia="仿宋_GB2312"/>
                <w:sz w:val="24"/>
              </w:rPr>
              <w:t>25日历天</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此工程无预付款，工程施工完毕，经甲方验收合格后，</w:t>
            </w:r>
            <w:r>
              <w:rPr>
                <w:rFonts w:ascii="仿宋_GB2312" w:hAnsi="仿宋_GB2312" w:cs="仿宋_GB2312" w:eastAsia="仿宋_GB2312"/>
                <w:sz w:val="24"/>
              </w:rPr>
              <w:t>10日内支付合同总价款的80%；经工程审计结算审核后10日内，扣除核定总造价1%的水电费，支付余款。办理付款时，乙方应提供增值税专用发票。</w:t>
            </w:r>
          </w:p>
          <w:p>
            <w:pPr>
              <w:pStyle w:val="null3"/>
            </w:pPr>
            <w:r>
              <w:rPr>
                <w:rFonts w:ascii="仿宋_GB2312" w:hAnsi="仿宋_GB2312" w:cs="仿宋_GB2312" w:eastAsia="仿宋_GB2312"/>
                <w:sz w:val="24"/>
              </w:rPr>
              <w:t>承包人递交的工程结算资料应翔实、准确，经发包人委托的造价咨询机构进行结算审核，审减额在</w:t>
            </w:r>
            <w:r>
              <w:rPr>
                <w:rFonts w:ascii="仿宋_GB2312" w:hAnsi="仿宋_GB2312" w:cs="仿宋_GB2312" w:eastAsia="仿宋_GB2312"/>
                <w:sz w:val="24"/>
              </w:rPr>
              <w:t>5%以内（含5%）的审核成果费由发包人承担；审减额超过5%的，超出部分的审计成果费由承包人承担。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本项目共</w:t>
            </w:r>
            <w:r>
              <w:rPr>
                <w:rFonts w:ascii="仿宋_GB2312" w:hAnsi="仿宋_GB2312" w:cs="仿宋_GB2312" w:eastAsia="仿宋_GB2312"/>
                <w:sz w:val="24"/>
              </w:rPr>
              <w:t>2个采购包，实行兼投不兼中</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可以同时参加</w:t>
            </w:r>
            <w:r>
              <w:rPr>
                <w:rFonts w:ascii="仿宋_GB2312" w:hAnsi="仿宋_GB2312" w:cs="仿宋_GB2312" w:eastAsia="仿宋_GB2312"/>
                <w:sz w:val="24"/>
              </w:rPr>
              <w:t>（兼投）</w:t>
            </w:r>
            <w:r>
              <w:rPr>
                <w:rFonts w:ascii="仿宋_GB2312" w:hAnsi="仿宋_GB2312" w:cs="仿宋_GB2312" w:eastAsia="仿宋_GB2312"/>
                <w:sz w:val="24"/>
              </w:rPr>
              <w:t>，</w:t>
            </w:r>
            <w:r>
              <w:rPr>
                <w:rFonts w:ascii="仿宋_GB2312" w:hAnsi="仿宋_GB2312" w:cs="仿宋_GB2312" w:eastAsia="仿宋_GB2312"/>
                <w:sz w:val="24"/>
              </w:rPr>
              <w:t>但</w:t>
            </w:r>
            <w:r>
              <w:rPr>
                <w:rFonts w:ascii="仿宋_GB2312" w:hAnsi="仿宋_GB2312" w:cs="仿宋_GB2312" w:eastAsia="仿宋_GB2312"/>
                <w:sz w:val="24"/>
              </w:rPr>
              <w:t>同一供应商最多只能成交</w:t>
            </w:r>
            <w:r>
              <w:rPr>
                <w:rFonts w:ascii="仿宋_GB2312" w:hAnsi="仿宋_GB2312" w:cs="仿宋_GB2312" w:eastAsia="仿宋_GB2312"/>
                <w:sz w:val="24"/>
              </w:rPr>
              <w:t>1个采购包。评审顺序为采购包1-采购包2，同一供应商被推荐为前序采购包第一成交候选人的，该供应商不再参与采购包2的成交候选人推荐，按原排序由下一名合格供应商依次递补。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标的名称：鄠邑校区博思楼南侧新建道路项目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一、采购内容和需求：</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本项目为博思楼南侧新建道路项目，主要包含混凝土车行路面浇筑、透水砖人行道路面铺设、照明电缆及电源线敷设、道路路灯安装全套施工内容。工程需实现场地道路硬化、人行通行、排水透水、夜间照明等功能，整体施工质量符合市政小型基础设施建设标准，完工后场地平整美观、排水通畅、照明稳定、安全耐用，满足日常通行及场地使用需求。</w:t>
            </w:r>
          </w:p>
          <w:p>
            <w:pPr>
              <w:pStyle w:val="null3"/>
            </w:pPr>
            <w:r>
              <w:rPr>
                <w:rFonts w:ascii="仿宋_GB2312" w:hAnsi="仿宋_GB2312" w:cs="仿宋_GB2312" w:eastAsia="仿宋_GB2312"/>
                <w:sz w:val="24"/>
              </w:rPr>
              <w:t>1. 工程范围：包含原有空地场地清理、基层平整压实、混凝土主路面施工、人行道透水砖铺装、电力电缆管沟开挖、穿线敷设、接地施工、路灯基础浇筑、路灯安装调试、现场收尾保洁等全部配套工序，包工、包料、包施工、包验收、包质保。</w:t>
            </w:r>
          </w:p>
          <w:p>
            <w:pPr>
              <w:pStyle w:val="null3"/>
            </w:pPr>
            <w:r>
              <w:rPr>
                <w:rFonts w:ascii="仿宋_GB2312" w:hAnsi="仿宋_GB2312" w:cs="仿宋_GB2312" w:eastAsia="仿宋_GB2312"/>
                <w:sz w:val="24"/>
              </w:rPr>
              <w:t>2. 质量标准：所有材料、施工工艺、安装规范均符合国家现行市政道路、给排水、电气照明施工规范及验收标准，工程一次性验收合格。</w:t>
            </w:r>
          </w:p>
          <w:p>
            <w:pPr>
              <w:pStyle w:val="null3"/>
            </w:pPr>
            <w:r>
              <w:rPr>
                <w:rFonts w:ascii="仿宋_GB2312" w:hAnsi="仿宋_GB2312" w:cs="仿宋_GB2312" w:eastAsia="仿宋_GB2312"/>
                <w:sz w:val="24"/>
              </w:rPr>
              <w:t>3. 工期要求：按甲方现场工期要求完成全部施工内容，无拖延、无返工，保障场地及时投入使用。</w:t>
            </w:r>
          </w:p>
          <w:p>
            <w:pPr>
              <w:pStyle w:val="null3"/>
            </w:pPr>
            <w:r>
              <w:rPr>
                <w:rFonts w:ascii="仿宋_GB2312" w:hAnsi="仿宋_GB2312" w:cs="仿宋_GB2312" w:eastAsia="仿宋_GB2312"/>
                <w:sz w:val="24"/>
              </w:rPr>
              <w:t>4. 质保要求：整体工程质保期不少于2年，路面、透水砖、电缆线路、路灯设备出现开裂、破损、积水、断电、灯具故障等问题，施工方免费维修更换。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二、技术施工要求</w:t>
            </w:r>
          </w:p>
          <w:p>
            <w:pPr>
              <w:pStyle w:val="null3"/>
            </w:pPr>
            <w:r>
              <w:rPr>
                <w:rFonts w:ascii="仿宋_GB2312" w:hAnsi="仿宋_GB2312" w:cs="仿宋_GB2312" w:eastAsia="仿宋_GB2312"/>
                <w:sz w:val="24"/>
              </w:rPr>
              <w:t>（一）混凝土车行路面工程</w:t>
            </w:r>
          </w:p>
          <w:p>
            <w:pPr>
              <w:pStyle w:val="null3"/>
            </w:pPr>
            <w:r>
              <w:rPr>
                <w:rFonts w:ascii="仿宋_GB2312" w:hAnsi="仿宋_GB2312" w:cs="仿宋_GB2312" w:eastAsia="仿宋_GB2312"/>
                <w:sz w:val="24"/>
              </w:rPr>
              <w:t>1. 基层处理：施工前彻底清理场地杂草、浮土、建筑垃圾，对路基进行整平、碾压夯实，压实度达到95%以上，路基无沉降、无松软、无积水坑洼，软弱土层需换填处理，保障路基稳定性。</w:t>
            </w:r>
          </w:p>
          <w:p>
            <w:pPr>
              <w:pStyle w:val="null3"/>
            </w:pPr>
            <w:r>
              <w:rPr>
                <w:rFonts w:ascii="仿宋_GB2312" w:hAnsi="仿宋_GB2312" w:cs="仿宋_GB2312" w:eastAsia="仿宋_GB2312"/>
                <w:sz w:val="24"/>
              </w:rPr>
              <w:t>2. 混凝土材质要求：采用商品C30普通硅酸盐混凝土，配比合规、搅拌均匀，无离析、无结块，严禁使用过期、受潮、不合格水泥材料。</w:t>
            </w:r>
          </w:p>
          <w:p>
            <w:pPr>
              <w:pStyle w:val="null3"/>
            </w:pPr>
            <w:r>
              <w:rPr>
                <w:rFonts w:ascii="仿宋_GB2312" w:hAnsi="仿宋_GB2312" w:cs="仿宋_GB2312" w:eastAsia="仿宋_GB2312"/>
                <w:sz w:val="24"/>
              </w:rPr>
              <w:t>3. 路面施工工艺：路面按规范设置伸缩缝、沉降缝，分格规整；浇筑过程振捣密实，表面收光平整，无蜂窝、麻面、裂缝、起砂、空鼓等质量缺陷；路面坡度合理，预留排水坡度，确保雨天无大面积积水。</w:t>
            </w:r>
          </w:p>
          <w:p>
            <w:pPr>
              <w:pStyle w:val="null3"/>
            </w:pPr>
            <w:r>
              <w:rPr>
                <w:rFonts w:ascii="仿宋_GB2312" w:hAnsi="仿宋_GB2312" w:cs="仿宋_GB2312" w:eastAsia="仿宋_GB2312"/>
                <w:sz w:val="24"/>
              </w:rPr>
              <w:t>4. 成品养护：混凝土浇筑完成后及时覆膜洒水养护，养护周期不少于7天，养护期间设置围挡警示，禁止车辆、行人碾压踩踏，保障路面强度达标。</w:t>
            </w:r>
          </w:p>
          <w:p>
            <w:pPr>
              <w:pStyle w:val="null3"/>
            </w:pPr>
            <w:r>
              <w:rPr>
                <w:rFonts w:ascii="仿宋_GB2312" w:hAnsi="仿宋_GB2312" w:cs="仿宋_GB2312" w:eastAsia="仿宋_GB2312"/>
                <w:sz w:val="24"/>
              </w:rPr>
              <w:t>（二）透水砖人行道路面工程</w:t>
            </w:r>
          </w:p>
          <w:p>
            <w:pPr>
              <w:pStyle w:val="null3"/>
            </w:pPr>
            <w:r>
              <w:rPr>
                <w:rFonts w:ascii="仿宋_GB2312" w:hAnsi="仿宋_GB2312" w:cs="仿宋_GB2312" w:eastAsia="仿宋_GB2312"/>
                <w:sz w:val="24"/>
              </w:rPr>
              <w:t>1. 基层结构：人行道采用级配砂石垫层+透水基层结构，垫层摊铺均匀、压实平整，厚度符合市政人行道路施工标准，整体基层稳固、沉降均匀。</w:t>
            </w:r>
          </w:p>
          <w:p>
            <w:pPr>
              <w:pStyle w:val="null3"/>
            </w:pPr>
            <w:r>
              <w:rPr>
                <w:rFonts w:ascii="仿宋_GB2312" w:hAnsi="仿宋_GB2312" w:cs="仿宋_GB2312" w:eastAsia="仿宋_GB2312"/>
                <w:sz w:val="24"/>
              </w:rPr>
              <w:t>2. 透水砖材质参数：采用高强度混凝土透水砖，常规规格200×100×60mm，尺寸偏差≤±2mm；砖体颜色均匀、边角完整、无裂纹、无破损、无缺角；抗压强度≥40MPa，抗折强度≥4.5MPa，透水系数≥0.01cm/s，保水性≥0.6g/cm²，耐磨、抗冻、防滑，符合GB6566A类建材标准，适配户外长期暴晒、雨雪天气使用。</w:t>
            </w:r>
          </w:p>
          <w:p>
            <w:pPr>
              <w:pStyle w:val="null3"/>
            </w:pPr>
            <w:r>
              <w:rPr>
                <w:rFonts w:ascii="仿宋_GB2312" w:hAnsi="仿宋_GB2312" w:cs="仿宋_GB2312" w:eastAsia="仿宋_GB2312"/>
                <w:sz w:val="24"/>
              </w:rPr>
              <w:t>3. 铺装工艺：透水砖铺装排列整齐、缝隙均匀、线条顺直，勾缝饱满平整；路面平整度偏差≤2mm，整体无松动、无翘边、无空鼓；铺装完成后清理缝隙杂物，压实找平，保障人行道排水透水功能，雨水可快速下渗，无积水淤积。</w:t>
            </w:r>
          </w:p>
          <w:p>
            <w:pPr>
              <w:pStyle w:val="null3"/>
            </w:pPr>
            <w:r>
              <w:rPr>
                <w:rFonts w:ascii="仿宋_GB2312" w:hAnsi="仿宋_GB2312" w:cs="仿宋_GB2312" w:eastAsia="仿宋_GB2312"/>
                <w:sz w:val="24"/>
              </w:rPr>
              <w:t>（三）电源线、电缆铺设工程</w:t>
            </w:r>
          </w:p>
          <w:p>
            <w:pPr>
              <w:pStyle w:val="null3"/>
            </w:pPr>
            <w:r>
              <w:rPr>
                <w:rFonts w:ascii="仿宋_GB2312" w:hAnsi="仿宋_GB2312" w:cs="仿宋_GB2312" w:eastAsia="仿宋_GB2312"/>
                <w:sz w:val="24"/>
              </w:rPr>
              <w:t>1. 电缆材质要求：全部采用国标纯铜芯YJV-0.6/1kV低压电力电缆，导体为T2无氧铜，无氧化、无断丝、无杂质，严禁使用铝芯、铜包铝及非标劣质电缆；电缆绝缘层、保护层厚实耐磨，防水、防腐蚀、抗老化，适配户外地埋使用。</w:t>
            </w:r>
          </w:p>
          <w:p>
            <w:pPr>
              <w:pStyle w:val="null3"/>
            </w:pPr>
            <w:r>
              <w:rPr>
                <w:rFonts w:ascii="仿宋_GB2312" w:hAnsi="仿宋_GB2312" w:cs="仿宋_GB2312" w:eastAsia="仿宋_GB2312"/>
                <w:sz w:val="24"/>
              </w:rPr>
              <w:t>2. 管沟施工规范：采用地埋敷设方式，按规范开挖电缆沟槽，沟槽深度、宽度符合电气施工标准，槽底平整夯实，铺设细沙垫层；电缆敷设顺直、无扭曲、无挤压、无接头隐患，转弯、过路位置做好防护处理。</w:t>
            </w:r>
          </w:p>
          <w:p>
            <w:pPr>
              <w:pStyle w:val="null3"/>
            </w:pPr>
            <w:r>
              <w:rPr>
                <w:rFonts w:ascii="仿宋_GB2312" w:hAnsi="仿宋_GB2312" w:cs="仿宋_GB2312" w:eastAsia="仿宋_GB2312"/>
                <w:sz w:val="24"/>
              </w:rPr>
              <w:t>3. 配套施工要求：电缆过路、入户位置加装防护套管，做好防水封堵；全线设置电缆标识桩、警示标识；施工完成后进行线路通断、绝缘测试，确保线路绝缘达标、无漏电、无短路隐患，供电稳定安全。</w:t>
            </w:r>
          </w:p>
          <w:p>
            <w:pPr>
              <w:pStyle w:val="null3"/>
            </w:pPr>
            <w:r>
              <w:rPr>
                <w:rFonts w:ascii="仿宋_GB2312" w:hAnsi="仿宋_GB2312" w:cs="仿宋_GB2312" w:eastAsia="仿宋_GB2312"/>
                <w:sz w:val="24"/>
              </w:rPr>
              <w:t>4. 接地系统：路灯电力系统设置独立接地装置，做到一灯一接地，接地电阻符合规范要求，完成接地测试及系统调试，保障用电安全。</w:t>
            </w:r>
          </w:p>
          <w:p>
            <w:pPr>
              <w:pStyle w:val="null3"/>
            </w:pPr>
            <w:r>
              <w:rPr>
                <w:rFonts w:ascii="仿宋_GB2312" w:hAnsi="仿宋_GB2312" w:cs="仿宋_GB2312" w:eastAsia="仿宋_GB2312"/>
                <w:sz w:val="24"/>
              </w:rPr>
              <w:t>（四）路灯安装工程</w:t>
            </w:r>
          </w:p>
          <w:p>
            <w:pPr>
              <w:pStyle w:val="null3"/>
            </w:pPr>
            <w:r>
              <w:rPr>
                <w:rFonts w:ascii="仿宋_GB2312" w:hAnsi="仿宋_GB2312" w:cs="仿宋_GB2312" w:eastAsia="仿宋_GB2312"/>
                <w:sz w:val="24"/>
              </w:rPr>
              <w:t>1. 路灯设备参数：采用户外防水LED单臂路灯，灯杆为热浸镀锌钢制灯杆，防腐防锈、坚固耐用；灯具防护等级IP65，防水防尘；光源色温6000K-7000K，显色指数Ra≥70，光效≥140lm/W，功率因数≥0.95，6000h光通维持率≥98%，电磁兼容符合市政照明规范，节能耐用、光线柔和均匀。</w:t>
            </w:r>
          </w:p>
          <w:p>
            <w:pPr>
              <w:pStyle w:val="null3"/>
            </w:pPr>
            <w:r>
              <w:rPr>
                <w:rFonts w:ascii="仿宋_GB2312" w:hAnsi="仿宋_GB2312" w:cs="仿宋_GB2312" w:eastAsia="仿宋_GB2312"/>
                <w:sz w:val="24"/>
              </w:rPr>
              <w:t>2. 基础施工：按灯杆规格浇筑混凝土独立基础，基础尺寸、配筋、预埋螺栓符合安装标准，基础浇筑密实、养护到位，无倾斜、无沉降，保障灯杆稳固。</w:t>
            </w:r>
          </w:p>
          <w:p>
            <w:pPr>
              <w:pStyle w:val="null3"/>
            </w:pPr>
            <w:r>
              <w:rPr>
                <w:rFonts w:ascii="仿宋_GB2312" w:hAnsi="仿宋_GB2312" w:cs="仿宋_GB2312" w:eastAsia="仿宋_GB2312"/>
                <w:sz w:val="24"/>
              </w:rPr>
              <w:t>3. 安装规范：灯杆垂直安装、无倾斜，灯具安装平整牢固、角度统一；线路接线规整、密封严实，防水绝缘处理到位；路灯按道路单侧均匀布置，间距10-15米，适配场地通行照明需求。</w:t>
            </w:r>
          </w:p>
          <w:p>
            <w:pPr>
              <w:pStyle w:val="null3"/>
            </w:pPr>
            <w:r>
              <w:rPr>
                <w:rFonts w:ascii="仿宋_GB2312" w:hAnsi="仿宋_GB2312" w:cs="仿宋_GB2312" w:eastAsia="仿宋_GB2312"/>
                <w:sz w:val="24"/>
              </w:rPr>
              <w:t>4. 调试验收：全部路灯安装完成后，进行全灯通电调试、亮灯测试、时序调试，确保每盏路灯启闭正常、亮度均匀、无频闪、无故障，夜间照明全覆盖，无照明盲区。</w:t>
            </w:r>
          </w:p>
          <w:p>
            <w:pPr>
              <w:pStyle w:val="null3"/>
            </w:pPr>
            <w:r>
              <w:rPr>
                <w:rFonts w:ascii="仿宋_GB2312" w:hAnsi="仿宋_GB2312" w:cs="仿宋_GB2312" w:eastAsia="仿宋_GB2312"/>
                <w:sz w:val="24"/>
              </w:rPr>
              <w:t>四、通用验收要求</w:t>
            </w:r>
          </w:p>
          <w:p>
            <w:pPr>
              <w:pStyle w:val="null3"/>
            </w:pPr>
            <w:r>
              <w:rPr>
                <w:rFonts w:ascii="仿宋_GB2312" w:hAnsi="仿宋_GB2312" w:cs="仿宋_GB2312" w:eastAsia="仿宋_GB2312"/>
                <w:sz w:val="24"/>
              </w:rPr>
              <w:t>1. 所有施工工序完成后，施工方自行自检合格后提交甲方验收，提供材料合格证、检测报告、调试记录等全套资料。</w:t>
            </w:r>
          </w:p>
          <w:p>
            <w:pPr>
              <w:pStyle w:val="null3"/>
            </w:pPr>
            <w:r>
              <w:rPr>
                <w:rFonts w:ascii="仿宋_GB2312" w:hAnsi="仿宋_GB2312" w:cs="仿宋_GB2312" w:eastAsia="仿宋_GB2312"/>
                <w:sz w:val="24"/>
              </w:rPr>
              <w:t>2. 路面平整牢固、排水通畅，人行道透水功能正常，电缆线路安全合规，路灯照明稳定，整体外观整洁统一，无施工瑕疵。</w:t>
            </w:r>
          </w:p>
          <w:p>
            <w:pPr>
              <w:pStyle w:val="null3"/>
            </w:pPr>
            <w:r>
              <w:rPr>
                <w:rFonts w:ascii="仿宋_GB2312" w:hAnsi="仿宋_GB2312" w:cs="仿宋_GB2312" w:eastAsia="仿宋_GB2312"/>
                <w:sz w:val="24"/>
              </w:rPr>
              <w:t>3. 验收不合格部位，施工方需无条件免费整改、返工，直至达到验收标准</w:t>
            </w:r>
          </w:p>
          <w:p>
            <w:pPr>
              <w:pStyle w:val="null3"/>
            </w:pPr>
            <w:r>
              <w:rPr>
                <w:rFonts w:ascii="仿宋_GB2312" w:hAnsi="仿宋_GB2312" w:cs="仿宋_GB2312" w:eastAsia="仿宋_GB2312"/>
                <w:sz w:val="24"/>
              </w:rPr>
              <w:t>五、安全文明施工要求</w:t>
            </w:r>
          </w:p>
          <w:p>
            <w:pPr>
              <w:pStyle w:val="null3"/>
            </w:pPr>
            <w:r>
              <w:rPr>
                <w:rFonts w:ascii="仿宋_GB2312" w:hAnsi="仿宋_GB2312" w:cs="仿宋_GB2312" w:eastAsia="仿宋_GB2312"/>
                <w:sz w:val="24"/>
              </w:rPr>
              <w:t>施工全过程做好安全围挡、警示标识，规范用电、机械作业，杜绝安全事故；施工现场每日清理，建筑垃圾及时清运，做到文明施工、完工清场，不污染周边环境。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三、施工质量总体要求</w:t>
            </w:r>
          </w:p>
          <w:p>
            <w:pPr>
              <w:pStyle w:val="null3"/>
            </w:pPr>
            <w:r>
              <w:rPr>
                <w:rFonts w:ascii="仿宋_GB2312" w:hAnsi="仿宋_GB2312" w:cs="仿宋_GB2312" w:eastAsia="仿宋_GB2312"/>
                <w:sz w:val="24"/>
              </w:rPr>
              <w:t>本项目所有材料、设备均需提供产品合格证、检测报告、环保认证证书，严禁使用假冒伪劣、不合格产品，材料进场需经校方验收合格后方可使用；</w:t>
            </w:r>
          </w:p>
          <w:p>
            <w:pPr>
              <w:pStyle w:val="null3"/>
            </w:pPr>
            <w:r>
              <w:rPr>
                <w:rFonts w:ascii="仿宋_GB2312" w:hAnsi="仿宋_GB2312" w:cs="仿宋_GB2312" w:eastAsia="仿宋_GB2312"/>
                <w:sz w:val="24"/>
              </w:rPr>
              <w:t>所有施工工序、材料选用、工艺做法严格遵循《建筑地面工程施工质量验收规范》《建筑给排水及采暖工程施工质量验收规范》《建筑电气工程施工质量验收规范》等国家、行业现行标准，同时满足西安石油大学校园基建管理相关规定，图纸、清单内所有施工内容不得降低设计标准。</w:t>
            </w:r>
            <w:r>
              <w:rPr>
                <w:rFonts w:ascii="仿宋_GB2312" w:hAnsi="仿宋_GB2312" w:cs="仿宋_GB2312" w:eastAsia="仿宋_GB2312"/>
                <w:sz w:val="24"/>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四、安全与文明施工要求</w:t>
            </w:r>
          </w:p>
          <w:p>
            <w:pPr>
              <w:pStyle w:val="null3"/>
            </w:pPr>
            <w:r>
              <w:rPr>
                <w:rFonts w:ascii="仿宋_GB2312" w:hAnsi="仿宋_GB2312" w:cs="仿宋_GB2312" w:eastAsia="仿宋_GB2312"/>
                <w:sz w:val="24"/>
              </w:rPr>
              <w:t>施工单位需具备相应施工资质，施工人员持证上岗，严格遵守校园安全管理规定，做好施工安全防护，搭设安全防护设施，杜绝安全事故；</w:t>
            </w:r>
          </w:p>
          <w:p>
            <w:pPr>
              <w:pStyle w:val="null3"/>
            </w:pPr>
            <w:r>
              <w:rPr>
                <w:rFonts w:ascii="仿宋_GB2312" w:hAnsi="仿宋_GB2312" w:cs="仿宋_GB2312" w:eastAsia="仿宋_GB2312"/>
                <w:sz w:val="24"/>
              </w:rPr>
              <w:t>施工期间采取降噪、降尘措施，合理安排施工时间，避免影响学生正常学习、休息；施工人员服从校方管理，严禁在校园内违规动火、用电，做好施工现场消防安全工作；项目质保期不低于</w:t>
            </w:r>
            <w:r>
              <w:rPr>
                <w:rFonts w:ascii="仿宋_GB2312" w:hAnsi="仿宋_GB2312" w:cs="仿宋_GB2312" w:eastAsia="仿宋_GB2312"/>
                <w:sz w:val="24"/>
              </w:rPr>
              <w:t>2 年，质保期内出现质量问题，施工单位需无条件免费维修、更换。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五、售后保障要求</w:t>
            </w:r>
          </w:p>
          <w:p>
            <w:pPr>
              <w:pStyle w:val="null3"/>
            </w:pPr>
            <w:r>
              <w:rPr>
                <w:rFonts w:ascii="仿宋_GB2312" w:hAnsi="仿宋_GB2312" w:cs="仿宋_GB2312" w:eastAsia="仿宋_GB2312"/>
                <w:sz w:val="24"/>
              </w:rPr>
              <w:t>供应商需提供完整的施工方案、材料清单、质保承诺；</w:t>
            </w:r>
          </w:p>
          <w:p>
            <w:pPr>
              <w:pStyle w:val="null3"/>
            </w:pPr>
            <w:r>
              <w:rPr>
                <w:rFonts w:ascii="仿宋_GB2312" w:hAnsi="仿宋_GB2312" w:cs="仿宋_GB2312" w:eastAsia="仿宋_GB2312"/>
                <w:sz w:val="24"/>
              </w:rPr>
              <w:t>质保期内，接到校方维修通知后，</w:t>
            </w:r>
            <w:r>
              <w:rPr>
                <w:rFonts w:ascii="仿宋_GB2312" w:hAnsi="仿宋_GB2312" w:cs="仿宋_GB2312" w:eastAsia="仿宋_GB2312"/>
                <w:sz w:val="24"/>
              </w:rPr>
              <w:t>24 小时内响应，48 小时内到场处理问题；</w:t>
            </w:r>
          </w:p>
          <w:p>
            <w:pPr>
              <w:pStyle w:val="null3"/>
            </w:pPr>
            <w:r>
              <w:rPr>
                <w:rFonts w:ascii="仿宋_GB2312" w:hAnsi="仿宋_GB2312" w:cs="仿宋_GB2312" w:eastAsia="仿宋_GB2312"/>
                <w:sz w:val="24"/>
              </w:rPr>
              <w:t>项目完工后，向校方移交完整的竣工资料、产品说明书及质保文件。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工期</w:t>
            </w:r>
            <w:r>
              <w:rPr>
                <w:rFonts w:ascii="仿宋_GB2312" w:hAnsi="仿宋_GB2312" w:cs="仿宋_GB2312" w:eastAsia="仿宋_GB2312"/>
                <w:sz w:val="24"/>
              </w:rPr>
              <w:t>25日历天</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此工程无预付款，工程施工完毕，经甲方验收合格后，</w:t>
            </w:r>
            <w:r>
              <w:rPr>
                <w:rFonts w:ascii="仿宋_GB2312" w:hAnsi="仿宋_GB2312" w:cs="仿宋_GB2312" w:eastAsia="仿宋_GB2312"/>
                <w:sz w:val="24"/>
              </w:rPr>
              <w:t>10日内支付合同总价款的80%；经工程审计结算审核后10日内，扣除核定总造价1%的水电费，支付余款。办理付款时，乙方应提供增值税专用发票。</w:t>
            </w:r>
          </w:p>
          <w:p>
            <w:pPr>
              <w:pStyle w:val="null3"/>
            </w:pPr>
            <w:r>
              <w:rPr>
                <w:rFonts w:ascii="仿宋_GB2312" w:hAnsi="仿宋_GB2312" w:cs="仿宋_GB2312" w:eastAsia="仿宋_GB2312"/>
                <w:sz w:val="24"/>
              </w:rPr>
              <w:t>承包人递交的工程结算资料应翔实、准确，经发包人委托的造价咨询机构进行结算审核，审减额在</w:t>
            </w:r>
            <w:r>
              <w:rPr>
                <w:rFonts w:ascii="仿宋_GB2312" w:hAnsi="仿宋_GB2312" w:cs="仿宋_GB2312" w:eastAsia="仿宋_GB2312"/>
                <w:sz w:val="24"/>
              </w:rPr>
              <w:t>5%以内（含5%）的审核成果费由发包人承担；审减额超过5%的，超出部分的审计成果费由承包人承担。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本项目共</w:t>
            </w:r>
            <w:r>
              <w:rPr>
                <w:rFonts w:ascii="仿宋_GB2312" w:hAnsi="仿宋_GB2312" w:cs="仿宋_GB2312" w:eastAsia="仿宋_GB2312"/>
                <w:sz w:val="24"/>
              </w:rPr>
              <w:t>2个采购包，实行兼投不兼中</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可以同时参加</w:t>
            </w:r>
            <w:r>
              <w:rPr>
                <w:rFonts w:ascii="仿宋_GB2312" w:hAnsi="仿宋_GB2312" w:cs="仿宋_GB2312" w:eastAsia="仿宋_GB2312"/>
                <w:sz w:val="24"/>
              </w:rPr>
              <w:t>（兼投）</w:t>
            </w:r>
            <w:r>
              <w:rPr>
                <w:rFonts w:ascii="仿宋_GB2312" w:hAnsi="仿宋_GB2312" w:cs="仿宋_GB2312" w:eastAsia="仿宋_GB2312"/>
                <w:sz w:val="24"/>
              </w:rPr>
              <w:t>，</w:t>
            </w:r>
            <w:r>
              <w:rPr>
                <w:rFonts w:ascii="仿宋_GB2312" w:hAnsi="仿宋_GB2312" w:cs="仿宋_GB2312" w:eastAsia="仿宋_GB2312"/>
                <w:sz w:val="24"/>
              </w:rPr>
              <w:t>但</w:t>
            </w:r>
            <w:r>
              <w:rPr>
                <w:rFonts w:ascii="仿宋_GB2312" w:hAnsi="仿宋_GB2312" w:cs="仿宋_GB2312" w:eastAsia="仿宋_GB2312"/>
                <w:sz w:val="24"/>
              </w:rPr>
              <w:t>同一供应商最多只能成交</w:t>
            </w:r>
            <w:r>
              <w:rPr>
                <w:rFonts w:ascii="仿宋_GB2312" w:hAnsi="仿宋_GB2312" w:cs="仿宋_GB2312" w:eastAsia="仿宋_GB2312"/>
                <w:sz w:val="24"/>
              </w:rPr>
              <w:t>1个采购包。评审顺序为采购包1-采购包2，同一供应商被推荐为前序采购包第一成交候选人的，该供应商不再参与采购包2的成交候选人推荐，按原排序由下一名合格供应商依次递补。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符合国家、省、市、区相关规范和标准的要求。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符合国家、省、市、区相关规范和标准的要求。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1.本项目不得分包、转包。 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 3.成交供应商须无条件接受甲方代表的现场检查和管理。 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5.施工的建筑垃圾应清运至有关部门指定的地点，做到工完场清，不留死角。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成交供应商在领取成交通知书时，需线下提供纸质响应文件叁份、电子版（U盘）壹份（内容与平台上传的签章版电子文件保持一致），纸质响应文件建议A4纸双面黑白打印，各自装订成册，封面加盖红章及骑缝章，书脊处写明项目名称及项目编号。 2、各供应商在平台上传响应文件时，同步上传完整的电子保函原件（PDF 格式，确保清晰可辨）或银行转账截图（转账时间、金额、收款账户等关键信息清晰），提交的电子保函或缴费凭证需真实有效，招标代理机构将对平台上的电子保函或转账截图的缴费凭证进行核验，未按本通知要求提交或提交材料不完整、不清晰导致无法核验的，不利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含三级）资质或市政公用工程施工总承包资质三级及以上(含三级)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的项目经理应具备建筑工程专业二级以上（含二级）注册建造师资格，有效的安全生产考核合格证书（建安B证），在本单位注册，且未担任其他在建工程项目经理（提供承诺），提供近半年内任一个月在本单位的社保缴费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供应商及拟派项目经理信息查询</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含三级）资质或市政公用工程施工总承包资质三级及以上(含三级)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的项目经理应具备建筑工程专业二级以上（含二级）注册建造师资格，有效的安全生产考核合格证书（建安B证），在本单位注册，且未担任其他在建工程项目经理（提供承诺），提供近半年内任一个月在本单位的社保缴费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供应商及拟派项目经理信息查询</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其他资格材料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2、报价货币符合磋商文件要求 ; 3、未超出磋商文件规定的最高限价。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供应商应提交的相关资格证明材料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2、响应文件是否按照磋商文件要求的格式编写； 3、响应内容是否有重大缺漏项； 4、供应商报价是否具有唯一性； 5、响应文件是否响应了磋商文件要求的全部条款、条件和规格要求，并且提供了支持文件，没有重大偏离。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技术服务合同条款及其他商务要求应答表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符合磋商文件对工期的要求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按照磋商文件要求提供保证金缴纳凭证</w:t>
            </w:r>
          </w:p>
        </w:tc>
        <w:tc>
          <w:tcPr>
            <w:tcW w:type="dxa" w:w="1661"/>
          </w:tcPr>
          <w:p>
            <w:pPr>
              <w:pStyle w:val="null3"/>
            </w:pPr>
            <w:r>
              <w:rPr>
                <w:rFonts w:ascii="仿宋_GB2312" w:hAnsi="仿宋_GB2312" w:cs="仿宋_GB2312" w:eastAsia="仿宋_GB2312"/>
              </w:rPr>
              <w:t>响应文件封面 供应商认为需要提供的其他资料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2、报价货币符合磋商文件要求 ; 3、未超出磋商文件规定的最高限价。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2、响应文件是否按照磋商文件要求的格式编写； 3、响应内容是否有重大缺漏项； 4、供应商报价是否具有唯一性； 5、响应文件是否响应了磋商文件要求的全部条款、条件和规格要求，并且提供了支持文件，没有重大偏离。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技术服务合同条款及其他商务要求应答表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符合磋商文件对工期的要求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按照磋商文件要求提供保证金缴纳凭证</w:t>
            </w:r>
          </w:p>
        </w:tc>
        <w:tc>
          <w:tcPr>
            <w:tcW w:type="dxa" w:w="1661"/>
          </w:tcPr>
          <w:p>
            <w:pPr>
              <w:pStyle w:val="null3"/>
            </w:pPr>
            <w:r>
              <w:rPr>
                <w:rFonts w:ascii="仿宋_GB2312" w:hAnsi="仿宋_GB2312" w:cs="仿宋_GB2312" w:eastAsia="仿宋_GB2312"/>
              </w:rPr>
              <w:t>响应文件封面 供应商认为需要提供的其他资料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①施工部署，每满足一项评审标准得1分，满分3分，每有一处缺陷扣0.5分，扣完为止；②进度计划，每满足一项评审标准得1分，满分3分，每有一处缺陷扣0.5分，扣完为止；③技术难点、应对措施，每满足一项评审标准得1分，满分3分，每有一处缺陷扣0.5分，扣完为止；④施工流程图或工艺流程，每满足一项评审标准得1分，满分3分，每有一处缺陷扣0.5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2.赋分标准： ①施工机械配备：每完全满足一项评审标准得1分，满分3分，每有一处缺陷扣0.5分，扣完为止。 说明：缺陷是指内容不合理、虽有内容但不完善、内容表述前后不一致、套用其他项目措施或与项目需求不匹配及其他不利于项目实施的任意一种情形。 ②材料投入计划：供应商针对本项目的主材清单（清单内容包括但不限于材料名称、品牌、规格、材质等），根据拟投入的主要材料响应性进行评审： 主要材料为主流产品，品牌市场占有率高、质量好、工艺优良、安全环保性高得5分； 主要材料品牌市场占有率一般、质量、工艺、安全环保性一般得3分； 主要材料品牌市场占有率低、质量、工艺、安全环保性较差得1分； 未提供得0分，满分5分。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①质量目标，每满足一项评审标准得1分，满分3分，每有一处缺陷扣0.5分，扣完为止；②质量管理体系，每满足一项评审标准得2分，满分6分，每有一处缺陷扣1分，扣完为止；③质量管理措施，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①安全目标及文明施工措施，每满足一项评审标准得1分，满分3分，每有一处缺陷扣0.5分，扣完为止；②安全体系健全度，每满足一项评审标准得1分，满分3分，每有一处缺陷扣0.5分，扣完为止；③应急预案可行性，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确保安全文明施工的技术组织措施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①工期计划，每满足一项评审标准得1分，满分3分，每有一处缺陷扣0.5分，扣完为止；②关键节点工期分析，每满足一项评审标准得1分，满分3分，每有一处缺陷扣0.5分，扣完为止；③延误工期补救措施，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项目组织管理机构及人员配备情况-1项目组织管理机构</w:t>
            </w:r>
          </w:p>
        </w:tc>
        <w:tc>
          <w:tcPr>
            <w:tcW w:type="dxa" w:w="2492"/>
          </w:tcPr>
          <w:p>
            <w:pPr>
              <w:pStyle w:val="null3"/>
            </w:pPr>
            <w:r>
              <w:rPr>
                <w:rFonts w:ascii="仿宋_GB2312" w:hAnsi="仿宋_GB2312" w:cs="仿宋_GB2312" w:eastAsia="仿宋_GB2312"/>
              </w:rPr>
              <w:t>1.项目组织管理机构（1分）：提供项目组织管理机构表得1分；未提供得0分。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项目组织管理机构及人员配备情况-2项目经理职称</w:t>
            </w:r>
          </w:p>
        </w:tc>
        <w:tc>
          <w:tcPr>
            <w:tcW w:type="dxa" w:w="2492"/>
          </w:tcPr>
          <w:p>
            <w:pPr>
              <w:pStyle w:val="null3"/>
            </w:pPr>
            <w:r>
              <w:rPr>
                <w:rFonts w:ascii="仿宋_GB2312" w:hAnsi="仿宋_GB2312" w:cs="仿宋_GB2312" w:eastAsia="仿宋_GB2312"/>
              </w:rPr>
              <w:t>2.项目经理职称（2分）：中级及以上职称2分，初级1分，无职称0分（须提供职称证书复印件并加盖公章）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项目组织管理机构及人员配备情况-3项目经理业绩</w:t>
            </w:r>
          </w:p>
        </w:tc>
        <w:tc>
          <w:tcPr>
            <w:tcW w:type="dxa" w:w="2492"/>
          </w:tcPr>
          <w:p>
            <w:pPr>
              <w:pStyle w:val="null3"/>
            </w:pPr>
            <w:r>
              <w:rPr>
                <w:rFonts w:ascii="仿宋_GB2312" w:hAnsi="仿宋_GB2312" w:cs="仿宋_GB2312" w:eastAsia="仿宋_GB2312"/>
              </w:rPr>
              <w:t>3.项目经理业绩（2分） 提供拟配备的项目经理2023年1月1日（以合同签订时间为准）至今类似项目业绩，每提供⼀项有效业绩得1分，满分2分。 注:业绩需提供：①中标通知书、或官网中标公示截图、或竣⼯验收证明、或⼯程款发票任意一项；②业绩合同（合同需含项目金额、工期、质量标准、签署时间等关键页）的复印件或扫描件加盖供应商公章。项⽬经理业绩与企业业绩不可重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项目组织管理机构及人员配备情况-4项目人员配备</w:t>
            </w:r>
          </w:p>
        </w:tc>
        <w:tc>
          <w:tcPr>
            <w:tcW w:type="dxa" w:w="2492"/>
          </w:tcPr>
          <w:p>
            <w:pPr>
              <w:pStyle w:val="null3"/>
            </w:pPr>
            <w:r>
              <w:rPr>
                <w:rFonts w:ascii="仿宋_GB2312" w:hAnsi="仿宋_GB2312" w:cs="仿宋_GB2312" w:eastAsia="仿宋_GB2312"/>
              </w:rPr>
              <w:t>4.项目人员配备（5分）：需配备技术负责人、专职安全员（需C证）、质检员（需质量员证书）等岗位，需提供岗位证书、劳动合同。每配备一人得1分，最高得5分。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保修期内服务措施</w:t>
            </w:r>
          </w:p>
        </w:tc>
        <w:tc>
          <w:tcPr>
            <w:tcW w:type="dxa" w:w="2492"/>
          </w:tcPr>
          <w:p>
            <w:pPr>
              <w:pStyle w:val="null3"/>
            </w:pPr>
            <w:r>
              <w:rPr>
                <w:rFonts w:ascii="仿宋_GB2312" w:hAnsi="仿宋_GB2312" w:cs="仿宋_GB2312" w:eastAsia="仿宋_GB2312"/>
              </w:rPr>
              <w:t>提供保修服务工作方案、回访计划及质量保修措施、保修团队人员名单、联系方式得1分，未提供得0分。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保修期内服务措施</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质保期在采购要求上每延长半年得0.5分，最高1分；未延长此项不得分。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提供2023年1月1日至今类似项目业绩，每提供⼀项有效业绩得2分，满分8分。 注:业绩需提供中标通知书或官网中标公示截图或竣⼯验收证明或⼯程款发票中⾄少⼀项及合同（合同需含项目金额、工期、质量标准、签署时间等关键页）的复印件或扫描件加盖供应商公章，时间以合同签订时间为准。企业业绩与项⽬经理业绩不可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价格分采用低价优先法计算，即满足竞争性磋商文件要求且最终报价最低的磋商报价作为评审基准价，其价格分为满分。其他供应商的价格分统一按照下列公式计算： 报价得分=（评审基准价/磋商报价）×30。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①施工部署，每满足一项评审标准得1分，满分3分，每有一处缺陷扣0.5分，扣完为止；②进度计划，每满足一项评审标准得1分，满分3分，每有一处缺陷扣0.5分，扣完为止；③技术难点、应对措施，每满足一项评审标准得1分，满分3分，每有一处缺陷扣0.5分，扣完为止；④施工流程图或工艺流程，每满足一项评审标准得1分，满分3分，每有一处缺陷扣0.5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①质量目标，每满足一项评审标准得1分，满分3分，每有一处缺陷扣0.5分，扣完为止；②质量管理体系，每满足一项评审标准得2分，满分6分，每有一处缺陷扣1分，扣完为止；③质量管理措施，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①安全目标及文明施工措施，每满足一项评审标准得1分，满分3分，每有一处缺陷扣0.5分，扣完为止；②安全体系健全度，每满足一项评审标准得1分，满分3分，每有一处缺陷扣0.5分，扣完为止；③应急预案可行性，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确保安全文明施工的技术组织措施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①工期计划，每满足一项评审标准得1分，满分3分，每有一处缺陷扣0.5分，扣完为止；②关键节点工期分析，每满足一项评审标准得1分，满分3分，每有一处缺陷扣0.5分，扣完为止；③延误工期补救措施，每满足一项评审标准得1分，满分3分，每有一处缺陷扣0.5分，扣完为止。 说明：缺陷是指内容不合理、虽有内容但不完善、内容表述前后不一致、套用其他项目措施或与项目需求不匹配及其他不利于项目实施的任意一种情形。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2.赋分标准： ①施工机械配备：每完全满足一项评审标准得1分，满分3分，每有一处缺陷扣0.5分，扣完为止。 说明：缺陷是指内容不合理、虽有内容但不完善、内容表述前后不一致、套用其他项目措施或与项目需求不匹配及其他不利于项目实施的任意一种情形。 ②材料投入计划：供应商针对本项目的主材清单（清单内容包括但不限于材料名称、品牌、规格、材质等），根据拟投入的主要材料响应性进行评审： 主要材料为主流产品，品牌市场占有率高、质量好、工艺优良、安全环保性高得5分； 主要材料品牌市场占有率一般、质量、工艺、安全环保性一般得3分； 主要材料品牌市场占有率低、质量、工艺、安全环保性较差得1分； 未提供得0分，满分5分。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项目组织管理机构及人员配备情况-1项目组织管理机构</w:t>
            </w:r>
          </w:p>
        </w:tc>
        <w:tc>
          <w:tcPr>
            <w:tcW w:type="dxa" w:w="2492"/>
          </w:tcPr>
          <w:p>
            <w:pPr>
              <w:pStyle w:val="null3"/>
            </w:pPr>
            <w:r>
              <w:rPr>
                <w:rFonts w:ascii="仿宋_GB2312" w:hAnsi="仿宋_GB2312" w:cs="仿宋_GB2312" w:eastAsia="仿宋_GB2312"/>
              </w:rPr>
              <w:t>1.项目组织管理机构（1分）：提供项目组织管理机构表得1分；未提供得0分。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项目组织管理机构及人员配备情况-2项目经理职称</w:t>
            </w:r>
          </w:p>
        </w:tc>
        <w:tc>
          <w:tcPr>
            <w:tcW w:type="dxa" w:w="2492"/>
          </w:tcPr>
          <w:p>
            <w:pPr>
              <w:pStyle w:val="null3"/>
            </w:pPr>
            <w:r>
              <w:rPr>
                <w:rFonts w:ascii="仿宋_GB2312" w:hAnsi="仿宋_GB2312" w:cs="仿宋_GB2312" w:eastAsia="仿宋_GB2312"/>
              </w:rPr>
              <w:t>2.项目经理职称（2分）：中级及以上职称2分，初级1分，无职称0分（须提供职称证书复印件并加盖公章）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项目组织管理机构及人员配备情况-3项目经理业绩</w:t>
            </w:r>
          </w:p>
        </w:tc>
        <w:tc>
          <w:tcPr>
            <w:tcW w:type="dxa" w:w="2492"/>
          </w:tcPr>
          <w:p>
            <w:pPr>
              <w:pStyle w:val="null3"/>
            </w:pPr>
            <w:r>
              <w:rPr>
                <w:rFonts w:ascii="仿宋_GB2312" w:hAnsi="仿宋_GB2312" w:cs="仿宋_GB2312" w:eastAsia="仿宋_GB2312"/>
              </w:rPr>
              <w:t>3.项目经理业绩（2分） 提供拟配备的项目经理2023年1月1日（以合同签订时间为准）至今类似项目业绩，每提供⼀项有效业绩得1分，满分2分。 注:业绩需提供：①中标通知书、或官网中标公示截图、或竣⼯验收证明、或⼯程款发票任意一项；②业绩合同（合同需含项目金额、工期、质量标准、签署时间等关键页）的复印件或扫描件加盖供应商公章。项⽬经理业绩与企业业绩不可重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项目组织管理机构及人员配备情况-4项目人员配备</w:t>
            </w:r>
          </w:p>
        </w:tc>
        <w:tc>
          <w:tcPr>
            <w:tcW w:type="dxa" w:w="2492"/>
          </w:tcPr>
          <w:p>
            <w:pPr>
              <w:pStyle w:val="null3"/>
            </w:pPr>
            <w:r>
              <w:rPr>
                <w:rFonts w:ascii="仿宋_GB2312" w:hAnsi="仿宋_GB2312" w:cs="仿宋_GB2312" w:eastAsia="仿宋_GB2312"/>
              </w:rPr>
              <w:t>4.项目人员配备（5分）：需配备技术负责人、专职安全员（需C证）、质检员（需质量员证书）等岗位，需提供岗位证书、劳动合同。每配备一人得1分，最高得5分。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项目组织管理机构及人员配备情况</w:t>
            </w:r>
          </w:p>
        </w:tc>
      </w:tr>
      <w:tr>
        <w:tc>
          <w:tcPr>
            <w:tcW w:type="dxa" w:w="831"/>
            <w:vMerge/>
          </w:tcPr>
          <w:p/>
        </w:tc>
        <w:tc>
          <w:tcPr>
            <w:tcW w:type="dxa" w:w="1661"/>
          </w:tcPr>
          <w:p>
            <w:pPr>
              <w:pStyle w:val="null3"/>
            </w:pPr>
            <w:r>
              <w:rPr>
                <w:rFonts w:ascii="仿宋_GB2312" w:hAnsi="仿宋_GB2312" w:cs="仿宋_GB2312" w:eastAsia="仿宋_GB2312"/>
              </w:rPr>
              <w:t>保修期内服务措施</w:t>
            </w:r>
          </w:p>
        </w:tc>
        <w:tc>
          <w:tcPr>
            <w:tcW w:type="dxa" w:w="2492"/>
          </w:tcPr>
          <w:p>
            <w:pPr>
              <w:pStyle w:val="null3"/>
            </w:pPr>
            <w:r>
              <w:rPr>
                <w:rFonts w:ascii="仿宋_GB2312" w:hAnsi="仿宋_GB2312" w:cs="仿宋_GB2312" w:eastAsia="仿宋_GB2312"/>
              </w:rPr>
              <w:t>提供保修服务工作方案、回访计划及质量保修措施、保修团队人员名单、联系方式得1分，未提供得0分。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保修期内服务措施</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质保期在采购要求上每延长半年得0.5分，最高1分；未延长此项不得分。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提供2023年1月1日至今类似项目业绩，每提供⼀项有效业绩得2分，满分8分。 注:业绩需提供中标通知书或官网中标公示截图或竣⼯验收证明或⼯程款发票中⾄少⼀项及合同（合同需含项目金额、工期、质量标准、签署时间等关键页）的复印件或扫描件加盖供应商公章，时间以合同签订时间为准。企业业绩与项⽬经理业绩不可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价格分采用低价优先法计算，即满足竞争性磋商文件要求且最终报价最低的磋商报价作为评审基准价，其价格分为满分。其他供应商的价格分统一按照下列公式计算： 报价得分=（评审基准价/磋商报价）×30。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详见附件：其他资格材料</w:t>
      </w:r>
    </w:p>
    <w:p>
      <w:pPr>
        <w:pStyle w:val="null3"/>
        <w:ind w:firstLine="960"/>
      </w:pPr>
      <w:r>
        <w:rPr>
          <w:rFonts w:ascii="仿宋_GB2312" w:hAnsi="仿宋_GB2312" w:cs="仿宋_GB2312" w:eastAsia="仿宋_GB2312"/>
        </w:rPr>
        <w:t>详见附件：保修承诺</w:t>
      </w:r>
    </w:p>
    <w:p>
      <w:pPr>
        <w:pStyle w:val="null3"/>
        <w:ind w:firstLine="960"/>
      </w:pPr>
      <w:r>
        <w:rPr>
          <w:rFonts w:ascii="仿宋_GB2312" w:hAnsi="仿宋_GB2312" w:cs="仿宋_GB2312" w:eastAsia="仿宋_GB2312"/>
        </w:rPr>
        <w:t>详见附件：保修期内服务措施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详见附件：确保安全文明施工的技术组织措施</w:t>
      </w:r>
    </w:p>
    <w:p>
      <w:pPr>
        <w:pStyle w:val="null3"/>
        <w:ind w:firstLine="960"/>
      </w:pPr>
      <w:r>
        <w:rPr>
          <w:rFonts w:ascii="仿宋_GB2312" w:hAnsi="仿宋_GB2312" w:cs="仿宋_GB2312" w:eastAsia="仿宋_GB2312"/>
        </w:rPr>
        <w:t>详见附件：确保工程质量的技术组织措施</w:t>
      </w:r>
    </w:p>
    <w:p>
      <w:pPr>
        <w:pStyle w:val="null3"/>
        <w:ind w:firstLine="960"/>
      </w:pPr>
      <w:r>
        <w:rPr>
          <w:rFonts w:ascii="仿宋_GB2312" w:hAnsi="仿宋_GB2312" w:cs="仿宋_GB2312" w:eastAsia="仿宋_GB2312"/>
        </w:rPr>
        <w:t>详见附件：确保工期的技术组织措施</w:t>
      </w:r>
    </w:p>
    <w:p>
      <w:pPr>
        <w:pStyle w:val="null3"/>
        <w:ind w:firstLine="960"/>
      </w:pPr>
      <w:r>
        <w:rPr>
          <w:rFonts w:ascii="仿宋_GB2312" w:hAnsi="仿宋_GB2312" w:cs="仿宋_GB2312" w:eastAsia="仿宋_GB2312"/>
        </w:rPr>
        <w:t>详见附件：施工机械配备和材料投入计划</w:t>
      </w:r>
    </w:p>
    <w:p>
      <w:pPr>
        <w:pStyle w:val="null3"/>
        <w:ind w:firstLine="960"/>
      </w:pPr>
      <w:r>
        <w:rPr>
          <w:rFonts w:ascii="仿宋_GB2312" w:hAnsi="仿宋_GB2312" w:cs="仿宋_GB2312" w:eastAsia="仿宋_GB2312"/>
        </w:rPr>
        <w:t>详见附件：项目组织管理机构及人员配备情况</w:t>
      </w:r>
    </w:p>
    <w:p>
      <w:pPr>
        <w:pStyle w:val="null3"/>
        <w:ind w:firstLine="960"/>
      </w:pPr>
      <w:r>
        <w:rPr>
          <w:rFonts w:ascii="仿宋_GB2312" w:hAnsi="仿宋_GB2312" w:cs="仿宋_GB2312" w:eastAsia="仿宋_GB2312"/>
        </w:rPr>
        <w:t>详见附件：供应商认为需要提供的其他资料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详见附件：其他资格材料</w:t>
      </w:r>
    </w:p>
    <w:p>
      <w:pPr>
        <w:pStyle w:val="null3"/>
        <w:ind w:firstLine="960"/>
      </w:pPr>
      <w:r>
        <w:rPr>
          <w:rFonts w:ascii="仿宋_GB2312" w:hAnsi="仿宋_GB2312" w:cs="仿宋_GB2312" w:eastAsia="仿宋_GB2312"/>
        </w:rPr>
        <w:t>详见附件：保修承诺</w:t>
      </w:r>
    </w:p>
    <w:p>
      <w:pPr>
        <w:pStyle w:val="null3"/>
        <w:ind w:firstLine="960"/>
      </w:pPr>
      <w:r>
        <w:rPr>
          <w:rFonts w:ascii="仿宋_GB2312" w:hAnsi="仿宋_GB2312" w:cs="仿宋_GB2312" w:eastAsia="仿宋_GB2312"/>
        </w:rPr>
        <w:t>详见附件：保修期内服务措施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详见附件：确保安全文明施工的技术组织措施</w:t>
      </w:r>
    </w:p>
    <w:p>
      <w:pPr>
        <w:pStyle w:val="null3"/>
        <w:ind w:firstLine="960"/>
      </w:pPr>
      <w:r>
        <w:rPr>
          <w:rFonts w:ascii="仿宋_GB2312" w:hAnsi="仿宋_GB2312" w:cs="仿宋_GB2312" w:eastAsia="仿宋_GB2312"/>
        </w:rPr>
        <w:t>详见附件：确保工程质量的技术组织措施</w:t>
      </w:r>
    </w:p>
    <w:p>
      <w:pPr>
        <w:pStyle w:val="null3"/>
        <w:ind w:firstLine="960"/>
      </w:pPr>
      <w:r>
        <w:rPr>
          <w:rFonts w:ascii="仿宋_GB2312" w:hAnsi="仿宋_GB2312" w:cs="仿宋_GB2312" w:eastAsia="仿宋_GB2312"/>
        </w:rPr>
        <w:t>详见附件：确保工期的技术组织措施</w:t>
      </w:r>
    </w:p>
    <w:p>
      <w:pPr>
        <w:pStyle w:val="null3"/>
        <w:ind w:firstLine="960"/>
      </w:pPr>
      <w:r>
        <w:rPr>
          <w:rFonts w:ascii="仿宋_GB2312" w:hAnsi="仿宋_GB2312" w:cs="仿宋_GB2312" w:eastAsia="仿宋_GB2312"/>
        </w:rPr>
        <w:t>详见附件：施工机械配备和材料投入计划</w:t>
      </w:r>
    </w:p>
    <w:p>
      <w:pPr>
        <w:pStyle w:val="null3"/>
        <w:ind w:firstLine="960"/>
      </w:pPr>
      <w:r>
        <w:rPr>
          <w:rFonts w:ascii="仿宋_GB2312" w:hAnsi="仿宋_GB2312" w:cs="仿宋_GB2312" w:eastAsia="仿宋_GB2312"/>
        </w:rPr>
        <w:t>详见附件：项目组织管理机构及人员配备情况</w:t>
      </w:r>
    </w:p>
    <w:p>
      <w:pPr>
        <w:pStyle w:val="null3"/>
        <w:ind w:firstLine="960"/>
      </w:pPr>
      <w:r>
        <w:rPr>
          <w:rFonts w:ascii="仿宋_GB2312" w:hAnsi="仿宋_GB2312" w:cs="仿宋_GB2312" w:eastAsia="仿宋_GB2312"/>
        </w:rPr>
        <w:t>详见附件：供应商认为需要提供的其他资料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