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1BBEB1">
      <w:pPr>
        <w:pStyle w:val="4"/>
        <w:jc w:val="center"/>
        <w:outlineLvl w:val="0"/>
        <w:rPr>
          <w:rStyle w:val="7"/>
          <w:rFonts w:hint="eastAsia" w:ascii="宋体" w:hAnsi="宋体" w:eastAsia="宋体" w:cs="宋体"/>
          <w:b/>
          <w:bCs w:val="0"/>
          <w:color w:val="000000"/>
          <w:highlight w:val="none"/>
        </w:rPr>
      </w:pPr>
      <w:r>
        <w:rPr>
          <w:rStyle w:val="7"/>
          <w:rFonts w:hint="eastAsia" w:ascii="宋体" w:hAnsi="宋体" w:eastAsia="宋体" w:cs="宋体"/>
          <w:b/>
          <w:bCs w:val="0"/>
          <w:color w:val="000000"/>
          <w:highlight w:val="none"/>
        </w:rPr>
        <w:t>合同草案条款</w:t>
      </w:r>
    </w:p>
    <w:p w14:paraId="19952C01">
      <w:pPr>
        <w:pStyle w:val="4"/>
        <w:jc w:val="center"/>
        <w:outlineLvl w:val="0"/>
        <w:rPr>
          <w:rFonts w:hint="eastAsia" w:ascii="宋体" w:hAnsi="宋体" w:eastAsia="宋体" w:cs="宋体"/>
          <w:color w:val="000000"/>
          <w:sz w:val="44"/>
          <w:szCs w:val="44"/>
          <w:highlight w:val="none"/>
        </w:rPr>
      </w:pPr>
      <w:r>
        <w:rPr>
          <w:rFonts w:hint="eastAsia" w:ascii="宋体" w:hAnsi="宋体" w:eastAsia="宋体" w:cs="宋体"/>
          <w:b w:val="0"/>
          <w:color w:val="000000"/>
          <w:sz w:val="28"/>
          <w:szCs w:val="28"/>
          <w:highlight w:val="none"/>
        </w:rPr>
        <w:t>（仅供参考）</w:t>
      </w:r>
    </w:p>
    <w:p w14:paraId="48B7B3DC">
      <w:pPr>
        <w:pStyle w:val="3"/>
        <w:ind w:firstLine="480" w:firstLineChars="200"/>
        <w:rPr>
          <w:rFonts w:hint="eastAsia" w:ascii="宋体" w:hAnsi="宋体" w:eastAsia="宋体" w:cs="宋体"/>
          <w:color w:val="000000"/>
          <w:sz w:val="24"/>
          <w:szCs w:val="24"/>
          <w:highlight w:val="none"/>
        </w:rPr>
      </w:pPr>
    </w:p>
    <w:p w14:paraId="0E1003FE">
      <w:pPr>
        <w:pStyle w:val="3"/>
        <w:ind w:firstLine="480" w:firstLineChars="200"/>
        <w:rPr>
          <w:rFonts w:hint="eastAsia" w:ascii="宋体" w:hAnsi="宋体" w:eastAsia="宋体" w:cs="宋体"/>
          <w:color w:val="000000"/>
          <w:sz w:val="24"/>
          <w:szCs w:val="24"/>
          <w:highlight w:val="none"/>
        </w:rPr>
      </w:pPr>
    </w:p>
    <w:p w14:paraId="348C648E">
      <w:pPr>
        <w:pStyle w:val="3"/>
        <w:ind w:firstLine="480" w:firstLineChars="200"/>
        <w:rPr>
          <w:rFonts w:hint="eastAsia" w:ascii="宋体" w:hAnsi="宋体" w:eastAsia="宋体" w:cs="宋体"/>
          <w:color w:val="000000"/>
          <w:sz w:val="24"/>
          <w:szCs w:val="24"/>
          <w:highlight w:val="none"/>
        </w:rPr>
      </w:pPr>
    </w:p>
    <w:p w14:paraId="2ABA4F4E">
      <w:pPr>
        <w:pStyle w:val="3"/>
        <w:ind w:firstLine="480" w:firstLineChars="200"/>
        <w:rPr>
          <w:rFonts w:hint="eastAsia" w:ascii="宋体" w:hAnsi="宋体" w:eastAsia="宋体" w:cs="宋体"/>
          <w:color w:val="000000"/>
          <w:sz w:val="24"/>
          <w:szCs w:val="24"/>
          <w:highlight w:val="none"/>
        </w:rPr>
      </w:pPr>
    </w:p>
    <w:p w14:paraId="0BB7C736">
      <w:pPr>
        <w:pStyle w:val="3"/>
        <w:ind w:left="0" w:leftChars="0" w:firstLine="2750" w:firstLineChars="856"/>
        <w:rPr>
          <w:rFonts w:hint="eastAsia" w:ascii="宋体" w:hAnsi="宋体" w:eastAsia="宋体" w:cs="宋体"/>
          <w:b/>
          <w:bCs/>
          <w:color w:val="000000"/>
          <w:sz w:val="32"/>
          <w:szCs w:val="32"/>
          <w:highlight w:val="none"/>
        </w:rPr>
      </w:pPr>
      <w:r>
        <w:rPr>
          <w:rFonts w:hint="eastAsia" w:ascii="宋体" w:hAnsi="宋体" w:eastAsia="宋体" w:cs="宋体"/>
          <w:b/>
          <w:bCs/>
          <w:color w:val="000000"/>
          <w:sz w:val="32"/>
          <w:szCs w:val="32"/>
          <w:highlight w:val="none"/>
          <w:u w:val="single"/>
        </w:rPr>
        <w:t xml:space="preserve">                 </w:t>
      </w:r>
      <w:r>
        <w:rPr>
          <w:rFonts w:hint="eastAsia" w:ascii="宋体" w:hAnsi="宋体" w:eastAsia="宋体" w:cs="宋体"/>
          <w:b/>
          <w:bCs/>
          <w:color w:val="000000"/>
          <w:sz w:val="32"/>
          <w:szCs w:val="32"/>
          <w:highlight w:val="none"/>
        </w:rPr>
        <w:t>项目</w:t>
      </w:r>
    </w:p>
    <w:p w14:paraId="06FC19FD">
      <w:pPr>
        <w:pStyle w:val="3"/>
        <w:ind w:firstLine="560" w:firstLineChars="200"/>
        <w:rPr>
          <w:rFonts w:hint="eastAsia" w:ascii="宋体" w:hAnsi="宋体" w:eastAsia="宋体" w:cs="宋体"/>
          <w:color w:val="000000"/>
          <w:sz w:val="28"/>
          <w:szCs w:val="28"/>
          <w:highlight w:val="none"/>
        </w:rPr>
      </w:pPr>
    </w:p>
    <w:p w14:paraId="2B0BB6A9">
      <w:pPr>
        <w:pStyle w:val="3"/>
        <w:ind w:firstLine="560" w:firstLineChars="200"/>
        <w:rPr>
          <w:rFonts w:hint="eastAsia" w:ascii="宋体" w:hAnsi="宋体" w:eastAsia="宋体" w:cs="宋体"/>
          <w:color w:val="000000"/>
          <w:sz w:val="28"/>
          <w:szCs w:val="28"/>
          <w:highlight w:val="none"/>
        </w:rPr>
      </w:pPr>
    </w:p>
    <w:p w14:paraId="5710784E">
      <w:pPr>
        <w:pStyle w:val="3"/>
        <w:ind w:firstLine="560" w:firstLineChars="200"/>
        <w:rPr>
          <w:rFonts w:hint="eastAsia" w:ascii="宋体" w:hAnsi="宋体" w:eastAsia="宋体" w:cs="宋体"/>
          <w:color w:val="000000"/>
          <w:sz w:val="28"/>
          <w:szCs w:val="28"/>
          <w:highlight w:val="none"/>
        </w:rPr>
      </w:pPr>
    </w:p>
    <w:p w14:paraId="1C109C35">
      <w:pPr>
        <w:pStyle w:val="3"/>
        <w:ind w:firstLine="560" w:firstLineChars="200"/>
        <w:rPr>
          <w:rFonts w:hint="eastAsia" w:ascii="宋体" w:hAnsi="宋体" w:eastAsia="宋体" w:cs="宋体"/>
          <w:color w:val="000000"/>
          <w:sz w:val="28"/>
          <w:szCs w:val="28"/>
          <w:highlight w:val="none"/>
        </w:rPr>
      </w:pPr>
    </w:p>
    <w:p w14:paraId="14F5E539">
      <w:pPr>
        <w:jc w:val="center"/>
        <w:rPr>
          <w:rFonts w:hint="eastAsia" w:ascii="宋体" w:hAnsi="宋体" w:eastAsia="宋体" w:cs="宋体"/>
          <w:b/>
          <w:bCs/>
          <w:color w:val="000000"/>
          <w:kern w:val="2"/>
          <w:sz w:val="32"/>
          <w:szCs w:val="32"/>
          <w:highlight w:val="none"/>
          <w:lang w:val="en-US" w:eastAsia="zh-CN" w:bidi="ar-SA"/>
        </w:rPr>
      </w:pPr>
      <w:r>
        <w:rPr>
          <w:rFonts w:hint="eastAsia" w:ascii="宋体" w:hAnsi="宋体" w:eastAsia="宋体" w:cs="宋体"/>
          <w:b/>
          <w:bCs/>
          <w:color w:val="000000"/>
          <w:kern w:val="2"/>
          <w:sz w:val="32"/>
          <w:szCs w:val="32"/>
          <w:highlight w:val="none"/>
          <w:lang w:val="en-US" w:eastAsia="zh-CN" w:bidi="ar-SA"/>
        </w:rPr>
        <w:t>政府采购合同</w:t>
      </w:r>
    </w:p>
    <w:p w14:paraId="15EF69A9">
      <w:pPr>
        <w:pStyle w:val="3"/>
        <w:ind w:firstLine="560" w:firstLineChars="200"/>
        <w:rPr>
          <w:rFonts w:hint="eastAsia" w:ascii="宋体" w:hAnsi="宋体" w:eastAsia="宋体" w:cs="宋体"/>
          <w:color w:val="000000"/>
          <w:sz w:val="28"/>
          <w:szCs w:val="28"/>
          <w:highlight w:val="none"/>
        </w:rPr>
      </w:pPr>
    </w:p>
    <w:p w14:paraId="0EE382F4">
      <w:pPr>
        <w:pStyle w:val="3"/>
        <w:ind w:firstLine="560" w:firstLineChars="200"/>
        <w:rPr>
          <w:rFonts w:hint="eastAsia" w:ascii="宋体" w:hAnsi="宋体" w:eastAsia="宋体" w:cs="宋体"/>
          <w:color w:val="000000"/>
          <w:sz w:val="28"/>
          <w:szCs w:val="28"/>
          <w:highlight w:val="none"/>
        </w:rPr>
      </w:pPr>
    </w:p>
    <w:p w14:paraId="7A8C59F4">
      <w:pPr>
        <w:pStyle w:val="3"/>
        <w:ind w:firstLine="560" w:firstLineChars="200"/>
        <w:rPr>
          <w:rFonts w:hint="eastAsia" w:ascii="宋体" w:hAnsi="宋体" w:eastAsia="宋体" w:cs="宋体"/>
          <w:color w:val="000000"/>
          <w:sz w:val="28"/>
          <w:szCs w:val="28"/>
          <w:highlight w:val="none"/>
        </w:rPr>
      </w:pPr>
    </w:p>
    <w:p w14:paraId="4907A75F">
      <w:pPr>
        <w:pStyle w:val="3"/>
        <w:ind w:firstLine="560" w:firstLineChars="200"/>
        <w:rPr>
          <w:rFonts w:hint="eastAsia" w:ascii="宋体" w:hAnsi="宋体" w:eastAsia="宋体" w:cs="宋体"/>
          <w:color w:val="000000"/>
          <w:sz w:val="28"/>
          <w:szCs w:val="28"/>
          <w:highlight w:val="none"/>
        </w:rPr>
      </w:pPr>
    </w:p>
    <w:p w14:paraId="647E8FA0">
      <w:pPr>
        <w:pStyle w:val="3"/>
        <w:ind w:firstLine="1478" w:firstLineChars="528"/>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合同编号：</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8"/>
          <w:szCs w:val="28"/>
          <w:highlight w:val="none"/>
        </w:rPr>
        <w:t xml:space="preserve">                                       </w:t>
      </w:r>
    </w:p>
    <w:p w14:paraId="398628BC">
      <w:pPr>
        <w:pStyle w:val="3"/>
        <w:ind w:firstLine="1478" w:firstLineChars="528"/>
        <w:jc w:val="center"/>
        <w:rPr>
          <w:rFonts w:hint="eastAsia" w:ascii="宋体" w:hAnsi="宋体" w:eastAsia="宋体" w:cs="宋体"/>
          <w:color w:val="000000"/>
          <w:sz w:val="28"/>
          <w:szCs w:val="28"/>
          <w:highlight w:val="none"/>
        </w:rPr>
      </w:pPr>
    </w:p>
    <w:p w14:paraId="5A0F10BF">
      <w:pPr>
        <w:pStyle w:val="3"/>
        <w:ind w:firstLine="1478" w:firstLineChars="528"/>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甲    方：</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8"/>
          <w:szCs w:val="28"/>
          <w:highlight w:val="none"/>
        </w:rPr>
        <w:t xml:space="preserve">                                     </w:t>
      </w:r>
    </w:p>
    <w:p w14:paraId="4BF0826A">
      <w:pPr>
        <w:pStyle w:val="3"/>
        <w:ind w:firstLine="1478" w:firstLineChars="528"/>
        <w:jc w:val="center"/>
        <w:rPr>
          <w:rFonts w:hint="eastAsia" w:ascii="宋体" w:hAnsi="宋体" w:eastAsia="宋体" w:cs="宋体"/>
          <w:color w:val="000000"/>
          <w:sz w:val="28"/>
          <w:szCs w:val="28"/>
          <w:highlight w:val="none"/>
        </w:rPr>
      </w:pPr>
    </w:p>
    <w:p w14:paraId="19931D7A">
      <w:pPr>
        <w:pStyle w:val="3"/>
        <w:ind w:firstLine="1478" w:firstLineChars="528"/>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乙    方：</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8"/>
          <w:szCs w:val="28"/>
          <w:highlight w:val="none"/>
        </w:rPr>
        <w:t xml:space="preserve">                                      </w:t>
      </w:r>
    </w:p>
    <w:p w14:paraId="6B9B4AD3">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8"/>
          <w:szCs w:val="28"/>
          <w:highlight w:val="none"/>
        </w:rPr>
        <w:br w:type="page"/>
      </w:r>
      <w:bookmarkStart w:id="0" w:name="_Toc532895264"/>
      <w:r>
        <w:rPr>
          <w:rFonts w:hint="eastAsia" w:ascii="宋体" w:hAnsi="宋体" w:eastAsia="宋体" w:cs="宋体"/>
          <w:color w:val="000000"/>
          <w:sz w:val="24"/>
          <w:highlight w:val="none"/>
        </w:rPr>
        <w:t>甲方：</w:t>
      </w:r>
      <w:r>
        <w:rPr>
          <w:rFonts w:hint="eastAsia" w:ascii="宋体" w:hAnsi="宋体" w:eastAsia="宋体" w:cs="宋体"/>
          <w:color w:val="000000"/>
          <w:sz w:val="24"/>
          <w:highlight w:val="none"/>
          <w:u w:val="single"/>
        </w:rPr>
        <w:t xml:space="preserve">                           </w:t>
      </w:r>
    </w:p>
    <w:p w14:paraId="6ED2CE21">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sz w:val="24"/>
          <w:highlight w:val="none"/>
        </w:rPr>
      </w:pPr>
    </w:p>
    <w:p w14:paraId="47FA149C">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乙方：</w:t>
      </w:r>
      <w:r>
        <w:rPr>
          <w:rFonts w:hint="eastAsia" w:ascii="宋体" w:hAnsi="宋体" w:eastAsia="宋体" w:cs="宋体"/>
          <w:color w:val="000000"/>
          <w:sz w:val="24"/>
          <w:highlight w:val="none"/>
          <w:u w:val="single"/>
        </w:rPr>
        <w:t xml:space="preserve">                           </w:t>
      </w:r>
    </w:p>
    <w:p w14:paraId="75C332A4">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000000"/>
          <w:sz w:val="24"/>
          <w:highlight w:val="none"/>
        </w:rPr>
      </w:pPr>
    </w:p>
    <w:p w14:paraId="713E0304">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根据《中华人民共和国民法典》及其他相关法律规定，为了明确甲乙双方的权利、义务，经过甲、乙双方充分协商，就甲方</w:t>
      </w:r>
      <w:r>
        <w:rPr>
          <w:rFonts w:hint="eastAsia" w:ascii="宋体" w:hAnsi="宋体" w:eastAsia="宋体" w:cs="宋体"/>
          <w:color w:val="000000"/>
          <w:sz w:val="24"/>
          <w:highlight w:val="none"/>
          <w:u w:val="single"/>
        </w:rPr>
        <w:t xml:space="preserve"> </w:t>
      </w:r>
      <w:r>
        <w:rPr>
          <w:rFonts w:hint="eastAsia" w:ascii="宋体" w:hAnsi="宋体" w:cs="宋体"/>
          <w:color w:val="000000"/>
          <w:sz w:val="24"/>
          <w:highlight w:val="none"/>
          <w:u w:val="single"/>
          <w:lang w:val="en-US" w:eastAsia="zh-CN"/>
        </w:rPr>
        <w:t xml:space="preserve">          </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事宜达成如下协议，以便共同信守。</w:t>
      </w:r>
    </w:p>
    <w:p w14:paraId="7FE8EC86">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一、服务条件</w:t>
      </w:r>
    </w:p>
    <w:p w14:paraId="4E036CC1">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rPr>
        <w:t>1、服务地点：</w:t>
      </w:r>
    </w:p>
    <w:p w14:paraId="57E3D8A2">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2、服务期：自</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日至</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日。</w:t>
      </w:r>
    </w:p>
    <w:p w14:paraId="475258CB">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二、合同价款</w:t>
      </w:r>
    </w:p>
    <w:p w14:paraId="283787FF">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1、合同总价款为人民币</w:t>
      </w:r>
      <w:r>
        <w:rPr>
          <w:rFonts w:hint="eastAsia" w:ascii="宋体" w:hAnsi="宋体" w:eastAsia="宋体" w:cs="宋体"/>
          <w:color w:val="000000"/>
          <w:sz w:val="24"/>
          <w:highlight w:val="none"/>
          <w:u w:val="single"/>
        </w:rPr>
        <w:t>（大写）             （¥            ）</w:t>
      </w:r>
      <w:r>
        <w:rPr>
          <w:rFonts w:hint="eastAsia" w:ascii="宋体" w:hAnsi="宋体" w:eastAsia="宋体" w:cs="宋体"/>
          <w:color w:val="000000"/>
          <w:sz w:val="24"/>
          <w:highlight w:val="none"/>
        </w:rPr>
        <w:t>。</w:t>
      </w:r>
    </w:p>
    <w:p w14:paraId="708B1099">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2、合同总价包括：</w:t>
      </w:r>
      <w:r>
        <w:rPr>
          <w:rFonts w:hint="eastAsia" w:ascii="宋体" w:hAnsi="宋体" w:cs="宋体"/>
          <w:color w:val="000000"/>
          <w:sz w:val="24"/>
          <w:highlight w:val="none"/>
          <w:lang w:val="en-US" w:eastAsia="zh-CN"/>
        </w:rPr>
        <w:t>包含所有软件、硬件的费用、</w:t>
      </w:r>
      <w:r>
        <w:rPr>
          <w:rFonts w:hint="eastAsia" w:ascii="宋体" w:hAnsi="宋体" w:eastAsia="宋体" w:cs="宋体"/>
          <w:color w:val="000000"/>
          <w:sz w:val="24"/>
          <w:highlight w:val="none"/>
        </w:rPr>
        <w:t>服务人员的人工费（工资、社保、福利等）、节假日加班费、员工培训费、办公经费及劳保，企业法定利润、财务费用、管理费用和税金等乙方需要的费用。</w:t>
      </w:r>
    </w:p>
    <w:p w14:paraId="49F17372">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3、合同价款形式：固定总价合同，合同期内不受市场价格变化因素的影响。</w:t>
      </w:r>
    </w:p>
    <w:p w14:paraId="50993392">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三、付款方式</w:t>
      </w:r>
    </w:p>
    <w:p w14:paraId="0E571605">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1、结算单位：采购人结算，在付款前必须开具等额发票给采购人。</w:t>
      </w:r>
    </w:p>
    <w:p w14:paraId="51177B43">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default" w:ascii="宋体" w:hAnsi="宋体" w:eastAsia="宋体" w:cs="宋体"/>
          <w:color w:val="000000"/>
          <w:sz w:val="24"/>
          <w:highlight w:val="none"/>
          <w:lang w:val="en-US" w:eastAsia="zh-CN"/>
        </w:rPr>
      </w:pPr>
      <w:r>
        <w:rPr>
          <w:rFonts w:hint="eastAsia" w:ascii="宋体" w:hAnsi="宋体" w:eastAsia="宋体" w:cs="宋体"/>
          <w:color w:val="000000"/>
          <w:sz w:val="24"/>
          <w:highlight w:val="none"/>
        </w:rPr>
        <w:t>2、付款方式：</w:t>
      </w:r>
      <w:r>
        <w:rPr>
          <w:rFonts w:hint="eastAsia" w:ascii="宋体" w:hAnsi="宋体" w:cs="宋体"/>
          <w:color w:val="000000"/>
          <w:sz w:val="24"/>
          <w:highlight w:val="none"/>
          <w:lang w:eastAsia="zh-CN"/>
        </w:rPr>
        <w:t>施工进场后，达到付款条件起10个工作日内，支付合同总金额的30.0%；项目实施完成验收后，达到付款条件起10个工作日内，支付合同总金额的70.0%。（</w:t>
      </w:r>
      <w:r>
        <w:rPr>
          <w:rFonts w:hint="eastAsia" w:ascii="宋体" w:hAnsi="宋体" w:cs="宋体"/>
          <w:color w:val="000000"/>
          <w:sz w:val="24"/>
          <w:highlight w:val="none"/>
          <w:lang w:val="en-US" w:eastAsia="zh-CN"/>
        </w:rPr>
        <w:t>注：付款方式以甲乙双方最终签订的合同为准</w:t>
      </w:r>
      <w:r>
        <w:rPr>
          <w:rFonts w:hint="eastAsia" w:ascii="宋体" w:hAnsi="宋体" w:cs="宋体"/>
          <w:color w:val="000000"/>
          <w:sz w:val="24"/>
          <w:highlight w:val="none"/>
          <w:lang w:eastAsia="zh-CN"/>
        </w:rPr>
        <w:t>）</w:t>
      </w:r>
    </w:p>
    <w:p w14:paraId="47E2FC7D">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四</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rPr>
        <w:t>服务人员配置标准</w:t>
      </w:r>
    </w:p>
    <w:p w14:paraId="78032838">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按照项目需求进行配置。</w:t>
      </w:r>
    </w:p>
    <w:p w14:paraId="02354F9D">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五、服务内容</w:t>
      </w:r>
    </w:p>
    <w:p w14:paraId="4751FCEE">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cs="宋体"/>
          <w:color w:val="000000"/>
          <w:sz w:val="24"/>
          <w:highlight w:val="none"/>
          <w:lang w:val="en-US" w:eastAsia="zh-CN"/>
        </w:rPr>
      </w:pPr>
      <w:r>
        <w:rPr>
          <w:rFonts w:hint="eastAsia" w:ascii="宋体" w:hAnsi="宋体" w:cs="宋体"/>
          <w:color w:val="000000"/>
          <w:sz w:val="24"/>
          <w:highlight w:val="none"/>
          <w:lang w:val="en-US" w:eastAsia="zh-CN"/>
        </w:rPr>
        <w:t xml:space="preserve">   搭建区域影像共享平台，依托平台下沉县级影像专家资源，构建基层检查、总院诊断的分级诊疗体系，打通县级医院与乡镇卫生院影像数据传输链路，全面补齐基层医疗机构影像信息化短板。</w:t>
      </w:r>
    </w:p>
    <w:p w14:paraId="6F02BB5A">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default" w:ascii="宋体" w:hAnsi="宋体" w:cs="宋体"/>
          <w:color w:val="000000"/>
          <w:sz w:val="24"/>
          <w:highlight w:val="none"/>
          <w:lang w:val="en-US" w:eastAsia="zh-CN"/>
        </w:rPr>
      </w:pPr>
      <w:r>
        <w:rPr>
          <w:rFonts w:hint="eastAsia" w:ascii="宋体" w:hAnsi="宋体" w:cs="宋体"/>
          <w:color w:val="000000"/>
          <w:sz w:val="24"/>
          <w:highlight w:val="none"/>
          <w:lang w:val="en-US" w:eastAsia="zh-CN"/>
        </w:rPr>
        <w:t>服务内容详见服务清单后附</w:t>
      </w:r>
      <w:bookmarkStart w:id="1" w:name="_GoBack"/>
      <w:bookmarkEnd w:id="1"/>
      <w:r>
        <w:rPr>
          <w:rFonts w:hint="eastAsia" w:ascii="宋体" w:hAnsi="宋体" w:cs="宋体"/>
          <w:color w:val="000000"/>
          <w:sz w:val="24"/>
          <w:highlight w:val="none"/>
          <w:lang w:val="en-US" w:eastAsia="zh-CN"/>
        </w:rPr>
        <w:t>。</w:t>
      </w:r>
    </w:p>
    <w:p w14:paraId="5BC9A567">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sz w:val="24"/>
          <w:highlight w:val="none"/>
        </w:rPr>
      </w:pPr>
      <w:r>
        <w:rPr>
          <w:rFonts w:hint="eastAsia" w:ascii="宋体" w:hAnsi="宋体" w:cs="宋体"/>
          <w:color w:val="000000"/>
          <w:sz w:val="24"/>
          <w:highlight w:val="none"/>
          <w:lang w:eastAsia="zh-CN"/>
        </w:rPr>
        <w:t>六</w:t>
      </w:r>
      <w:r>
        <w:rPr>
          <w:rFonts w:hint="eastAsia" w:ascii="宋体" w:hAnsi="宋体" w:eastAsia="宋体" w:cs="宋体"/>
          <w:color w:val="000000"/>
          <w:sz w:val="24"/>
          <w:highlight w:val="none"/>
        </w:rPr>
        <w:t>、违约责任</w:t>
      </w:r>
    </w:p>
    <w:p w14:paraId="5051A437">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1、按《中华人民共和国民法典》中的相关条款执行。</w:t>
      </w:r>
    </w:p>
    <w:p w14:paraId="41F641CA">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2、乙方提供的服务不符合本项目相关文件和本合同规定的，甲方有权拒绝，并且乙方须向甲方支付本合同总价款</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%的违约金。</w:t>
      </w:r>
    </w:p>
    <w:p w14:paraId="3673810D">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3、乙方未能按照本合同约定时间提供服务或完成约定的项目服务内容的，从逾期之日起每日按本合同总价款</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%的数额向甲方支付违约金；逾期10日以上的，甲方有权终止合同，由此造成的甲方经济损失由乙方承担。</w:t>
      </w:r>
    </w:p>
    <w:p w14:paraId="5030EED9">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4、在本合同履行过程中，双方因违约或造成对方经济、社会效益等损失的应当赔偿。</w:t>
      </w:r>
    </w:p>
    <w:p w14:paraId="60B5C6F9">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5、任何一方无正当理由不得提前解除劳动合同。</w:t>
      </w:r>
    </w:p>
    <w:p w14:paraId="158729C0">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sz w:val="24"/>
          <w:highlight w:val="none"/>
        </w:rPr>
      </w:pPr>
      <w:r>
        <w:rPr>
          <w:rFonts w:hint="eastAsia" w:ascii="宋体" w:hAnsi="宋体" w:cs="宋体"/>
          <w:color w:val="000000"/>
          <w:sz w:val="24"/>
          <w:highlight w:val="none"/>
          <w:lang w:eastAsia="zh-CN"/>
        </w:rPr>
        <w:t>七</w:t>
      </w:r>
      <w:r>
        <w:rPr>
          <w:rFonts w:hint="eastAsia" w:ascii="宋体" w:hAnsi="宋体" w:eastAsia="宋体" w:cs="宋体"/>
          <w:color w:val="000000"/>
          <w:sz w:val="24"/>
          <w:highlight w:val="none"/>
        </w:rPr>
        <w:t>、保密条款</w:t>
      </w:r>
    </w:p>
    <w:p w14:paraId="1976F86B">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（一）乙方应遵守国家有关保密的法律法规和行业规定，并对甲方提供的资料负有保密义务。未经甲方同意，不得将承接本项目各种信息和资料提供给其他单位和个人。如发生以上情况，甲方有权索赔。</w:t>
      </w:r>
    </w:p>
    <w:p w14:paraId="4722BA40">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（二）本条款为独立条款，本合同的无效、变更、解除和终止均不影响本条款的效力。</w:t>
      </w:r>
    </w:p>
    <w:p w14:paraId="6FD3DD70">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sz w:val="24"/>
          <w:highlight w:val="none"/>
        </w:rPr>
      </w:pPr>
      <w:r>
        <w:rPr>
          <w:rFonts w:hint="eastAsia" w:ascii="宋体" w:hAnsi="宋体" w:cs="宋体"/>
          <w:color w:val="000000"/>
          <w:sz w:val="24"/>
          <w:highlight w:val="none"/>
          <w:lang w:eastAsia="zh-CN"/>
        </w:rPr>
        <w:t>八</w:t>
      </w:r>
      <w:r>
        <w:rPr>
          <w:rFonts w:hint="eastAsia" w:ascii="宋体" w:hAnsi="宋体" w:eastAsia="宋体" w:cs="宋体"/>
          <w:color w:val="000000"/>
          <w:sz w:val="24"/>
          <w:highlight w:val="none"/>
        </w:rPr>
        <w:t>、争议解决</w:t>
      </w:r>
    </w:p>
    <w:p w14:paraId="41EDBBD3">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（一）本合同履行过程中发生的纠纷双方应协商解决。</w:t>
      </w:r>
    </w:p>
    <w:p w14:paraId="49792A4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（二）协商不成的，可向甲方所在地人民法院提起诉讼。</w:t>
      </w:r>
    </w:p>
    <w:p w14:paraId="3A7D1B7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4"/>
          <w:highlight w:val="none"/>
        </w:rPr>
      </w:pPr>
      <w:r>
        <w:rPr>
          <w:rFonts w:hint="eastAsia" w:ascii="宋体" w:hAnsi="宋体" w:cs="宋体"/>
          <w:color w:val="000000"/>
          <w:sz w:val="24"/>
          <w:highlight w:val="none"/>
          <w:lang w:eastAsia="zh-CN"/>
        </w:rPr>
        <w:t>九</w:t>
      </w:r>
      <w:r>
        <w:rPr>
          <w:rFonts w:hint="eastAsia" w:ascii="宋体" w:hAnsi="宋体" w:eastAsia="宋体" w:cs="宋体"/>
          <w:color w:val="000000"/>
          <w:sz w:val="24"/>
          <w:highlight w:val="none"/>
        </w:rPr>
        <w:t>、合同变更</w:t>
      </w:r>
    </w:p>
    <w:p w14:paraId="342A1A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在合同的执行期内，双方均不得随意变更或解除合同。如因项目需求情况发生变化，需要项目变更的，应双方协商后签订项目变更协议。</w:t>
      </w:r>
    </w:p>
    <w:p w14:paraId="0166BD6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十、合同生效</w:t>
      </w:r>
    </w:p>
    <w:p w14:paraId="09228E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本合同一式</w:t>
      </w:r>
      <w:r>
        <w:rPr>
          <w:rFonts w:hint="eastAsia" w:ascii="宋体" w:hAnsi="宋体" w:eastAsia="宋体" w:cs="宋体"/>
          <w:color w:val="000000"/>
          <w:sz w:val="24"/>
          <w:highlight w:val="none"/>
          <w:u w:val="single"/>
        </w:rPr>
        <w:t xml:space="preserve"> 陆 </w:t>
      </w:r>
      <w:r>
        <w:rPr>
          <w:rFonts w:hint="eastAsia" w:ascii="宋体" w:hAnsi="宋体" w:eastAsia="宋体" w:cs="宋体"/>
          <w:color w:val="000000"/>
          <w:sz w:val="24"/>
          <w:highlight w:val="none"/>
        </w:rPr>
        <w:t>份，甲方持</w:t>
      </w:r>
      <w:r>
        <w:rPr>
          <w:rFonts w:hint="eastAsia" w:ascii="宋体" w:hAnsi="宋体" w:eastAsia="宋体" w:cs="宋体"/>
          <w:color w:val="000000"/>
          <w:sz w:val="24"/>
          <w:highlight w:val="none"/>
          <w:u w:val="single"/>
        </w:rPr>
        <w:t xml:space="preserve"> 叁 </w:t>
      </w:r>
      <w:r>
        <w:rPr>
          <w:rFonts w:hint="eastAsia" w:ascii="宋体" w:hAnsi="宋体" w:eastAsia="宋体" w:cs="宋体"/>
          <w:color w:val="000000"/>
          <w:sz w:val="24"/>
          <w:highlight w:val="none"/>
        </w:rPr>
        <w:t>份，乙方持</w:t>
      </w:r>
      <w:r>
        <w:rPr>
          <w:rFonts w:hint="eastAsia" w:ascii="宋体" w:hAnsi="宋体" w:eastAsia="宋体" w:cs="宋体"/>
          <w:color w:val="000000"/>
          <w:sz w:val="24"/>
          <w:highlight w:val="none"/>
          <w:u w:val="single"/>
        </w:rPr>
        <w:t xml:space="preserve"> 叁 </w:t>
      </w:r>
      <w:r>
        <w:rPr>
          <w:rFonts w:hint="eastAsia" w:ascii="宋体" w:hAnsi="宋体" w:eastAsia="宋体" w:cs="宋体"/>
          <w:color w:val="000000"/>
          <w:sz w:val="24"/>
          <w:highlight w:val="none"/>
        </w:rPr>
        <w:t>份，本合同双方签字盖章后生效，合同执行完毕后，自动失效。</w:t>
      </w:r>
    </w:p>
    <w:p w14:paraId="53E7717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十</w:t>
      </w:r>
      <w:r>
        <w:rPr>
          <w:rFonts w:hint="eastAsia" w:ascii="宋体" w:hAnsi="宋体" w:cs="宋体"/>
          <w:color w:val="000000"/>
          <w:sz w:val="24"/>
          <w:highlight w:val="none"/>
          <w:lang w:eastAsia="zh-CN"/>
        </w:rPr>
        <w:t>一</w:t>
      </w:r>
      <w:r>
        <w:rPr>
          <w:rFonts w:hint="eastAsia" w:ascii="宋体" w:hAnsi="宋体" w:eastAsia="宋体" w:cs="宋体"/>
          <w:color w:val="000000"/>
          <w:sz w:val="24"/>
          <w:highlight w:val="none"/>
        </w:rPr>
        <w:t>、其他事项</w:t>
      </w:r>
    </w:p>
    <w:p w14:paraId="6E74ABE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1、本合同附件与本合同具有同等法律效力。</w:t>
      </w:r>
    </w:p>
    <w:p w14:paraId="195C06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2、合同未尽事宜，由双方协商确认后签订补充协议，与原合同具有同等法律效力。</w:t>
      </w:r>
    </w:p>
    <w:p w14:paraId="32E4D34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（注：协议具体事宜以双方协商签订为准）</w:t>
      </w:r>
    </w:p>
    <w:p w14:paraId="172C91CA">
      <w:pPr>
        <w:spacing w:line="480" w:lineRule="auto"/>
        <w:ind w:firstLine="480" w:firstLineChars="200"/>
        <w:jc w:val="left"/>
        <w:rPr>
          <w:rFonts w:hint="eastAsia" w:ascii="宋体" w:hAnsi="宋体" w:eastAsia="宋体" w:cs="宋体"/>
          <w:color w:val="000000"/>
          <w:sz w:val="24"/>
          <w:highlight w:val="none"/>
        </w:rPr>
      </w:pPr>
    </w:p>
    <w:tbl>
      <w:tblPr>
        <w:tblStyle w:val="5"/>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377"/>
        <w:gridCol w:w="4560"/>
      </w:tblGrid>
      <w:tr w14:paraId="2CF1B135">
        <w:tblPrEx>
          <w:tblCellMar>
            <w:top w:w="0" w:type="dxa"/>
            <w:left w:w="108" w:type="dxa"/>
            <w:bottom w:w="0" w:type="dxa"/>
            <w:right w:w="108" w:type="dxa"/>
          </w:tblCellMar>
        </w:tblPrEx>
        <w:trPr>
          <w:trHeight w:val="1101" w:hRule="atLeast"/>
        </w:trPr>
        <w:tc>
          <w:tcPr>
            <w:tcW w:w="4377" w:type="dxa"/>
            <w:noWrap w:val="0"/>
            <w:tcMar>
              <w:top w:w="113" w:type="dxa"/>
              <w:left w:w="113" w:type="dxa"/>
              <w:bottom w:w="113" w:type="dxa"/>
              <w:right w:w="113" w:type="dxa"/>
            </w:tcMar>
            <w:vAlign w:val="top"/>
          </w:tcPr>
          <w:p w14:paraId="2CCDA55F">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甲    方（盖章）：</w:t>
            </w:r>
          </w:p>
          <w:p w14:paraId="2425D266">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法定代表人</w:t>
            </w:r>
          </w:p>
          <w:p w14:paraId="44B8870A">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或委托代理人(签字或盖章)：</w:t>
            </w:r>
          </w:p>
          <w:p w14:paraId="4C125AF3">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地    址： </w:t>
            </w:r>
          </w:p>
          <w:p w14:paraId="40C2D7AC">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邮    编：</w:t>
            </w:r>
          </w:p>
          <w:p w14:paraId="138E7443">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电    话：</w:t>
            </w:r>
          </w:p>
          <w:p w14:paraId="2D9961B1">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传    真：</w:t>
            </w:r>
          </w:p>
          <w:p w14:paraId="229AC7A7">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开户银行：</w:t>
            </w:r>
          </w:p>
          <w:p w14:paraId="7FC49A11">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帐    号：</w:t>
            </w:r>
          </w:p>
          <w:p w14:paraId="7E39E3A6">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      年   月   日 </w:t>
            </w:r>
          </w:p>
        </w:tc>
        <w:tc>
          <w:tcPr>
            <w:tcW w:w="4560" w:type="dxa"/>
            <w:noWrap w:val="0"/>
            <w:tcMar>
              <w:top w:w="113" w:type="dxa"/>
              <w:left w:w="113" w:type="dxa"/>
              <w:bottom w:w="113" w:type="dxa"/>
              <w:right w:w="113" w:type="dxa"/>
            </w:tcMar>
            <w:vAlign w:val="top"/>
          </w:tcPr>
          <w:p w14:paraId="411669FB">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乙    方（盖章）：</w:t>
            </w:r>
          </w:p>
          <w:p w14:paraId="16827BCD">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法定代表人</w:t>
            </w:r>
          </w:p>
          <w:p w14:paraId="58F1C810">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或委托代理人(签字或盖章)：</w:t>
            </w:r>
          </w:p>
          <w:p w14:paraId="4BD6FF4E">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地    址： </w:t>
            </w:r>
          </w:p>
          <w:p w14:paraId="5DFC45AD">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邮    编： </w:t>
            </w:r>
          </w:p>
          <w:p w14:paraId="765C6514">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电    话： </w:t>
            </w:r>
          </w:p>
          <w:p w14:paraId="6A58BB79">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传    真：  </w:t>
            </w:r>
          </w:p>
          <w:p w14:paraId="09B1F258">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开户银行：</w:t>
            </w:r>
          </w:p>
          <w:p w14:paraId="0420F527">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帐    号：</w:t>
            </w:r>
          </w:p>
          <w:p w14:paraId="3F523618">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    年    月    日</w:t>
            </w:r>
          </w:p>
        </w:tc>
      </w:tr>
      <w:bookmarkEnd w:id="0"/>
    </w:tbl>
    <w:p w14:paraId="4DE0EE3B"/>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9108E"/>
    <w:rsid w:val="059B6833"/>
    <w:rsid w:val="24822A0F"/>
    <w:rsid w:val="250A6664"/>
    <w:rsid w:val="4F6F57B7"/>
    <w:rsid w:val="4FF56F45"/>
    <w:rsid w:val="52E730D6"/>
    <w:rsid w:val="53BE2D3C"/>
    <w:rsid w:val="56E31F18"/>
    <w:rsid w:val="64787C1D"/>
    <w:rsid w:val="668B028C"/>
    <w:rsid w:val="686743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next w:val="1"/>
    <w:link w:val="7"/>
    <w:qFormat/>
    <w:uiPriority w:val="99"/>
    <w:pPr>
      <w:keepNext/>
      <w:keepLines/>
      <w:widowControl w:val="0"/>
      <w:spacing w:before="120" w:beforeLines="0" w:after="120" w:afterLines="0" w:line="360" w:lineRule="auto"/>
      <w:jc w:val="center"/>
      <w:outlineLvl w:val="0"/>
    </w:pPr>
    <w:rPr>
      <w:rFonts w:ascii="Times New Roman" w:hAnsi="Times New Roman" w:eastAsia="仿宋" w:cs="Times New Roman"/>
      <w:b/>
      <w:bCs/>
      <w:kern w:val="44"/>
      <w:sz w:val="32"/>
      <w:szCs w:val="4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Plain Text"/>
    <w:qFormat/>
    <w:uiPriority w:val="99"/>
    <w:pPr>
      <w:widowControl w:val="0"/>
      <w:spacing w:line="324" w:lineRule="auto"/>
      <w:jc w:val="both"/>
    </w:pPr>
    <w:rPr>
      <w:rFonts w:ascii="宋体" w:hAnsi="Courier New" w:eastAsia="宋体" w:cs="Times New Roman"/>
      <w:kern w:val="2"/>
      <w:sz w:val="21"/>
      <w:szCs w:val="21"/>
      <w:lang w:val="en-US" w:eastAsia="zh-CN" w:bidi="ar-SA"/>
    </w:rPr>
  </w:style>
  <w:style w:type="paragraph" w:styleId="4">
    <w:name w:val="Subtitle"/>
    <w:next w:val="1"/>
    <w:qFormat/>
    <w:uiPriority w:val="0"/>
    <w:pPr>
      <w:widowControl w:val="0"/>
      <w:spacing w:before="240" w:after="60" w:line="312" w:lineRule="auto"/>
      <w:jc w:val="center"/>
      <w:outlineLvl w:val="1"/>
    </w:pPr>
    <w:rPr>
      <w:rFonts w:ascii="Cambria" w:hAnsi="Cambria" w:eastAsia="宋体" w:cs="Times New Roman"/>
      <w:b/>
      <w:bCs/>
      <w:kern w:val="28"/>
      <w:sz w:val="32"/>
      <w:szCs w:val="32"/>
      <w:lang w:val="en-US" w:eastAsia="zh-CN" w:bidi="ar-SA"/>
    </w:rPr>
  </w:style>
  <w:style w:type="character" w:customStyle="1" w:styleId="7">
    <w:name w:val="标题 1 字符"/>
    <w:link w:val="2"/>
    <w:qFormat/>
    <w:uiPriority w:val="99"/>
    <w:rPr>
      <w:rFonts w:ascii="Times New Roman" w:hAnsi="Times New Roman" w:eastAsia="仿宋"/>
      <w:b/>
      <w:bCs/>
      <w:kern w:val="44"/>
      <w:sz w:val="32"/>
      <w:szCs w:val="44"/>
      <w:lang w:val="en-US" w:eastAsia="zh-CN" w:bidi="ar-SA"/>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1362</Words>
  <Characters>1376</Characters>
  <Lines>0</Lines>
  <Paragraphs>0</Paragraphs>
  <TotalTime>23</TotalTime>
  <ScaleCrop>false</ScaleCrop>
  <LinksUpToDate>false</LinksUpToDate>
  <CharactersWithSpaces>1823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2026-03-10T09:17:00Z</dcterms:created>
  <dc:creator>Administrator</dc:creator>
  <cp:lastModifiedBy>洛洛</cp:lastModifiedBy>
  <dcterms:modified xsi:type="dcterms:W3CDTF">2026-08-09T02:27:04Z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eyJoZGlkIjoiZjA3NTc0MjU4NGE2NDVlODMxNTVjMWQ2ZjllNmFmODciLCJ1c2VySWQiOiIxMjk2NDkwNzQ0In0=</vt:lpwstr>
  </property>
  <property fmtid="{D5CDD505-2E9C-101B-9397-08002B2CF9AE}" pid="4" name="ICV">
    <vt:lpwstr>936DEF21560C42328E88DEAB793D9900_13</vt:lpwstr>
  </property>
</Properties>
</file>