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版本号：ZTC2026FW01120260813001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典型区域地下水超标离子分布特征与影响因素分析专题研究采购项目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ZTC2026FW011</w:t>
      </w:r>
      <w:r>
        <w:br/>
      </w:r>
      <w:r>
        <w:br/>
      </w:r>
      <w:r>
        <w:br/>
      </w:r>
    </w:p>
    <w:p>
      <w:pPr>
        <w:pStyle w:val="null3"/>
        <w:jc w:val="center"/>
        <w:outlineLvl w:val="2"/>
      </w:pPr>
      <w:r>
        <w:rPr>
          <w:rFonts w:ascii="仿宋_GB2312" w:hAnsi="仿宋_GB2312" w:cs="仿宋_GB2312" w:eastAsia="仿宋_GB2312"/>
          <w:sz w:val="28"/>
          <w:b/>
        </w:rPr>
        <w:t>省地质环境监测总站</w:t>
      </w:r>
    </w:p>
    <w:p>
      <w:pPr>
        <w:pStyle w:val="null3"/>
        <w:jc w:val="center"/>
        <w:outlineLvl w:val="2"/>
      </w:pPr>
      <w:r>
        <w:rPr>
          <w:rFonts w:ascii="仿宋_GB2312" w:hAnsi="仿宋_GB2312" w:cs="仿宋_GB2312" w:eastAsia="仿宋_GB2312"/>
          <w:sz w:val="28"/>
          <w:b/>
        </w:rPr>
        <w:t>陕西中金招标有限公司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陕西中金招标有限公司</w:t>
      </w:r>
      <w:r>
        <w:rPr>
          <w:rFonts w:ascii="仿宋_GB2312" w:hAnsi="仿宋_GB2312" w:cs="仿宋_GB2312" w:eastAsia="仿宋_GB2312"/>
        </w:rPr>
        <w:t>（以下简称“代理机构”）受</w:t>
      </w:r>
      <w:r>
        <w:rPr>
          <w:rFonts w:ascii="仿宋_GB2312" w:hAnsi="仿宋_GB2312" w:cs="仿宋_GB2312" w:eastAsia="仿宋_GB2312"/>
        </w:rPr>
        <w:t>省地质环境监测总站</w:t>
      </w:r>
      <w:r>
        <w:rPr>
          <w:rFonts w:ascii="仿宋_GB2312" w:hAnsi="仿宋_GB2312" w:cs="仿宋_GB2312" w:eastAsia="仿宋_GB2312"/>
        </w:rPr>
        <w:t>委托，拟对</w:t>
      </w:r>
      <w:r>
        <w:rPr>
          <w:rFonts w:ascii="仿宋_GB2312" w:hAnsi="仿宋_GB2312" w:cs="仿宋_GB2312" w:eastAsia="仿宋_GB2312"/>
        </w:rPr>
        <w:t>典型区域地下水超标离子分布特征与影响因素分析专题研究采购项目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ZTC2026FW011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典型区域地下水超标离子分布特征与影响因素分析专题研究采购项目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关中盆地引汉济渭（二期）区域地下水动态监测评价》项目总体设计，拟委托开展“典型区域地下水超标离子分布特征与影响因素分析”专题研究，开展典型区域地下水超标离子、空间分布与成因分析，为关中盆地引汉济渭区域水环境效应评估提供基础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1、营业执照：供应商的营业执照等证明文件，自然人的身份证明。</w:t>
      </w:r>
    </w:p>
    <w:p>
      <w:pPr>
        <w:pStyle w:val="null3"/>
      </w:pPr>
      <w:r>
        <w:rPr>
          <w:rFonts w:ascii="仿宋_GB2312" w:hAnsi="仿宋_GB2312" w:cs="仿宋_GB2312" w:eastAsia="仿宋_GB2312"/>
        </w:rPr>
        <w:t>2、法定代表人（单位负责人）身份证明或法定代表人委托授权书：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pPr>
        <w:pStyle w:val="null3"/>
      </w:pPr>
      <w:r>
        <w:rPr>
          <w:rFonts w:ascii="仿宋_GB2312" w:hAnsi="仿宋_GB2312" w:cs="仿宋_GB2312" w:eastAsia="仿宋_GB2312"/>
        </w:rPr>
        <w:t>3、财务状况报告：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4、税收缴纳证明：提供供应商自投标前12个月以来已缴纳任意时段完税凭证或税务机关开具的完税证明（任意税种）；依法免税的应提供相关文件证明。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5、社会保障资金缴纳证明：提供供应商自投标前6个月以来已缴存的任意时段的社会保障资金缴存单据或社保机构开具的社会保险参保缴费情况证明；依法不需要缴纳社会保障资金的供应商应提供相关文件证明。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6、承诺函：提供供应商具备履行合同所必需的设备和专业技术能力的承诺函。</w:t>
      </w:r>
    </w:p>
    <w:p>
      <w:pPr>
        <w:pStyle w:val="null3"/>
      </w:pPr>
      <w:r>
        <w:rPr>
          <w:rFonts w:ascii="仿宋_GB2312" w:hAnsi="仿宋_GB2312" w:cs="仿宋_GB2312" w:eastAsia="仿宋_GB2312"/>
        </w:rPr>
        <w:t>7、书面声明：提供供应商参加本次采购前3年内，在经营活动中没有重大违法记录的书面声明。</w:t>
      </w:r>
    </w:p>
    <w:p>
      <w:pPr>
        <w:pStyle w:val="null3"/>
      </w:pPr>
      <w:r>
        <w:rPr>
          <w:rFonts w:ascii="仿宋_GB2312" w:hAnsi="仿宋_GB2312" w:cs="仿宋_GB2312" w:eastAsia="仿宋_GB2312"/>
        </w:rPr>
        <w:t>8、磋商保证金：提供磋商保证金缴纳凭证。</w:t>
      </w:r>
    </w:p>
    <w:p>
      <w:pPr>
        <w:pStyle w:val="null3"/>
      </w:pPr>
      <w:r>
        <w:rPr>
          <w:rFonts w:ascii="仿宋_GB2312" w:hAnsi="仿宋_GB2312" w:cs="仿宋_GB2312" w:eastAsia="仿宋_GB2312"/>
        </w:rPr>
        <w:t>9、信用查询：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省地质环境监测总站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陶福平、许肖锋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029-87862917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陕西中金招标有限公司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陕西省西安市莲湖区丰庆路39号御溪望城5号楼4层沃林办公A421室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张少晖、寇超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029-89527191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开户名称：陕西中金招标有限公司</w:t>
            </w:r>
          </w:p>
          <w:p>
            <w:pPr>
              <w:pStyle w:val="null3"/>
            </w:pPr>
            <w:r>
              <w:rPr>
                <w:rFonts w:ascii="仿宋_GB2312" w:hAnsi="仿宋_GB2312" w:cs="仿宋_GB2312" w:eastAsia="仿宋_GB2312"/>
              </w:rPr>
              <w:t>开户银行：齐商银行股份有限公司西安杏园路支行</w:t>
            </w:r>
          </w:p>
          <w:p>
            <w:pPr>
              <w:pStyle w:val="null3"/>
            </w:pPr>
            <w:r>
              <w:rPr>
                <w:rFonts w:ascii="仿宋_GB2312" w:hAnsi="仿宋_GB2312" w:cs="仿宋_GB2312" w:eastAsia="仿宋_GB2312"/>
              </w:rPr>
              <w:t>银行账号：801116001421002339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收费管理暂行办法的通知》（计价格〔2002〕1980号）和国家发改委办公厅《关于招标代理服务收费有关问题的通知》（发改办价格〔2003〕857号）文件规定标准计算，不足5000.00元按5000.00元收取。具体收费金额将在中标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省地质环境监测总站</w:t>
      </w:r>
      <w:r>
        <w:rPr>
          <w:rFonts w:ascii="仿宋_GB2312" w:hAnsi="仿宋_GB2312" w:cs="仿宋_GB2312" w:eastAsia="仿宋_GB2312"/>
        </w:rPr>
        <w:t>和</w:t>
      </w:r>
      <w:r>
        <w:rPr>
          <w:rFonts w:ascii="仿宋_GB2312" w:hAnsi="仿宋_GB2312" w:cs="仿宋_GB2312" w:eastAsia="仿宋_GB2312"/>
        </w:rPr>
        <w:t>陕西中金招标有限公司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省地质环境监测总站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陕西中金招标有限公司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省地质环境监测总站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陕西中金招标有限公司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满足国家及技术行业要求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陕西中金招标有限公司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陕西中金招标有限公司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陕西中金招标有限公司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联系人：张少晖、寇超</w:t>
      </w:r>
    </w:p>
    <w:p>
      <w:pPr>
        <w:pStyle w:val="null3"/>
      </w:pPr>
      <w:r>
        <w:rPr>
          <w:rFonts w:ascii="仿宋_GB2312" w:hAnsi="仿宋_GB2312" w:cs="仿宋_GB2312" w:eastAsia="仿宋_GB2312"/>
        </w:rPr>
        <w:t>联系电话：029-89527191</w:t>
      </w:r>
    </w:p>
    <w:p>
      <w:pPr>
        <w:pStyle w:val="null3"/>
      </w:pPr>
      <w:r>
        <w:rPr>
          <w:rFonts w:ascii="仿宋_GB2312" w:hAnsi="仿宋_GB2312" w:cs="仿宋_GB2312" w:eastAsia="仿宋_GB2312"/>
        </w:rPr>
        <w:t>地址：陕西省西安市莲湖区丰庆路39号御溪望城5号楼4层沃林办公A421室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关中盆地引汉济渭（二期）区域地下水动态监测评价》项目总体设计，拟委托开展“典型区域地下水超标离子分布特征与影响因素分析”专题研究，开展典型区域地下水超标离子、空间分布与成因分析，为关中盆地引汉济渭区域水环境效应评估提供基础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专题研究技术服务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标的名称：专题研究技术服务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rPr>
              <w:t>一、服务内容</w:t>
            </w:r>
          </w:p>
          <w:p>
            <w:pPr>
              <w:pStyle w:val="null3"/>
              <w:ind w:firstLine="400"/>
              <w:jc w:val="left"/>
            </w:pPr>
            <w:r>
              <w:rPr>
                <w:rFonts w:ascii="仿宋_GB2312" w:hAnsi="仿宋_GB2312" w:cs="仿宋_GB2312" w:eastAsia="仿宋_GB2312"/>
                <w:sz w:val="20"/>
              </w:rPr>
              <w:t>根据《关中盆地引汉济渭</w:t>
            </w:r>
            <w:r>
              <w:rPr>
                <w:rFonts w:ascii="仿宋_GB2312" w:hAnsi="仿宋_GB2312" w:cs="仿宋_GB2312" w:eastAsia="仿宋_GB2312"/>
                <w:sz w:val="20"/>
              </w:rPr>
              <w:t>（二期）区域地下水动态监测评价》项目总体设计，拟委托开展</w:t>
            </w:r>
            <w:r>
              <w:rPr>
                <w:rFonts w:ascii="仿宋_GB2312" w:hAnsi="仿宋_GB2312" w:cs="仿宋_GB2312" w:eastAsia="仿宋_GB2312"/>
                <w:sz w:val="20"/>
              </w:rPr>
              <w:t>“典型区域地下水超标离子分布特征与影响因素分析”专题研究，</w:t>
            </w:r>
            <w:r>
              <w:rPr>
                <w:rFonts w:ascii="仿宋_GB2312" w:hAnsi="仿宋_GB2312" w:cs="仿宋_GB2312" w:eastAsia="仿宋_GB2312"/>
                <w:sz w:val="20"/>
              </w:rPr>
              <w:t>开展</w:t>
            </w:r>
            <w:r>
              <w:rPr>
                <w:rFonts w:ascii="仿宋_GB2312" w:hAnsi="仿宋_GB2312" w:cs="仿宋_GB2312" w:eastAsia="仿宋_GB2312"/>
                <w:sz w:val="20"/>
              </w:rPr>
              <w:t>典型</w:t>
            </w:r>
            <w:r>
              <w:rPr>
                <w:rFonts w:ascii="仿宋_GB2312" w:hAnsi="仿宋_GB2312" w:cs="仿宋_GB2312" w:eastAsia="仿宋_GB2312"/>
                <w:sz w:val="20"/>
              </w:rPr>
              <w:t>区域地下水超标离子、空间分布与成因</w:t>
            </w:r>
            <w:r>
              <w:rPr>
                <w:rFonts w:ascii="仿宋_GB2312" w:hAnsi="仿宋_GB2312" w:cs="仿宋_GB2312" w:eastAsia="仿宋_GB2312"/>
                <w:sz w:val="20"/>
              </w:rPr>
              <w:t>分析</w:t>
            </w:r>
            <w:r>
              <w:rPr>
                <w:rFonts w:ascii="仿宋_GB2312" w:hAnsi="仿宋_GB2312" w:cs="仿宋_GB2312" w:eastAsia="仿宋_GB2312"/>
                <w:sz w:val="20"/>
              </w:rPr>
              <w:t>，为</w:t>
            </w:r>
            <w:r>
              <w:rPr>
                <w:rFonts w:ascii="仿宋_GB2312" w:hAnsi="仿宋_GB2312" w:cs="仿宋_GB2312" w:eastAsia="仿宋_GB2312"/>
                <w:sz w:val="20"/>
              </w:rPr>
              <w:t>关中盆地</w:t>
            </w:r>
            <w:r>
              <w:rPr>
                <w:rFonts w:ascii="仿宋_GB2312" w:hAnsi="仿宋_GB2312" w:cs="仿宋_GB2312" w:eastAsia="仿宋_GB2312"/>
                <w:sz w:val="20"/>
              </w:rPr>
              <w:t>引汉济渭</w:t>
            </w:r>
            <w:r>
              <w:rPr>
                <w:rFonts w:ascii="仿宋_GB2312" w:hAnsi="仿宋_GB2312" w:cs="仿宋_GB2312" w:eastAsia="仿宋_GB2312"/>
                <w:sz w:val="20"/>
              </w:rPr>
              <w:t>区域</w:t>
            </w:r>
            <w:r>
              <w:rPr>
                <w:rFonts w:ascii="仿宋_GB2312" w:hAnsi="仿宋_GB2312" w:cs="仿宋_GB2312" w:eastAsia="仿宋_GB2312"/>
                <w:sz w:val="20"/>
              </w:rPr>
              <w:t>水环境效应评估提供基础依据</w:t>
            </w:r>
            <w:r>
              <w:rPr>
                <w:rFonts w:ascii="仿宋_GB2312" w:hAnsi="仿宋_GB2312" w:cs="仿宋_GB2312" w:eastAsia="仿宋_GB2312"/>
                <w:sz w:val="20"/>
              </w:rPr>
              <w:t>。</w:t>
            </w:r>
            <w:r>
              <w:rPr>
                <w:rFonts w:ascii="仿宋_GB2312" w:hAnsi="仿宋_GB2312" w:cs="仿宋_GB2312" w:eastAsia="仿宋_GB2312"/>
                <w:sz w:val="20"/>
              </w:rPr>
              <w:t>具体工作内容有以下</w:t>
            </w:r>
            <w:r>
              <w:rPr>
                <w:rFonts w:ascii="仿宋_GB2312" w:hAnsi="仿宋_GB2312" w:cs="仿宋_GB2312" w:eastAsia="仿宋_GB2312"/>
                <w:sz w:val="20"/>
              </w:rPr>
              <w:t>两个</w:t>
            </w:r>
            <w:r>
              <w:rPr>
                <w:rFonts w:ascii="仿宋_GB2312" w:hAnsi="仿宋_GB2312" w:cs="仿宋_GB2312" w:eastAsia="仿宋_GB2312"/>
                <w:sz w:val="20"/>
              </w:rPr>
              <w:t>方面。</w:t>
            </w:r>
            <w:r>
              <w:rPr>
                <w:rFonts w:ascii="仿宋_GB2312" w:hAnsi="仿宋_GB2312" w:cs="仿宋_GB2312" w:eastAsia="仿宋_GB2312"/>
                <w:sz w:val="21"/>
              </w:rPr>
              <w:t>成果提交纸质版8份，电子版1份。</w:t>
            </w:r>
          </w:p>
          <w:p>
            <w:pPr>
              <w:pStyle w:val="null3"/>
              <w:ind w:firstLine="400"/>
              <w:jc w:val="left"/>
            </w:pPr>
            <w:r>
              <w:rPr>
                <w:rFonts w:ascii="仿宋_GB2312" w:hAnsi="仿宋_GB2312" w:cs="仿宋_GB2312" w:eastAsia="仿宋_GB2312"/>
                <w:sz w:val="20"/>
              </w:rPr>
              <w:t>（一）水质采样检测</w:t>
            </w:r>
          </w:p>
          <w:p>
            <w:pPr>
              <w:pStyle w:val="null3"/>
              <w:ind w:firstLine="480"/>
              <w:jc w:val="both"/>
            </w:pPr>
            <w:r>
              <w:rPr>
                <w:rFonts w:ascii="仿宋_GB2312" w:hAnsi="仿宋_GB2312" w:cs="仿宋_GB2312" w:eastAsia="仿宋_GB2312"/>
                <w:sz w:val="20"/>
              </w:rPr>
              <w:t>采集</w:t>
            </w:r>
            <w:r>
              <w:rPr>
                <w:rFonts w:ascii="仿宋_GB2312" w:hAnsi="仿宋_GB2312" w:cs="仿宋_GB2312" w:eastAsia="仿宋_GB2312"/>
                <w:sz w:val="20"/>
              </w:rPr>
              <w:t>测试</w:t>
            </w:r>
            <w:r>
              <w:rPr>
                <w:rFonts w:ascii="仿宋_GB2312" w:hAnsi="仿宋_GB2312" w:cs="仿宋_GB2312" w:eastAsia="仿宋_GB2312"/>
                <w:sz w:val="20"/>
              </w:rPr>
              <w:t>地下水</w:t>
            </w:r>
            <w:r>
              <w:rPr>
                <w:rFonts w:ascii="仿宋_GB2312" w:hAnsi="仿宋_GB2312" w:cs="仿宋_GB2312" w:eastAsia="仿宋_GB2312"/>
                <w:sz w:val="20"/>
              </w:rPr>
              <w:t>质样品</w:t>
            </w:r>
            <w:r>
              <w:rPr>
                <w:rFonts w:ascii="仿宋_GB2312" w:hAnsi="仿宋_GB2312" w:cs="仿宋_GB2312" w:eastAsia="仿宋_GB2312"/>
                <w:sz w:val="20"/>
              </w:rPr>
              <w:t>20</w:t>
            </w:r>
            <w:r>
              <w:rPr>
                <w:rFonts w:ascii="仿宋_GB2312" w:hAnsi="仿宋_GB2312" w:cs="仿宋_GB2312" w:eastAsia="仿宋_GB2312"/>
                <w:sz w:val="20"/>
              </w:rPr>
              <w:t>套</w:t>
            </w:r>
            <w:r>
              <w:rPr>
                <w:rFonts w:ascii="仿宋_GB2312" w:hAnsi="仿宋_GB2312" w:cs="仿宋_GB2312" w:eastAsia="仿宋_GB2312"/>
                <w:sz w:val="20"/>
              </w:rPr>
              <w:t>，</w:t>
            </w:r>
            <w:r>
              <w:rPr>
                <w:rFonts w:ascii="仿宋_GB2312" w:hAnsi="仿宋_GB2312" w:cs="仿宋_GB2312" w:eastAsia="仿宋_GB2312"/>
                <w:sz w:val="20"/>
              </w:rPr>
              <w:t>样品测试指标为</w:t>
            </w:r>
            <w:r>
              <w:rPr>
                <w:rFonts w:ascii="仿宋_GB2312" w:hAnsi="仿宋_GB2312" w:cs="仿宋_GB2312" w:eastAsia="仿宋_GB2312"/>
                <w:sz w:val="20"/>
              </w:rPr>
              <w:t>37项常规</w:t>
            </w:r>
            <w:r>
              <w:rPr>
                <w:rFonts w:ascii="仿宋_GB2312" w:hAnsi="仿宋_GB2312" w:cs="仿宋_GB2312" w:eastAsia="仿宋_GB2312"/>
                <w:sz w:val="20"/>
              </w:rPr>
              <w:t>分析指标</w:t>
            </w:r>
            <w:r>
              <w:rPr>
                <w:rFonts w:ascii="仿宋_GB2312" w:hAnsi="仿宋_GB2312" w:cs="仿宋_GB2312" w:eastAsia="仿宋_GB2312"/>
                <w:sz w:val="20"/>
              </w:rPr>
              <w:t>，包括：</w:t>
            </w:r>
            <w:r>
              <w:rPr>
                <w:rFonts w:ascii="仿宋_GB2312" w:hAnsi="仿宋_GB2312" w:cs="仿宋_GB2312" w:eastAsia="仿宋_GB2312"/>
                <w:sz w:val="20"/>
              </w:rPr>
              <w:t>色、嗅和味、浑浊度、肉眼可见物、</w:t>
            </w:r>
            <w:r>
              <w:rPr>
                <w:rFonts w:ascii="仿宋_GB2312" w:hAnsi="仿宋_GB2312" w:cs="仿宋_GB2312" w:eastAsia="仿宋_GB2312"/>
                <w:sz w:val="20"/>
              </w:rPr>
              <w:t>pH、总硬度、溶解性总固体、硫酸盐、氯化物、铁、锰、铜、锌、铝、挥发性酚类、阴离子合成洗涤剂、耗氧量、氨氮、硫化物、钠、亚硝酸盐、硝酸盐、氰化物、氟化物、碘化物、汞、砷、硒、镉、铬、铅、钾、钙、镁、重碳酸根、碳酸根、游离二氧化碳</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（二）地下水超标离子分布特征与影响因素分析</w:t>
            </w:r>
          </w:p>
          <w:p>
            <w:pPr>
              <w:pStyle w:val="null3"/>
              <w:ind w:firstLine="400"/>
              <w:jc w:val="both"/>
            </w:pPr>
            <w:r>
              <w:rPr>
                <w:rFonts w:ascii="仿宋_GB2312" w:hAnsi="仿宋_GB2312" w:cs="仿宋_GB2312" w:eastAsia="仿宋_GB2312"/>
                <w:sz w:val="20"/>
              </w:rPr>
              <w:t>开展数据统计，运用相关性分析、</w:t>
            </w:r>
            <w:r>
              <w:rPr>
                <w:rFonts w:ascii="仿宋_GB2312" w:hAnsi="仿宋_GB2312" w:cs="仿宋_GB2312" w:eastAsia="仿宋_GB2312"/>
                <w:sz w:val="20"/>
              </w:rPr>
              <w:t>Piper三线图、离子比值等方法开展水化学控制机制分析；依托GIS完成空间插值、图层叠加，编制离子分布、污染成因分区图件。</w:t>
            </w:r>
          </w:p>
          <w:p>
            <w:pPr>
              <w:pStyle w:val="null3"/>
            </w:pPr>
            <w:r>
              <w:rPr>
                <w:rFonts w:ascii="仿宋_GB2312" w:hAnsi="仿宋_GB2312" w:cs="仿宋_GB2312" w:eastAsia="仿宋_GB2312"/>
                <w:sz w:val="20"/>
              </w:rPr>
              <w:t>通过</w:t>
            </w:r>
            <w:r>
              <w:rPr>
                <w:rFonts w:ascii="仿宋_GB2312" w:hAnsi="仿宋_GB2312" w:cs="仿宋_GB2312" w:eastAsia="仿宋_GB2312"/>
                <w:sz w:val="20"/>
              </w:rPr>
              <w:t>GIS技术分析地下水超标离子空间分布差异，结合多年水质数据研判地下水超标离子随时间的演变规律，地下水不合理开采、地表污水入渗等多方面溯源离子演变成因，阐明水岩作用、氧化还原等化学过程对离子富集迁移的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提供能保证本项目顺利实施的专业人员配置。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提供能保证本项目顺利实施的专业设施设备。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自合同签订之日起4个月内提交最终成果。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依照采购文件及响应文件、合同条款进行验收，达到国家和行业相关要求。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进度款，项目实施完成并验收合格后，达到付款条件起30个工作日内，支付合同总金额的30.0%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工作人员在履行职务过程中出现遗漏或错误或提供的服务质量不能满足采购要求的，成交供应商应当在采购人确定的期限内无偿采取补救措施，直到达到要求。若成交供应商拒绝补救或补救后仍不能达到要求的，采购人有权会同相关单位终止合同并对成交供应商违约行为进行追究。 （3）任何一方因不可抗力原因不能履行协议时，应尽快通知对方，双方均设法补偿。如仍无法履约协议，可协商延缓或撤销协议，双方责任免除。 （4）本合同在履行过程中发生的争议，由合同双方当事人协商解决，协商不成的按下列第 2 种方式解决： 1、提交采购人所在地仲裁委员会仲裁； 2、依法向采购人所在地人民法院起诉。 （5）因质量问题发生的争议，由国家权威技术单位进行质量鉴定，该鉴定结论为最终结果，合同双方应当接受。</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（1）中标人在领取中标通知书时须提供一套正本一套副本纸质投标文件，两套电子文件（光盘或U盘），应通过专用制作软件直接打印，确保与电子投标文件保持一致，不得修改和补充。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法定代表人（单位负责人）身份证明或法定代表人委托授权书</w:t>
            </w:r>
          </w:p>
        </w:tc>
        <w:tc>
          <w:tcPr>
            <w:tcW w:type="dxa" w:w="3322"/>
          </w:tcPr>
          <w:p>
            <w:pPr>
              <w:pStyle w:val="null3"/>
            </w:pPr>
            <w:r>
              <w:rPr>
                <w:rFonts w:ascii="仿宋_GB2312" w:hAnsi="仿宋_GB2312" w:cs="仿宋_GB2312" w:eastAsia="仿宋_GB2312"/>
              </w:rPr>
              <w:t>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提供供应商自投标前12个月以来已缴纳任意时段完税凭证或税务机关开具的完税证明（任意税种）；依法免税的应提供相关文件证明。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提供供应商自投标前6个月以来已缴存的任意时段的社会保障资金缴存单据或社保机构开具的社会保险参保缴费情况证明；依法不需要缴纳社会保障资金的供应商应提供相关文件证明。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提供供应商具备履行合同所必需的设备和专业技术能力的承诺函。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提供供应商参加本次采购前3年内，在经营活动中没有重大违法记录的书面声明。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分项报价明细表.docx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磋商响应文件应按照竞争性磋商文件要求的格式编写；磋商响应文件内容未出现重大缺漏项。</w:t>
            </w:r>
          </w:p>
        </w:tc>
        <w:tc>
          <w:tcPr>
            <w:tcW w:type="dxa" w:w="1661"/>
          </w:tcPr>
          <w:p>
            <w:pPr>
              <w:pStyle w:val="null3"/>
            </w:pPr>
            <w:r>
              <w:rPr>
                <w:rFonts w:ascii="仿宋_GB2312" w:hAnsi="仿宋_GB2312" w:cs="仿宋_GB2312" w:eastAsia="仿宋_GB2312"/>
              </w:rPr>
              <w:t>响应文件封面 业绩一览表.docx 第一次磋商报价表.docx 拒绝政府采购领域商业贿赂承诺书.docx 商务应答表 分项报价明细表.docx 标的清单 服务内容及服务要求应答表 报价表 响应函 资格证明文件.docx 磋商响应方案说明.docx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磋商响应文件的签署及盖章</w:t>
            </w:r>
          </w:p>
        </w:tc>
        <w:tc>
          <w:tcPr>
            <w:tcW w:type="dxa" w:w="3322"/>
          </w:tcPr>
          <w:p>
            <w:pPr>
              <w:pStyle w:val="null3"/>
            </w:pPr>
            <w:r>
              <w:rPr>
                <w:rFonts w:ascii="仿宋_GB2312" w:hAnsi="仿宋_GB2312" w:cs="仿宋_GB2312" w:eastAsia="仿宋_GB2312"/>
              </w:rPr>
              <w:t>磋商响应文件签署及盖章有效，字迹清晰可辨符合竞争性磋商文件要求，且无遗漏。</w:t>
            </w:r>
          </w:p>
        </w:tc>
        <w:tc>
          <w:tcPr>
            <w:tcW w:type="dxa" w:w="1661"/>
          </w:tcPr>
          <w:p>
            <w:pPr>
              <w:pStyle w:val="null3"/>
            </w:pPr>
            <w:r>
              <w:rPr>
                <w:rFonts w:ascii="仿宋_GB2312" w:hAnsi="仿宋_GB2312" w:cs="仿宋_GB2312" w:eastAsia="仿宋_GB2312"/>
              </w:rPr>
              <w:t>响应文件封面 业绩一览表.docx 第一次磋商报价表.docx 拒绝政府采购领域商业贿赂承诺书.docx 商务应答表 分项报价明细表.docx 标的清单 服务内容及服务要求应答表 报价表 响应函 资格证明文件.docx 磋商响应方案说明.docx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第一次磋商报价表.docx 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响应竞争性磋商文件合同条款要求未出现负偏离且响应的内容中未附有采购人不能接受的附加条件。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对竞争性磋商文件的响应程度</w:t>
            </w:r>
          </w:p>
        </w:tc>
        <w:tc>
          <w:tcPr>
            <w:tcW w:type="dxa" w:w="3322"/>
          </w:tcPr>
          <w:p>
            <w:pPr>
              <w:pStyle w:val="null3"/>
            </w:pPr>
            <w:r>
              <w:rPr>
                <w:rFonts w:ascii="仿宋_GB2312" w:hAnsi="仿宋_GB2312" w:cs="仿宋_GB2312" w:eastAsia="仿宋_GB2312"/>
              </w:rPr>
              <w:t>磋商响应文件响应内容符合国家法律法规，实质性响应了竞争性磋商文件的相关要求，没有重大偏离及采购人不能接受的附加条件。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本项目所有采购内容及要求均满足采购文件得10分，有一项不满足扣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依据各供应商提供的需求分析进行综合评分： ①需求分析内容详细全面、非常准确，得4分。 ②需求分析内容完整、准确得3分。 ③需求分析内容简单，基本准确得2分。 ④需求分析内容理解内容粗略，准确性较低得1分。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重难点理解与解决方案</w:t>
            </w:r>
          </w:p>
        </w:tc>
        <w:tc>
          <w:tcPr>
            <w:tcW w:type="dxa" w:w="2492"/>
          </w:tcPr>
          <w:p>
            <w:pPr>
              <w:pStyle w:val="null3"/>
            </w:pPr>
            <w:r>
              <w:rPr>
                <w:rFonts w:ascii="仿宋_GB2312" w:hAnsi="仿宋_GB2312" w:cs="仿宋_GB2312" w:eastAsia="仿宋_GB2312"/>
              </w:rPr>
              <w:t>依据各供应商提供的项目重难点理解与解决方案进行综合评分： ①项目重难点理解非常准确，解决方案详细全面、切实可行得4分。 ②项目重难点理解准确，解决方案完整、可行性较强得3分。 ③项目重难点理解基本准确，解决方案简单、具有一定可行性得2分。 ④项目重难点理解不准确，解决方案粗略、可行性较低得1分。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依据各供应商针对项目实施提供的总体服务方案进行综合评分： ①总体服务方案思路清晰新颖，内容详细充分，切实可行得14分。 ②总体服务方案思路清晰，内容完整，可行性较强得10分。 ③总体服务方案思路基本清晰，内容简单，具有一定可行性得7分。 ④总体服务方案思路不清晰，内容粗略，可行性较低得4分。 ⑤未提供不得分。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工作计划及进度保障</w:t>
            </w:r>
          </w:p>
        </w:tc>
        <w:tc>
          <w:tcPr>
            <w:tcW w:type="dxa" w:w="2492"/>
          </w:tcPr>
          <w:p>
            <w:pPr>
              <w:pStyle w:val="null3"/>
            </w:pPr>
            <w:r>
              <w:rPr>
                <w:rFonts w:ascii="仿宋_GB2312" w:hAnsi="仿宋_GB2312" w:cs="仿宋_GB2312" w:eastAsia="仿宋_GB2312"/>
              </w:rPr>
              <w:t>依据各供应商针对项目实施提供的工作计划及进度保障措施进行综合评分： ①工作计划及进度保障措施内容详细具体、科学合理、切实可行得4分。 ②工作计划及进度保障措施内容完整、可行性较强得3分。 ③工作计划及进度保障措施内容简单、具有一定可行性得2分。 ④工作计划及进度保障措施内容粗略、可行性较低得1分。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服务质量目标及保证措施</w:t>
            </w:r>
          </w:p>
        </w:tc>
        <w:tc>
          <w:tcPr>
            <w:tcW w:type="dxa" w:w="2492"/>
          </w:tcPr>
          <w:p>
            <w:pPr>
              <w:pStyle w:val="null3"/>
            </w:pPr>
            <w:r>
              <w:rPr>
                <w:rFonts w:ascii="仿宋_GB2312" w:hAnsi="仿宋_GB2312" w:cs="仿宋_GB2312" w:eastAsia="仿宋_GB2312"/>
              </w:rPr>
              <w:t>依据供应商针对本项目实施制定的服务质量目标及服务质量保证措施进行综合评分。 ①质量目标非常明确，质量保证措施详细完善，切实可行得4分。 ②项目质量目标明确，质量保证措施完整，可行性较强得3分。 ③项目质量目标基本明确，质量保证措施简单，具有一定可行性得2分。 ④项目质量目标不明确，质量保证措施粗略，可行性较低得1分。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档案资料管理</w:t>
            </w:r>
          </w:p>
        </w:tc>
        <w:tc>
          <w:tcPr>
            <w:tcW w:type="dxa" w:w="2492"/>
          </w:tcPr>
          <w:p>
            <w:pPr>
              <w:pStyle w:val="null3"/>
            </w:pPr>
            <w:r>
              <w:rPr>
                <w:rFonts w:ascii="仿宋_GB2312" w:hAnsi="仿宋_GB2312" w:cs="仿宋_GB2312" w:eastAsia="仿宋_GB2312"/>
              </w:rPr>
              <w:t>依据供应商针对项目实施过程中数据、资料、报告等内容提出的管理方案进行综合评分。 ①管理方案内容详细具体、切实可行得3分。 ②管理方案内容简单，具有一定可行性得2分。 ③管理方案内容粗略，可行性较低得1分。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依据各供应商针对本项目实施提供的相关保密措施进行综合评分： ①保密措施内容详细具体、切实可行得3分。 ② 保密措施内容简单，具有一定可行性得2分。③ 保密措施内容粗略，可行性较低得1分。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供应商提供针对保障项目实施进度与质量提出服务承诺得5分，未提供不得分.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供应商提供有利于采购人降低成本、提高项目实施质量等方面的合理化建议得3分，未提供不得分。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拟投入项目人员1</w:t>
            </w:r>
          </w:p>
        </w:tc>
        <w:tc>
          <w:tcPr>
            <w:tcW w:type="dxa" w:w="2492"/>
          </w:tcPr>
          <w:p>
            <w:pPr>
              <w:pStyle w:val="null3"/>
            </w:pPr>
            <w:r>
              <w:rPr>
                <w:rFonts w:ascii="仿宋_GB2312" w:hAnsi="仿宋_GB2312" w:cs="仿宋_GB2312" w:eastAsia="仿宋_GB2312"/>
              </w:rPr>
              <w:t>依据各供应商拟投入本项目服务人员的基本情况，包括但不限于成员人数、学历、相关证书、专业程度、从事专业年限、相同或类似项目经验、岗位配置合理性、职责分工明确程度等进行综合评分： ①项目团队非常专业且项目经验特别丰富，人员调配及职责分工方案科学合理、切实可行得 4分。 ②项目团队专业、项目经验丰富，人员调配及职责分工方案可行性较强得3分。 ③项目团队专业程度及项目经验能够基本保障项目实施，人员调配及职责分工方案具有一定可行性得2分。 ④项目团队专业程度及项目经验较难保障项目实施，人员调配及职责分工方案可行性较低得1分。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第一次磋商报价表.docx</w:t>
            </w:r>
          </w:p>
        </w:tc>
      </w:tr>
      <w:tr>
        <w:tc>
          <w:tcPr>
            <w:tcW w:type="dxa" w:w="831"/>
            <w:vMerge/>
          </w:tcPr>
          <w:p/>
        </w:tc>
        <w:tc>
          <w:tcPr>
            <w:tcW w:type="dxa" w:w="1661"/>
          </w:tcPr>
          <w:p>
            <w:pPr>
              <w:pStyle w:val="null3"/>
            </w:pPr>
            <w:r>
              <w:rPr>
                <w:rFonts w:ascii="仿宋_GB2312" w:hAnsi="仿宋_GB2312" w:cs="仿宋_GB2312" w:eastAsia="仿宋_GB2312"/>
              </w:rPr>
              <w:t>拟投入项目人员2</w:t>
            </w:r>
          </w:p>
        </w:tc>
        <w:tc>
          <w:tcPr>
            <w:tcW w:type="dxa" w:w="2492"/>
          </w:tcPr>
          <w:p>
            <w:pPr>
              <w:pStyle w:val="null3"/>
            </w:pPr>
            <w:r>
              <w:rPr>
                <w:rFonts w:ascii="仿宋_GB2312" w:hAnsi="仿宋_GB2312" w:cs="仿宋_GB2312" w:eastAsia="仿宋_GB2312"/>
              </w:rPr>
              <w:t>1、项目负责人具有副高及以上技术职称证书得3 分； 2、项目组成员（项目负责人除外）具有副高及以上技术职称证书每提供一个得 2 分，具有中级及以上技术职称证书每提供一个得 1 分，本项最多得 12 分。 注：提供相关证明材料以及近一年内任意一个月社保缴纳证明复印件并加盖公章，未提供以上人员相关证明材料的，不得分。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拟投入专业设备</w:t>
            </w:r>
          </w:p>
        </w:tc>
        <w:tc>
          <w:tcPr>
            <w:tcW w:type="dxa" w:w="2492"/>
          </w:tcPr>
          <w:p>
            <w:pPr>
              <w:pStyle w:val="null3"/>
            </w:pPr>
            <w:r>
              <w:rPr>
                <w:rFonts w:ascii="仿宋_GB2312" w:hAnsi="仿宋_GB2312" w:cs="仿宋_GB2312" w:eastAsia="仿宋_GB2312"/>
              </w:rPr>
              <w:t>供应商提供针对本项目的拟投入专业设备，具备电感耦合等离子体发射光谱仪、电感耦合等离子体质谱仪、原子荧光光谱仪、离子色谱仪、紫外分光光度计等设备；每具有以上一种设备得1分，最多得5分，没有不得分； 注：同时提供相关证明材料（包括但不限于发票、租赁合同、检定校准证书等）。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供应商提供近年（2023年3月至今）同类项目业绩。供应商应在磋商响应文件中附有其业绩证明材料，以供应商加盖公章的合同协议书复印件为准，每提供1个得2分，最高得12分。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第一次磋商报价表.docx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满足竞争性磋商文件实质性要求且最终磋商报价最低的供应商的价格为评审基准价，其价格分为满分。 磋商报价得分=（评审基准价／最终磋商报价）×10。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第一次磋商报价表.docx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