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版本号：LZBE2026-43220260702002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（高中部）微机室项目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LZBE2026-432</w:t>
      </w:r>
      <w:r>
        <w:br/>
      </w:r>
      <w:r>
        <w:br/>
      </w:r>
      <w:r>
        <w:br/>
      </w:r>
    </w:p>
    <w:p>
      <w:pPr>
        <w:pStyle w:val="null3"/>
        <w:jc w:val="center"/>
        <w:outlineLvl w:val="2"/>
      </w:pPr>
      <w:r>
        <w:rPr>
          <w:rFonts w:ascii="仿宋_GB2312" w:hAnsi="仿宋_GB2312" w:cs="仿宋_GB2312" w:eastAsia="仿宋_GB2312"/>
          <w:sz w:val="28"/>
          <w:b/>
        </w:rPr>
        <w:t>西安市西光中学</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西安市西光中学</w:t>
      </w:r>
      <w:r>
        <w:rPr>
          <w:rFonts w:ascii="仿宋_GB2312" w:hAnsi="仿宋_GB2312" w:cs="仿宋_GB2312" w:eastAsia="仿宋_GB2312"/>
        </w:rPr>
        <w:t>委托，拟对</w:t>
      </w:r>
      <w:r>
        <w:rPr>
          <w:rFonts w:ascii="仿宋_GB2312" w:hAnsi="仿宋_GB2312" w:cs="仿宋_GB2312" w:eastAsia="仿宋_GB2312"/>
        </w:rPr>
        <w:t>（高中部）微机室项目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LZBE2026-432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（高中部）微机室项目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本项目拟对西安市西光中学微机室购置1批设备，具体详见采购文件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2026年3月-2026年5月任意一个月的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供应商提供2024年度或2025年度有效的财务审计报告（事业法人可提供部门决算报告）；或提供开标日前三个月内基本存款账户银行出具的资信证明及基本存款账户银行相关证明资料；或提供专业担保机构出具的投标担保函。（注：有效的财务审计报告应满足以下要求：①财务审计报告须包括报告正文、资产负债表、现金流量表、利润表、附注、会计师事务所营业执照、执业证书及两名注册会计师资格证书；②报告正文应经过会计师事务所盖章及两名注册会计师的签字及盖章；③财务审计报告应当经过注册会计师行业统一监管平台备案赋码。）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代理机构现场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西安市西光中学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康乐路116号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029-83270243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庞冰倩、陈钊、刘强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教师机主机、学生机主机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教师机主机、学生机主机</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布的《招标代理服务收费管理暂行办法》（计价格[2002]1980号）和（发改办价格[2003]857号）、发改价格[2011]534号中货物类的收费标准计取，不足5000按5000计取。2、成交单位在领取成交通知书之前，须向采购代理机构支付招标代理服务费。 3、招标代理服务费以转账或现金形式缴纳至以下账户： 开户名称：龙寰项目管理咨询有限公司 开户行：平安银行西安高新路支行 账 号：30201278018483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西安市西光中学</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西安市西光中学</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西安市西光中学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联系人：庞冰倩、陈钊、刘强</w:t>
      </w:r>
    </w:p>
    <w:p>
      <w:pPr>
        <w:pStyle w:val="null3"/>
      </w:pPr>
      <w:r>
        <w:rPr>
          <w:rFonts w:ascii="仿宋_GB2312" w:hAnsi="仿宋_GB2312" w:cs="仿宋_GB2312" w:eastAsia="仿宋_GB2312"/>
        </w:rPr>
        <w:t>联系电话：029-88228899-653</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本项目拟对西安市西光中学微机室购置1批设备，具体详见采购文件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西安市西光中学（高中部）微机室项目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标的名称：西安市西光中学（高中部）微机室项目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6"/>
              <w:gridCol w:w="222"/>
              <w:gridCol w:w="1652"/>
              <w:gridCol w:w="225"/>
              <w:gridCol w:w="258"/>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产品名称</w:t>
                  </w:r>
                </w:p>
              </w:tc>
              <w:tc>
                <w:tcPr>
                  <w:tcW w:type="dxa" w:w="1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教师机</w:t>
                  </w:r>
                  <w:r>
                    <w:br/>
                  </w:r>
                  <w:r>
                    <w:rPr>
                      <w:rFonts w:ascii="仿宋_GB2312" w:hAnsi="仿宋_GB2312" w:cs="仿宋_GB2312" w:eastAsia="仿宋_GB2312"/>
                      <w:sz w:val="21"/>
                      <w:color w:val="000000"/>
                    </w:rPr>
                    <w:t>主机</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1、CPU：国产高性能CPU（核心数≥八核，主频≥2.7GHz）;</w:t>
                  </w:r>
                  <w:r>
                    <w:br/>
                  </w:r>
                  <w:r>
                    <w:rPr>
                      <w:rFonts w:ascii="仿宋_GB2312" w:hAnsi="仿宋_GB2312" w:cs="仿宋_GB2312" w:eastAsia="仿宋_GB2312"/>
                      <w:sz w:val="21"/>
                      <w:color w:val="000000"/>
                    </w:rPr>
                    <w:t>2、内存配置容量：≥16G ，DDR4/LPDDR4及以上</w:t>
                  </w:r>
                  <w:r>
                    <w:br/>
                  </w:r>
                  <w:r>
                    <w:rPr>
                      <w:rFonts w:ascii="仿宋_GB2312" w:hAnsi="仿宋_GB2312" w:cs="仿宋_GB2312" w:eastAsia="仿宋_GB2312"/>
                      <w:sz w:val="21"/>
                      <w:color w:val="000000"/>
                    </w:rPr>
                    <w:t>3、硬盘存储容量：≥256GB固态硬盘+1TB机械硬盘</w:t>
                  </w:r>
                  <w:r>
                    <w:br/>
                  </w:r>
                  <w:r>
                    <w:rPr>
                      <w:rFonts w:ascii="仿宋_GB2312" w:hAnsi="仿宋_GB2312" w:cs="仿宋_GB2312" w:eastAsia="仿宋_GB2312"/>
                      <w:sz w:val="21"/>
                      <w:color w:val="000000"/>
                    </w:rPr>
                    <w:t>4、显卡类型：集成显卡</w:t>
                  </w:r>
                  <w:r>
                    <w:br/>
                  </w:r>
                  <w:r>
                    <w:rPr>
                      <w:rFonts w:ascii="仿宋_GB2312" w:hAnsi="仿宋_GB2312" w:cs="仿宋_GB2312" w:eastAsia="仿宋_GB2312"/>
                      <w:sz w:val="21"/>
                      <w:color w:val="000000"/>
                    </w:rPr>
                    <w:t>5、有线网卡速率：主板集成10/100/1000M自适应以太网卡</w:t>
                  </w:r>
                  <w:r>
                    <w:br/>
                  </w:r>
                  <w:r>
                    <w:rPr>
                      <w:rFonts w:ascii="仿宋_GB2312" w:hAnsi="仿宋_GB2312" w:cs="仿宋_GB2312" w:eastAsia="仿宋_GB2312"/>
                      <w:sz w:val="21"/>
                      <w:color w:val="000000"/>
                    </w:rPr>
                    <w:t>6、≥6个USB接口（≥2个USB3.0）、1个千兆网口、1个VGA接口和1个HDMI接口、1对音频输入输出接口</w:t>
                  </w:r>
                  <w:r>
                    <w:br/>
                  </w:r>
                  <w:r>
                    <w:rPr>
                      <w:rFonts w:ascii="仿宋_GB2312" w:hAnsi="仿宋_GB2312" w:cs="仿宋_GB2312" w:eastAsia="仿宋_GB2312"/>
                      <w:sz w:val="21"/>
                      <w:color w:val="000000"/>
                    </w:rPr>
                    <w:t>7、显示屏：23.8寸，IPS液晶面板，采用三面超窄边框设计，分辨率1920×1080，屏幕刷新率60HZ</w:t>
                  </w:r>
                  <w:r>
                    <w:br/>
                  </w:r>
                  <w:r>
                    <w:rPr>
                      <w:rFonts w:ascii="仿宋_GB2312" w:hAnsi="仿宋_GB2312" w:cs="仿宋_GB2312" w:eastAsia="仿宋_GB2312"/>
                      <w:sz w:val="21"/>
                      <w:color w:val="000000"/>
                    </w:rPr>
                    <w:t xml:space="preserve">8、整机质量服务要求：整机3年原厂质保上门服务   </w:t>
                  </w:r>
                </w:p>
                <w:p>
                  <w:pPr>
                    <w:pStyle w:val="null3"/>
                    <w:jc w:val="left"/>
                  </w:pPr>
                  <w:r>
                    <w:rPr>
                      <w:rFonts w:ascii="仿宋_GB2312" w:hAnsi="仿宋_GB2312" w:cs="仿宋_GB2312" w:eastAsia="仿宋_GB2312"/>
                      <w:sz w:val="21"/>
                      <w:color w:val="000000"/>
                    </w:rPr>
                    <w:t xml:space="preserve"> ▲9、支持中文 Web 界面，便于管理员和教师进行管理系统的维护和使用，支持通过 web 管理平台能够监控服务器、性能监控、虚机 CPU 运行状态监控；</w:t>
                  </w:r>
                  <w:r>
                    <w:rPr>
                      <w:rFonts w:ascii="仿宋_GB2312" w:hAnsi="仿宋_GB2312" w:cs="仿宋_GB2312" w:eastAsia="仿宋_GB2312"/>
                      <w:sz w:val="21"/>
                      <w:b/>
                      <w:color w:val="000000"/>
                    </w:rPr>
                    <w:t>（提供包含但不限于检测报告或产品彩页或产品说明书或官网功能截图等证明材料）</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学生机</w:t>
                  </w:r>
                  <w:r>
                    <w:br/>
                  </w:r>
                  <w:r>
                    <w:rPr>
                      <w:rFonts w:ascii="仿宋_GB2312" w:hAnsi="仿宋_GB2312" w:cs="仿宋_GB2312" w:eastAsia="仿宋_GB2312"/>
                      <w:sz w:val="21"/>
                      <w:color w:val="000000"/>
                    </w:rPr>
                    <w:t>主机</w:t>
                  </w:r>
                  <w:r>
                    <w:rPr>
                      <w:rFonts w:ascii="仿宋_GB2312" w:hAnsi="仿宋_GB2312" w:cs="仿宋_GB2312" w:eastAsia="仿宋_GB2312"/>
                      <w:sz w:val="21"/>
                      <w:b/>
                      <w:color w:val="000000"/>
                    </w:rPr>
                    <w:t>（核心产品）</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1、CPU：国产高性能CPU（核心数≥八核，主频≥2.7GHz）;</w:t>
                  </w:r>
                  <w:r>
                    <w:br/>
                  </w:r>
                  <w:r>
                    <w:rPr>
                      <w:rFonts w:ascii="仿宋_GB2312" w:hAnsi="仿宋_GB2312" w:cs="仿宋_GB2312" w:eastAsia="仿宋_GB2312"/>
                      <w:sz w:val="21"/>
                      <w:color w:val="000000"/>
                    </w:rPr>
                    <w:t>2、内存配置容量：≥16G ，DDR4/LPDDR4及以上</w:t>
                  </w:r>
                  <w:r>
                    <w:br/>
                  </w:r>
                  <w:r>
                    <w:rPr>
                      <w:rFonts w:ascii="仿宋_GB2312" w:hAnsi="仿宋_GB2312" w:cs="仿宋_GB2312" w:eastAsia="仿宋_GB2312"/>
                      <w:sz w:val="21"/>
                      <w:color w:val="000000"/>
                    </w:rPr>
                    <w:t xml:space="preserve">3、硬盘存储容量：≥256GB固态硬盘 </w:t>
                  </w:r>
                  <w:r>
                    <w:br/>
                  </w:r>
                  <w:r>
                    <w:rPr>
                      <w:rFonts w:ascii="仿宋_GB2312" w:hAnsi="仿宋_GB2312" w:cs="仿宋_GB2312" w:eastAsia="仿宋_GB2312"/>
                      <w:sz w:val="21"/>
                      <w:color w:val="000000"/>
                    </w:rPr>
                    <w:t>4、显卡类型：集成显卡</w:t>
                  </w:r>
                  <w:r>
                    <w:br/>
                  </w:r>
                  <w:r>
                    <w:rPr>
                      <w:rFonts w:ascii="仿宋_GB2312" w:hAnsi="仿宋_GB2312" w:cs="仿宋_GB2312" w:eastAsia="仿宋_GB2312"/>
                      <w:sz w:val="21"/>
                      <w:color w:val="000000"/>
                    </w:rPr>
                    <w:t>5、有线网卡速率：主板集成10/100/1000M自适应以太网卡</w:t>
                  </w:r>
                  <w:r>
                    <w:br/>
                  </w:r>
                  <w:r>
                    <w:rPr>
                      <w:rFonts w:ascii="仿宋_GB2312" w:hAnsi="仿宋_GB2312" w:cs="仿宋_GB2312" w:eastAsia="仿宋_GB2312"/>
                      <w:sz w:val="21"/>
                      <w:color w:val="000000"/>
                    </w:rPr>
                    <w:t>6、≥6个USB接口（≥2个USB3.0）、1个千兆网口、1个VGA接口和1个HDMI接口、1对音频输入输出接口</w:t>
                  </w:r>
                  <w:r>
                    <w:br/>
                  </w:r>
                  <w:r>
                    <w:rPr>
                      <w:rFonts w:ascii="仿宋_GB2312" w:hAnsi="仿宋_GB2312" w:cs="仿宋_GB2312" w:eastAsia="仿宋_GB2312"/>
                      <w:sz w:val="21"/>
                      <w:color w:val="000000"/>
                    </w:rPr>
                    <w:t>7、显示屏：23.8寸，IPS液晶面板，采用三面超窄边框设计，分辨率1920×1080，屏幕刷新率60HZ</w:t>
                  </w:r>
                  <w:r>
                    <w:br/>
                  </w:r>
                  <w:r>
                    <w:rPr>
                      <w:rFonts w:ascii="仿宋_GB2312" w:hAnsi="仿宋_GB2312" w:cs="仿宋_GB2312" w:eastAsia="仿宋_GB2312"/>
                      <w:sz w:val="21"/>
                      <w:color w:val="000000"/>
                    </w:rPr>
                    <w:t xml:space="preserve">8、整机质量服务要求：整机3年原厂质保上门服务                                                          </w:t>
                  </w:r>
                </w:p>
                <w:p>
                  <w:pPr>
                    <w:pStyle w:val="null3"/>
                    <w:jc w:val="left"/>
                  </w:pPr>
                  <w:r>
                    <w:rPr>
                      <w:rFonts w:ascii="仿宋_GB2312" w:hAnsi="仿宋_GB2312" w:cs="仿宋_GB2312" w:eastAsia="仿宋_GB2312"/>
                      <w:sz w:val="21"/>
                      <w:color w:val="000000"/>
                    </w:rPr>
                    <w:t>▲9.管理节点支持高可用，在HA切换过程中，所有学生电脑连接教师主机的网络配置均不需要更改，实现业务的不中断；</w:t>
                  </w:r>
                  <w:r>
                    <w:rPr>
                      <w:rFonts w:ascii="仿宋_GB2312" w:hAnsi="仿宋_GB2312" w:cs="仿宋_GB2312" w:eastAsia="仿宋_GB2312"/>
                      <w:sz w:val="21"/>
                      <w:b/>
                      <w:color w:val="000000"/>
                    </w:rPr>
                    <w:t>（提供包含但不限于检测报告或产品彩页或产品说明书或官网功能截图等证明材料）</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机房终端维护系统</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1、客户端支持在线或离线运行windows、kylin和UOS系统；</w:t>
                  </w:r>
                  <w:r>
                    <w:br/>
                  </w:r>
                  <w:r>
                    <w:rPr>
                      <w:rFonts w:ascii="仿宋_GB2312" w:hAnsi="仿宋_GB2312" w:cs="仿宋_GB2312" w:eastAsia="仿宋_GB2312"/>
                      <w:sz w:val="21"/>
                      <w:color w:val="000000"/>
                    </w:rPr>
                    <w:t xml:space="preserve">2、客户端完全利用本机的性能和外设，跨网段运行管理端通用系统（包括但不限于windows、UOS、KYLIN）； </w:t>
                  </w:r>
                  <w:r>
                    <w:br/>
                  </w:r>
                  <w:r>
                    <w:rPr>
                      <w:rFonts w:ascii="仿宋_GB2312" w:hAnsi="仿宋_GB2312" w:cs="仿宋_GB2312" w:eastAsia="仿宋_GB2312"/>
                      <w:sz w:val="21"/>
                      <w:color w:val="000000"/>
                    </w:rPr>
                    <w:t>3、客户端同时可以利用本机硬件性能将管理端专属或通用系统（包括但不限于windows、UOS、KYLIN）差量化离线到本机硬盘上运行。</w:t>
                  </w:r>
                  <w:r>
                    <w:br/>
                  </w:r>
                  <w:r>
                    <w:rPr>
                      <w:rFonts w:ascii="仿宋_GB2312" w:hAnsi="仿宋_GB2312" w:cs="仿宋_GB2312" w:eastAsia="仿宋_GB2312"/>
                      <w:sz w:val="21"/>
                      <w:color w:val="000000"/>
                    </w:rPr>
                    <w:t>4、管理员可以批量下发文件给指定用户指定系统（若该系统关机，启动后会自动接收）；</w:t>
                  </w:r>
                  <w:r>
                    <w:br/>
                  </w:r>
                  <w:r>
                    <w:rPr>
                      <w:rFonts w:ascii="仿宋_GB2312" w:hAnsi="仿宋_GB2312" w:cs="仿宋_GB2312" w:eastAsia="仿宋_GB2312"/>
                      <w:sz w:val="21"/>
                      <w:color w:val="000000"/>
                    </w:rPr>
                    <w:t xml:space="preserve">5、用户可以在任意终端登录属于自己的系统，具备用户管理、终端管理、模版管理、下载管理、模版反向应用等功能模块；                                                                               </w:t>
                  </w:r>
                </w:p>
                <w:p>
                  <w:pPr>
                    <w:pStyle w:val="null3"/>
                    <w:jc w:val="left"/>
                  </w:pPr>
                  <w:r>
                    <w:rPr>
                      <w:rFonts w:ascii="仿宋_GB2312" w:hAnsi="仿宋_GB2312" w:cs="仿宋_GB2312" w:eastAsia="仿宋_GB2312"/>
                      <w:sz w:val="21"/>
                      <w:color w:val="000000"/>
                    </w:rPr>
                    <w:t>▲6、管理系统支持根据不同区域的网络环境，创建不同的虚拟网络类型，包括创建 access 网络和 trunk网络，以满足桌面网络建设和教学需求；</w:t>
                  </w:r>
                  <w:r>
                    <w:rPr>
                      <w:rFonts w:ascii="仿宋_GB2312" w:hAnsi="仿宋_GB2312" w:cs="仿宋_GB2312" w:eastAsia="仿宋_GB2312"/>
                      <w:sz w:val="21"/>
                      <w:b/>
                      <w:color w:val="000000"/>
                    </w:rPr>
                    <w:t>（提供包含但不限于检测报告或产品彩页或产品说明书或官网功能截图等证明材料）</w:t>
                  </w:r>
                  <w:r>
                    <w:rPr>
                      <w:rFonts w:ascii="仿宋_GB2312" w:hAnsi="仿宋_GB2312" w:cs="仿宋_GB2312" w:eastAsia="仿宋_GB2312"/>
                      <w:sz w:val="21"/>
                    </w:rPr>
                    <w:t xml:space="preserve"> </w:t>
                  </w:r>
                  <w:r>
                    <w:br/>
                  </w:r>
                  <w:r>
                    <w:rPr>
                      <w:rFonts w:ascii="仿宋_GB2312" w:hAnsi="仿宋_GB2312" w:cs="仿宋_GB2312" w:eastAsia="仿宋_GB2312"/>
                      <w:sz w:val="21"/>
                      <w:color w:val="000000"/>
                    </w:rPr>
                    <w:t>▲7、支持考试模式，考试模式下，服务器/桌面重启后，学生桌面数据保留；支持D盘；</w:t>
                  </w:r>
                  <w:r>
                    <w:rPr>
                      <w:rFonts w:ascii="仿宋_GB2312" w:hAnsi="仿宋_GB2312" w:cs="仿宋_GB2312" w:eastAsia="仿宋_GB2312"/>
                      <w:sz w:val="21"/>
                      <w:b/>
                      <w:color w:val="000000"/>
                    </w:rPr>
                    <w:t>（提供包含但不限于检测报告或产品彩页或产品说明书或官网功能截图等证明材料）</w:t>
                  </w:r>
                  <w:r>
                    <w:br/>
                  </w:r>
                  <w:r>
                    <w:rPr>
                      <w:rFonts w:ascii="仿宋_GB2312" w:hAnsi="仿宋_GB2312" w:cs="仿宋_GB2312" w:eastAsia="仿宋_GB2312"/>
                      <w:sz w:val="21"/>
                      <w:color w:val="000000"/>
                    </w:rPr>
                    <w:t>▲8、支持虚拟机故障恢复功能，故障虚拟机可以通过备份恢复，也可以恢复到新的虚拟机。当故障虚拟机恢复到新的虚拟机时，故障虚拟机的C盘和云盘自动挂载到新的虚拟机中，管理员可设置故障桌面C盘的卸载时间；</w:t>
                  </w:r>
                  <w:r>
                    <w:rPr>
                      <w:rFonts w:ascii="仿宋_GB2312" w:hAnsi="仿宋_GB2312" w:cs="仿宋_GB2312" w:eastAsia="仿宋_GB2312"/>
                      <w:sz w:val="21"/>
                      <w:b/>
                      <w:color w:val="000000"/>
                    </w:rPr>
                    <w:t>（提供包含但不限于检测报告或产品彩页或产品说明书或官网功能截图等证明材料）</w:t>
                  </w:r>
                  <w:r>
                    <w:br/>
                  </w:r>
                  <w:r>
                    <w:rPr>
                      <w:rFonts w:ascii="仿宋_GB2312" w:hAnsi="仿宋_GB2312" w:cs="仿宋_GB2312" w:eastAsia="仿宋_GB2312"/>
                      <w:sz w:val="21"/>
                      <w:color w:val="000000"/>
                    </w:rPr>
                    <w:t>9、客户端离线使用的任意一个系统，支持执行从该客户端同步数据到管理端，或者从管理端同步到本地，或者不同步，且无需设置一次生效后自动同步；</w:t>
                  </w:r>
                  <w:r>
                    <w:br/>
                  </w:r>
                  <w:r>
                    <w:rPr>
                      <w:rFonts w:ascii="仿宋_GB2312" w:hAnsi="仿宋_GB2312" w:cs="仿宋_GB2312" w:eastAsia="仿宋_GB2312"/>
                      <w:sz w:val="21"/>
                      <w:color w:val="000000"/>
                    </w:rPr>
                    <w:t xml:space="preserve">10、客户端支持自动登录，支持设定某个在线或者离线模板作为默认系统；                            </w:t>
                  </w:r>
                </w:p>
                <w:p>
                  <w:pPr>
                    <w:pStyle w:val="null3"/>
                    <w:jc w:val="left"/>
                  </w:pPr>
                  <w:r>
                    <w:rPr>
                      <w:rFonts w:ascii="仿宋_GB2312" w:hAnsi="仿宋_GB2312" w:cs="仿宋_GB2312" w:eastAsia="仿宋_GB2312"/>
                      <w:sz w:val="21"/>
                      <w:color w:val="000000"/>
                    </w:rPr>
                    <w:t xml:space="preserve"> 11、管理员在用户允许的前提下，可以通过管理端远程连接到客户正在使用的操作系统桌面。</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点</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机房教学软件</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1.教学模式：多教室、负载均衡、关机下发离线系统、断点续传、多系统切换等，内含在线考试系统；</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1）支持多个教室，每个教室只有专属于该教室的系统模板；</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2）支持指定为在线默认系统、在线自由模式、在线考试模式、离线默认系统、离线自由模式、离线考试模式；</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3）下发离线系统时，支持断点续传、差量下发、关机下发等，服务端能看到所有下发任务的总进度和每一个终端的进度，客户端可以看到自己的进度；</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4）客户端支持一键恢复出厂设置，且可以无需重新刷机实现学生端和办公端的转换；</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5）客户端可以通过pxe统一安装；</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6）教室端可以是办公模式的办公端，方便教师在不同教室登录自己专属的系统，且支持多系统启动（包括但不限于windows、UOS、KYLIN）;</w:t>
                  </w:r>
                  <w:r>
                    <w:br/>
                  </w:r>
                  <w:r>
                    <w:rPr>
                      <w:rFonts w:ascii="仿宋_GB2312" w:hAnsi="仿宋_GB2312" w:cs="仿宋_GB2312" w:eastAsia="仿宋_GB2312"/>
                      <w:sz w:val="21"/>
                      <w:color w:val="000000"/>
                    </w:rPr>
                    <w:t>2.教学管理软件：高度定制的教学管理软件，可以实现屏幕广播、禁止U盘、禁止上网、电子白板、举手、消息、收发文件或作业、远程开关机、模板管理；</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1）支持跨系统，即教师端和学生端可以是UOS\KYLIN\WINDOWS任意一种系统；</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2）学生端在任意系统下无需任何配置；</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3）教师端只需要配置服务器ip和教室号即可完成部署；</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4）教室端和云桌面后台高度融合，在教学管理软件内（无需打开web端）即可完成教学模式下除创建教室外的所有功能；</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点</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路由器</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1个千兆 RJ45 WAN口+4个千兆 RJ45 LAN口；</w:t>
                  </w:r>
                  <w:r>
                    <w:br/>
                  </w:r>
                  <w:r>
                    <w:rPr>
                      <w:rFonts w:ascii="仿宋_GB2312" w:hAnsi="仿宋_GB2312" w:cs="仿宋_GB2312" w:eastAsia="仿宋_GB2312"/>
                      <w:sz w:val="21"/>
                      <w:color w:val="000000"/>
                    </w:rPr>
                    <w:t>2. 网络协议支持TCP/IP、DHCP、ICMP、NAT、PPPoE、SNTP、HTTP、DNS、H.323、SIP、DDNS；</w:t>
                  </w:r>
                  <w:r>
                    <w:br/>
                  </w:r>
                  <w:r>
                    <w:rPr>
                      <w:rFonts w:ascii="仿宋_GB2312" w:hAnsi="仿宋_GB2312" w:cs="仿宋_GB2312" w:eastAsia="仿宋_GB2312"/>
                      <w:sz w:val="21"/>
                      <w:color w:val="000000"/>
                    </w:rPr>
                    <w:t>3. 安全管理支持：ARP防护（IP+MAC绑定、GARP），MAC地址过滤，攻击防护（DoS攻击防护、可疑包攻击防护）。</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r>
                    <w:rPr>
                      <w:rFonts w:ascii="仿宋_GB2312" w:hAnsi="仿宋_GB2312" w:cs="仿宋_GB2312" w:eastAsia="仿宋_GB2312"/>
                      <w:sz w:val="21"/>
                      <w:color w:val="000000"/>
                    </w:rPr>
                    <w:t>1</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≥48个10/100/1000M自适应RJ45端口</w:t>
                  </w:r>
                  <w:r>
                    <w:br/>
                  </w:r>
                  <w:r>
                    <w:rPr>
                      <w:rFonts w:ascii="仿宋_GB2312" w:hAnsi="仿宋_GB2312" w:cs="仿宋_GB2312" w:eastAsia="仿宋_GB2312"/>
                      <w:sz w:val="21"/>
                      <w:color w:val="000000"/>
                    </w:rPr>
                    <w:t>2. 所有端口均具备线速转发能力</w:t>
                  </w:r>
                  <w:r>
                    <w:br/>
                  </w:r>
                  <w:r>
                    <w:rPr>
                      <w:rFonts w:ascii="仿宋_GB2312" w:hAnsi="仿宋_GB2312" w:cs="仿宋_GB2312" w:eastAsia="仿宋_GB2312"/>
                      <w:sz w:val="21"/>
                      <w:color w:val="000000"/>
                    </w:rPr>
                    <w:t>3. 支持端口自动翻转（Auto MDI/MDIX）功能</w:t>
                  </w:r>
                  <w:r>
                    <w:br/>
                  </w:r>
                  <w:r>
                    <w:rPr>
                      <w:rFonts w:ascii="仿宋_GB2312" w:hAnsi="仿宋_GB2312" w:cs="仿宋_GB2312" w:eastAsia="仿宋_GB2312"/>
                      <w:sz w:val="21"/>
                      <w:color w:val="000000"/>
                    </w:rPr>
                    <w:t>4. 支持MAC地址自学习；</w:t>
                  </w:r>
                  <w:r>
                    <w:br/>
                  </w:r>
                  <w:r>
                    <w:rPr>
                      <w:rFonts w:ascii="仿宋_GB2312" w:hAnsi="仿宋_GB2312" w:cs="仿宋_GB2312" w:eastAsia="仿宋_GB2312"/>
                      <w:sz w:val="21"/>
                      <w:color w:val="000000"/>
                    </w:rPr>
                    <w:t>5. 支持全双工工作模式</w:t>
                  </w:r>
                  <w:r>
                    <w:br/>
                  </w:r>
                  <w:r>
                    <w:rPr>
                      <w:rFonts w:ascii="仿宋_GB2312" w:hAnsi="仿宋_GB2312" w:cs="仿宋_GB2312" w:eastAsia="仿宋_GB2312"/>
                      <w:sz w:val="21"/>
                      <w:color w:val="000000"/>
                    </w:rPr>
                    <w:t>6. 支持即插即用，无需管理，可上机架</w:t>
                  </w:r>
                  <w:r>
                    <w:br/>
                  </w:r>
                  <w:r>
                    <w:rPr>
                      <w:rFonts w:ascii="仿宋_GB2312" w:hAnsi="仿宋_GB2312" w:cs="仿宋_GB2312" w:eastAsia="仿宋_GB2312"/>
                      <w:sz w:val="21"/>
                      <w:color w:val="000000"/>
                    </w:rPr>
                    <w:t>7. 网络标准：IEEE 802.3 、IEEE 802.3u、IEEE 802.3ab、IEEE 802.3x</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r>
                    <w:rPr>
                      <w:rFonts w:ascii="仿宋_GB2312" w:hAnsi="仿宋_GB2312" w:cs="仿宋_GB2312" w:eastAsia="仿宋_GB2312"/>
                      <w:sz w:val="21"/>
                      <w:color w:val="000000"/>
                    </w:rPr>
                    <w:t>2</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≥24个10/100/1000M自适应RJ45端口</w:t>
                  </w:r>
                  <w:r>
                    <w:br/>
                  </w:r>
                  <w:r>
                    <w:rPr>
                      <w:rFonts w:ascii="仿宋_GB2312" w:hAnsi="仿宋_GB2312" w:cs="仿宋_GB2312" w:eastAsia="仿宋_GB2312"/>
                      <w:sz w:val="21"/>
                      <w:color w:val="000000"/>
                    </w:rPr>
                    <w:t>2. 所有端口均具备线速转发能力</w:t>
                  </w:r>
                  <w:r>
                    <w:br/>
                  </w:r>
                  <w:r>
                    <w:rPr>
                      <w:rFonts w:ascii="仿宋_GB2312" w:hAnsi="仿宋_GB2312" w:cs="仿宋_GB2312" w:eastAsia="仿宋_GB2312"/>
                      <w:sz w:val="21"/>
                      <w:color w:val="000000"/>
                    </w:rPr>
                    <w:t>3. 支持端口自动翻转（Auto MDI/MDIX）功能</w:t>
                  </w:r>
                  <w:r>
                    <w:br/>
                  </w:r>
                  <w:r>
                    <w:rPr>
                      <w:rFonts w:ascii="仿宋_GB2312" w:hAnsi="仿宋_GB2312" w:cs="仿宋_GB2312" w:eastAsia="仿宋_GB2312"/>
                      <w:sz w:val="21"/>
                      <w:color w:val="000000"/>
                    </w:rPr>
                    <w:t>4. 提供标准交换、VLAN隔离和网络克隆三种工作模式，适应不同网络环境</w:t>
                  </w:r>
                  <w:r>
                    <w:br/>
                  </w:r>
                  <w:r>
                    <w:rPr>
                      <w:rFonts w:ascii="仿宋_GB2312" w:hAnsi="仿宋_GB2312" w:cs="仿宋_GB2312" w:eastAsia="仿宋_GB2312"/>
                      <w:sz w:val="21"/>
                      <w:color w:val="000000"/>
                    </w:rPr>
                    <w:t>5. 支持通过拨动开关切换交换机工作模式</w:t>
                  </w:r>
                  <w:r>
                    <w:br/>
                  </w:r>
                  <w:r>
                    <w:rPr>
                      <w:rFonts w:ascii="仿宋_GB2312" w:hAnsi="仿宋_GB2312" w:cs="仿宋_GB2312" w:eastAsia="仿宋_GB2312"/>
                      <w:sz w:val="21"/>
                      <w:color w:val="000000"/>
                    </w:rPr>
                    <w:t>6. 即插即用，可上机架</w:t>
                  </w:r>
                  <w:r>
                    <w:br/>
                  </w:r>
                  <w:r>
                    <w:rPr>
                      <w:rFonts w:ascii="仿宋_GB2312" w:hAnsi="仿宋_GB2312" w:cs="仿宋_GB2312" w:eastAsia="仿宋_GB2312"/>
                      <w:sz w:val="21"/>
                      <w:color w:val="000000"/>
                    </w:rPr>
                    <w:t>7. 网络标准：IEEE 802.3 、EEE 802.3 i、IEEE 802.3u、IEEE 802.3ab、IEEE 802.3x</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网络机柜</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1.2米22U网络机柜，采用优质冷轧钢板；</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教师桌椅</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1.钢木结构，1300MM×600MM×750MM,桌面采用25mm优质三聚氰胺板,钢架壁厚：1.2mm,方管厚度：25mm×25mm以及25mm×30mm，基材采用16mm高密度高密度中纤板,符合E1级环保标准。</w:t>
                  </w:r>
                  <w:r>
                    <w:br/>
                  </w:r>
                  <w:r>
                    <w:rPr>
                      <w:rFonts w:ascii="仿宋_GB2312" w:hAnsi="仿宋_GB2312" w:cs="仿宋_GB2312" w:eastAsia="仿宋_GB2312"/>
                      <w:sz w:val="21"/>
                      <w:color w:val="000000"/>
                    </w:rPr>
                    <w:t>2.贴面材料采用木纹防火皮饰面面。封边用材采用优质2mmPVC封边。五金配件采用优质五金配件。</w:t>
                  </w:r>
                  <w:r>
                    <w:br/>
                  </w:r>
                  <w:r>
                    <w:rPr>
                      <w:rFonts w:ascii="仿宋_GB2312" w:hAnsi="仿宋_GB2312" w:cs="仿宋_GB2312" w:eastAsia="仿宋_GB2312"/>
                      <w:sz w:val="21"/>
                      <w:color w:val="000000"/>
                    </w:rPr>
                    <w:t>3.钢架大沙除锈采用粉末静电喷涂工艺，桌面和钢架用穿心螺丝带防脱螺母固定钢脚, 钢件外部均通过物理除油、除锈、酸洗、磷化、静电喷涂处理。</w:t>
                  </w:r>
                  <w:r>
                    <w:br/>
                  </w:r>
                  <w:r>
                    <w:rPr>
                      <w:rFonts w:ascii="仿宋_GB2312" w:hAnsi="仿宋_GB2312" w:cs="仿宋_GB2312" w:eastAsia="仿宋_GB2312"/>
                      <w:sz w:val="21"/>
                      <w:color w:val="000000"/>
                    </w:rPr>
                    <w:t>4.配套五轮转椅：黑色，网布，可升降，可旋转，可躺，铝合金五星脚，旋转升降扶手，支持人体工程学，可组装。</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电脑桌椅</w:t>
                  </w:r>
                </w:p>
              </w:tc>
              <w:tc>
                <w:tcPr>
                  <w:tcW w:type="dxa" w:w="16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1.钢木结构，1200MM×500MM×750MM,可放置19.5、21.5寸显示器。桌面采用25mm优质三聚氰胺板,钢架壁厚：1.2mm,方管厚度：25mm×25mm以及25mm×30mm，基材采用16mm高密度高密度中纤板,符合E1级环保标准。</w:t>
                  </w:r>
                  <w:r>
                    <w:br/>
                  </w:r>
                  <w:r>
                    <w:rPr>
                      <w:rFonts w:ascii="仿宋_GB2312" w:hAnsi="仿宋_GB2312" w:cs="仿宋_GB2312" w:eastAsia="仿宋_GB2312"/>
                      <w:sz w:val="21"/>
                      <w:color w:val="000000"/>
                    </w:rPr>
                    <w:t>2.贴面材料采用木纹防火皮饰面。封边用材采用优质2mmPVC封边。五金配件采用优质五金配件。</w:t>
                  </w:r>
                  <w:r>
                    <w:br/>
                  </w:r>
                  <w:r>
                    <w:rPr>
                      <w:rFonts w:ascii="仿宋_GB2312" w:hAnsi="仿宋_GB2312" w:cs="仿宋_GB2312" w:eastAsia="仿宋_GB2312"/>
                      <w:sz w:val="21"/>
                      <w:color w:val="000000"/>
                    </w:rPr>
                    <w:t xml:space="preserve">3.桌面底部设有木质走线槽。钢架大沙除锈采用粉末静电喷涂工艺，桌面和钢架用穿心螺丝带防脱螺母固定钢脚, 钢件外部均通过物理除油、除锈、酸洗、磷化、静电喷涂处理。 </w:t>
                  </w:r>
                  <w:r>
                    <w:br/>
                  </w:r>
                  <w:r>
                    <w:rPr>
                      <w:rFonts w:ascii="仿宋_GB2312" w:hAnsi="仿宋_GB2312" w:cs="仿宋_GB2312" w:eastAsia="仿宋_GB2312"/>
                      <w:sz w:val="21"/>
                      <w:color w:val="000000"/>
                    </w:rPr>
                    <w:t>4.配2个钢制方凳，结实耐用，凳腿和地面接触位置配置优质橡胶防滑垫，凳面颜色可选。</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教师麦克风（一个手持和一个头戴）</w:t>
                  </w:r>
                </w:p>
              </w:tc>
              <w:tc>
                <w:tcPr>
                  <w:tcW w:type="dxa" w:w="16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1、采用UHF超高频段，采用最新数字技术，在60MHz频率带宽内，以300KHz信道间隔，提供≥200个信道选择,方便多套机器使用，轻松避开其它干扰；</w:t>
                  </w:r>
                  <w:r>
                    <w:br/>
                  </w:r>
                  <w:r>
                    <w:rPr>
                      <w:rFonts w:ascii="仿宋_GB2312" w:hAnsi="仿宋_GB2312" w:cs="仿宋_GB2312" w:eastAsia="仿宋_GB2312"/>
                      <w:sz w:val="21"/>
                      <w:color w:val="000000"/>
                    </w:rPr>
                    <w:t>2、先进的红外线自动对频技术，即使将发射器与接收机频率调乱了，只需要轻轻一按，发射机就会自动追锁接收机频率并调整一致；</w:t>
                  </w:r>
                  <w:r>
                    <w:br/>
                  </w:r>
                  <w:r>
                    <w:rPr>
                      <w:rFonts w:ascii="仿宋_GB2312" w:hAnsi="仿宋_GB2312" w:cs="仿宋_GB2312" w:eastAsia="仿宋_GB2312"/>
                      <w:sz w:val="21"/>
                      <w:color w:val="000000"/>
                    </w:rPr>
                    <w:t>3、发射频率范围：610-669MHz，调制方式：FM调频，可用带：每通道30宽MHz，频率稳定度：±0.005%；</w:t>
                  </w:r>
                  <w:r>
                    <w:br/>
                  </w:r>
                  <w:r>
                    <w:rPr>
                      <w:rFonts w:ascii="仿宋_GB2312" w:hAnsi="仿宋_GB2312" w:cs="仿宋_GB2312" w:eastAsia="仿宋_GB2312"/>
                      <w:sz w:val="21"/>
                      <w:color w:val="000000"/>
                    </w:rPr>
                    <w:t>4、动态范围：＞95dB，峰值频偏：±45KHz，音频响应：50Hz-18KHz(±3dB)；</w:t>
                  </w:r>
                  <w:r>
                    <w:br/>
                  </w:r>
                  <w:r>
                    <w:rPr>
                      <w:rFonts w:ascii="仿宋_GB2312" w:hAnsi="仿宋_GB2312" w:cs="仿宋_GB2312" w:eastAsia="仿宋_GB2312"/>
                      <w:sz w:val="21"/>
                      <w:color w:val="000000"/>
                    </w:rPr>
                    <w:t>5、综合信噪比：＞95dB，综合失真：＜0.3%；</w:t>
                  </w:r>
                  <w:r>
                    <w:br/>
                  </w:r>
                  <w:r>
                    <w:rPr>
                      <w:rFonts w:ascii="仿宋_GB2312" w:hAnsi="仿宋_GB2312" w:cs="仿宋_GB2312" w:eastAsia="仿宋_GB2312"/>
                      <w:sz w:val="21"/>
                      <w:color w:val="000000"/>
                    </w:rPr>
                    <w:t>6、接收机方式：二次变频超外差，真分集接收；</w:t>
                  </w:r>
                  <w:r>
                    <w:br/>
                  </w:r>
                  <w:r>
                    <w:rPr>
                      <w:rFonts w:ascii="仿宋_GB2312" w:hAnsi="仿宋_GB2312" w:cs="仿宋_GB2312" w:eastAsia="仿宋_GB2312"/>
                      <w:sz w:val="21"/>
                      <w:color w:val="000000"/>
                    </w:rPr>
                    <w:t xml:space="preserve">7、中频频率：第一中频：110MHz，第二中频：10.7MHz；  </w:t>
                  </w:r>
                  <w:r>
                    <w:br/>
                  </w:r>
                  <w:r>
                    <w:rPr>
                      <w:rFonts w:ascii="仿宋_GB2312" w:hAnsi="仿宋_GB2312" w:cs="仿宋_GB2312" w:eastAsia="仿宋_GB2312"/>
                      <w:sz w:val="21"/>
                      <w:color w:val="000000"/>
                    </w:rPr>
                    <w:t>8、灵敏度：12dB(80dBS/N) ，静噪门限：0-40dB，杂散抑制：＞80dB；供电电压： DC12-16V(rated12V) ；</w:t>
                  </w:r>
                  <w:r>
                    <w:br/>
                  </w:r>
                  <w:r>
                    <w:rPr>
                      <w:rFonts w:ascii="仿宋_GB2312" w:hAnsi="仿宋_GB2312" w:cs="仿宋_GB2312" w:eastAsia="仿宋_GB2312"/>
                      <w:sz w:val="21"/>
                      <w:color w:val="000000"/>
                    </w:rPr>
                    <w:t>9、发射机输出功率：10mW，杂散抑制：-60Db，供电：1.5V×2，使用时间(碱性电池) 不少于8小时。</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鹅颈话筒</w:t>
                  </w:r>
                </w:p>
              </w:tc>
              <w:tc>
                <w:tcPr>
                  <w:tcW w:type="dxa" w:w="16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1、具备有灯环提示功能；</w:t>
                  </w:r>
                  <w:r>
                    <w:br/>
                  </w:r>
                  <w:r>
                    <w:rPr>
                      <w:rFonts w:ascii="仿宋_GB2312" w:hAnsi="仿宋_GB2312" w:cs="仿宋_GB2312" w:eastAsia="仿宋_GB2312"/>
                      <w:sz w:val="21"/>
                      <w:color w:val="000000"/>
                    </w:rPr>
                    <w:t>2、换能方式：电容式；</w:t>
                  </w:r>
                  <w:r>
                    <w:br/>
                  </w:r>
                  <w:r>
                    <w:rPr>
                      <w:rFonts w:ascii="仿宋_GB2312" w:hAnsi="仿宋_GB2312" w:cs="仿宋_GB2312" w:eastAsia="仿宋_GB2312"/>
                      <w:sz w:val="21"/>
                      <w:color w:val="000000"/>
                    </w:rPr>
                    <w:t>3、频率响应：不劣于40Hz-16KHz；</w:t>
                  </w:r>
                  <w:r>
                    <w:br/>
                  </w:r>
                  <w:r>
                    <w:rPr>
                      <w:rFonts w:ascii="仿宋_GB2312" w:hAnsi="仿宋_GB2312" w:cs="仿宋_GB2312" w:eastAsia="仿宋_GB2312"/>
                      <w:sz w:val="21"/>
                      <w:color w:val="000000"/>
                    </w:rPr>
                    <w:t>4、指向性：心型指向；</w:t>
                  </w:r>
                  <w:r>
                    <w:br/>
                  </w:r>
                  <w:r>
                    <w:rPr>
                      <w:rFonts w:ascii="仿宋_GB2312" w:hAnsi="仿宋_GB2312" w:cs="仿宋_GB2312" w:eastAsia="仿宋_GB2312"/>
                      <w:sz w:val="21"/>
                      <w:color w:val="000000"/>
                    </w:rPr>
                    <w:t>5、输出阻抗：200Ω；</w:t>
                  </w:r>
                  <w:r>
                    <w:br/>
                  </w:r>
                  <w:r>
                    <w:rPr>
                      <w:rFonts w:ascii="仿宋_GB2312" w:hAnsi="仿宋_GB2312" w:cs="仿宋_GB2312" w:eastAsia="仿宋_GB2312"/>
                      <w:sz w:val="21"/>
                      <w:color w:val="000000"/>
                    </w:rPr>
                    <w:t>6、灵敏度：不劣于-38dB±2dB；</w:t>
                  </w:r>
                  <w:r>
                    <w:br/>
                  </w:r>
                  <w:r>
                    <w:rPr>
                      <w:rFonts w:ascii="仿宋_GB2312" w:hAnsi="仿宋_GB2312" w:cs="仿宋_GB2312" w:eastAsia="仿宋_GB2312"/>
                      <w:sz w:val="21"/>
                      <w:color w:val="000000"/>
                    </w:rPr>
                    <w:t>7、有效拾音距离：≥50cm；</w:t>
                  </w:r>
                  <w:r>
                    <w:br/>
                  </w:r>
                  <w:r>
                    <w:rPr>
                      <w:rFonts w:ascii="仿宋_GB2312" w:hAnsi="仿宋_GB2312" w:cs="仿宋_GB2312" w:eastAsia="仿宋_GB2312"/>
                      <w:sz w:val="21"/>
                      <w:color w:val="000000"/>
                    </w:rPr>
                    <w:t>8、供电电压：DC3V</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音箱</w:t>
                  </w:r>
                </w:p>
              </w:tc>
              <w:tc>
                <w:tcPr>
                  <w:tcW w:type="dxa" w:w="16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1、箱体采用中纤板，弧形箱体外观。内嵌金属防护网，≥4mm六角形透声孔，内衬防尘透声网。配备壁挂件和≥Φ35的底部安装支撑孔。                                         </w:t>
                  </w:r>
                  <w:r>
                    <w:br/>
                  </w:r>
                  <w:r>
                    <w:rPr>
                      <w:rFonts w:ascii="仿宋_GB2312" w:hAnsi="仿宋_GB2312" w:cs="仿宋_GB2312" w:eastAsia="仿宋_GB2312"/>
                      <w:sz w:val="21"/>
                      <w:color w:val="000000"/>
                    </w:rPr>
                    <w:t>技术参数：</w:t>
                  </w:r>
                  <w:r>
                    <w:br/>
                  </w:r>
                  <w:r>
                    <w:rPr>
                      <w:rFonts w:ascii="仿宋_GB2312" w:hAnsi="仿宋_GB2312" w:cs="仿宋_GB2312" w:eastAsia="仿宋_GB2312"/>
                      <w:sz w:val="21"/>
                      <w:color w:val="000000"/>
                    </w:rPr>
                    <w:t>2、额定阻抗：8Ω</w:t>
                  </w:r>
                  <w:r>
                    <w:br/>
                  </w:r>
                  <w:r>
                    <w:rPr>
                      <w:rFonts w:ascii="仿宋_GB2312" w:hAnsi="仿宋_GB2312" w:cs="仿宋_GB2312" w:eastAsia="仿宋_GB2312"/>
                      <w:sz w:val="21"/>
                      <w:color w:val="000000"/>
                    </w:rPr>
                    <w:t>3、额定功率: ≥75W</w:t>
                  </w:r>
                  <w:r>
                    <w:br/>
                  </w:r>
                  <w:r>
                    <w:rPr>
                      <w:rFonts w:ascii="仿宋_GB2312" w:hAnsi="仿宋_GB2312" w:cs="仿宋_GB2312" w:eastAsia="仿宋_GB2312"/>
                      <w:sz w:val="21"/>
                      <w:color w:val="000000"/>
                    </w:rPr>
                    <w:t>4、灵 敏 度:  ≥93dB(1W/1M)</w:t>
                  </w:r>
                  <w:r>
                    <w:br/>
                  </w:r>
                  <w:r>
                    <w:rPr>
                      <w:rFonts w:ascii="仿宋_GB2312" w:hAnsi="仿宋_GB2312" w:cs="仿宋_GB2312" w:eastAsia="仿宋_GB2312"/>
                      <w:sz w:val="21"/>
                      <w:color w:val="000000"/>
                    </w:rPr>
                    <w:t>5、连续声压级:  ≥116dB(1W/1M)</w:t>
                  </w:r>
                  <w:r>
                    <w:br/>
                  </w:r>
                  <w:r>
                    <w:rPr>
                      <w:rFonts w:ascii="仿宋_GB2312" w:hAnsi="仿宋_GB2312" w:cs="仿宋_GB2312" w:eastAsia="仿宋_GB2312"/>
                      <w:sz w:val="21"/>
                      <w:color w:val="000000"/>
                    </w:rPr>
                    <w:t>6、最大声压级: ≥ 122dB(1W/1M)</w:t>
                  </w:r>
                  <w:r>
                    <w:br/>
                  </w:r>
                  <w:r>
                    <w:rPr>
                      <w:rFonts w:ascii="仿宋_GB2312" w:hAnsi="仿宋_GB2312" w:cs="仿宋_GB2312" w:eastAsia="仿宋_GB2312"/>
                      <w:sz w:val="21"/>
                      <w:color w:val="000000"/>
                    </w:rPr>
                    <w:t>7、频响范围：110Hz～18000Hz</w:t>
                  </w:r>
                  <w:r>
                    <w:br/>
                  </w:r>
                  <w:r>
                    <w:rPr>
                      <w:rFonts w:ascii="仿宋_GB2312" w:hAnsi="仿宋_GB2312" w:cs="仿宋_GB2312" w:eastAsia="仿宋_GB2312"/>
                      <w:sz w:val="21"/>
                      <w:color w:val="000000"/>
                    </w:rPr>
                    <w:t>8、全频扬声器：≥4" X 4</w:t>
                  </w:r>
                  <w:r>
                    <w:br/>
                  </w:r>
                  <w:r>
                    <w:rPr>
                      <w:rFonts w:ascii="仿宋_GB2312" w:hAnsi="仿宋_GB2312" w:cs="仿宋_GB2312" w:eastAsia="仿宋_GB2312"/>
                      <w:sz w:val="21"/>
                      <w:color w:val="000000"/>
                    </w:rPr>
                    <w:t>9、覆盖角度（H×V）：180°×180°</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专业合并式功放</w:t>
                  </w:r>
                </w:p>
              </w:tc>
              <w:tc>
                <w:tcPr>
                  <w:tcW w:type="dxa" w:w="16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▲1）≥3路话筒输入通道，音量与音色及效果均采用隐藏式调节。</w:t>
                  </w:r>
                  <w:r>
                    <w:br/>
                  </w:r>
                  <w:r>
                    <w:rPr>
                      <w:rFonts w:ascii="仿宋_GB2312" w:hAnsi="仿宋_GB2312" w:cs="仿宋_GB2312" w:eastAsia="仿宋_GB2312"/>
                      <w:sz w:val="21"/>
                      <w:color w:val="000000"/>
                    </w:rPr>
                    <w:t>2）内置U盘和SD卡的MP3播放器，带REC录音和BLUE蓝牙功能。（全解码，无压缩格式，APE解码，MP3/WMA解码格式）</w:t>
                  </w:r>
                  <w:r>
                    <w:br/>
                  </w:r>
                  <w:r>
                    <w:rPr>
                      <w:rFonts w:ascii="仿宋_GB2312" w:hAnsi="仿宋_GB2312" w:cs="仿宋_GB2312" w:eastAsia="仿宋_GB2312"/>
                      <w:sz w:val="21"/>
                      <w:color w:val="000000"/>
                    </w:rPr>
                    <w:t>3）内置MP3播放器带红外线遥控接收功能。</w:t>
                  </w:r>
                  <w:r>
                    <w:br/>
                  </w:r>
                  <w:r>
                    <w:rPr>
                      <w:rFonts w:ascii="仿宋_GB2312" w:hAnsi="仿宋_GB2312" w:cs="仿宋_GB2312" w:eastAsia="仿宋_GB2312"/>
                      <w:sz w:val="21"/>
                      <w:color w:val="000000"/>
                    </w:rPr>
                    <w:t>▲4）≥二路音乐辅助输入通道，≥一路录音电平输出接口，一路音乐电平输出接口。</w:t>
                  </w:r>
                  <w:r>
                    <w:br/>
                  </w:r>
                  <w:r>
                    <w:rPr>
                      <w:rFonts w:ascii="仿宋_GB2312" w:hAnsi="仿宋_GB2312" w:cs="仿宋_GB2312" w:eastAsia="仿宋_GB2312"/>
                      <w:sz w:val="21"/>
                      <w:color w:val="000000"/>
                    </w:rPr>
                    <w:t xml:space="preserve">5)完善的短路、过载、高温、输入信号、扬声器保护措施。                                                 </w:t>
                  </w:r>
                </w:p>
                <w:p>
                  <w:pPr>
                    <w:pStyle w:val="null3"/>
                    <w:jc w:val="left"/>
                  </w:pPr>
                  <w:r>
                    <w:rPr>
                      <w:rFonts w:ascii="仿宋_GB2312" w:hAnsi="仿宋_GB2312" w:cs="仿宋_GB2312" w:eastAsia="仿宋_GB2312"/>
                      <w:sz w:val="21"/>
                      <w:color w:val="000000"/>
                    </w:rPr>
                    <w:t xml:space="preserve"> 技术参数：                                                                                                                            </w:t>
                  </w:r>
                </w:p>
                <w:p>
                  <w:pPr>
                    <w:pStyle w:val="null3"/>
                    <w:jc w:val="left"/>
                  </w:pPr>
                  <w:r>
                    <w:rPr>
                      <w:rFonts w:ascii="仿宋_GB2312" w:hAnsi="仿宋_GB2312" w:cs="仿宋_GB2312" w:eastAsia="仿宋_GB2312"/>
                      <w:sz w:val="21"/>
                      <w:color w:val="000000"/>
                    </w:rPr>
                    <w:t xml:space="preserve">1)频率响应（-3dB/+1dB):20Hz~20KHz.                                                                                    </w:t>
                  </w:r>
                </w:p>
                <w:p>
                  <w:pPr>
                    <w:pStyle w:val="null3"/>
                    <w:jc w:val="left"/>
                  </w:pPr>
                  <w:r>
                    <w:rPr>
                      <w:rFonts w:ascii="仿宋_GB2312" w:hAnsi="仿宋_GB2312" w:cs="仿宋_GB2312" w:eastAsia="仿宋_GB2312"/>
                      <w:sz w:val="21"/>
                      <w:color w:val="000000"/>
                    </w:rPr>
                    <w:t xml:space="preserve">2)失真：＜0.1%.                                                                                                                       </w:t>
                  </w:r>
                </w:p>
                <w:p>
                  <w:pPr>
                    <w:pStyle w:val="null3"/>
                    <w:jc w:val="left"/>
                  </w:pPr>
                  <w:r>
                    <w:rPr>
                      <w:rFonts w:ascii="仿宋_GB2312" w:hAnsi="仿宋_GB2312" w:cs="仿宋_GB2312" w:eastAsia="仿宋_GB2312"/>
                      <w:sz w:val="21"/>
                      <w:color w:val="000000"/>
                    </w:rPr>
                    <w:t xml:space="preserve">3)输入灵敏度（线路）:0.22v/10kohm 输入灵敏度（话筒）:13mv/2kohm.                      </w:t>
                  </w:r>
                </w:p>
                <w:p>
                  <w:pPr>
                    <w:pStyle w:val="null3"/>
                    <w:jc w:val="left"/>
                  </w:pPr>
                  <w:r>
                    <w:rPr>
                      <w:rFonts w:ascii="仿宋_GB2312" w:hAnsi="仿宋_GB2312" w:cs="仿宋_GB2312" w:eastAsia="仿宋_GB2312"/>
                      <w:sz w:val="21"/>
                      <w:color w:val="000000"/>
                    </w:rPr>
                    <w:t xml:space="preserve">4)噪声:＜-85dB.                                                                                                             </w:t>
                  </w:r>
                </w:p>
                <w:p>
                  <w:pPr>
                    <w:pStyle w:val="null3"/>
                    <w:jc w:val="left"/>
                  </w:pPr>
                  <w:r>
                    <w:rPr>
                      <w:rFonts w:ascii="仿宋_GB2312" w:hAnsi="仿宋_GB2312" w:cs="仿宋_GB2312" w:eastAsia="仿宋_GB2312"/>
                      <w:sz w:val="21"/>
                      <w:color w:val="000000"/>
                    </w:rPr>
                    <w:t>5)额定输出功率（8Ω）：≥2X118W.</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防静电地板</w:t>
                  </w:r>
                </w:p>
              </w:tc>
              <w:tc>
                <w:tcPr>
                  <w:tcW w:type="dxa" w:w="16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国标</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辅材</w:t>
                  </w:r>
                </w:p>
              </w:tc>
              <w:tc>
                <w:tcPr>
                  <w:tcW w:type="dxa" w:w="16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交换机到教师机、学生机超六类网线布施；</w:t>
                  </w:r>
                  <w:r>
                    <w:br/>
                  </w:r>
                  <w:r>
                    <w:rPr>
                      <w:rFonts w:ascii="仿宋_GB2312" w:hAnsi="仿宋_GB2312" w:cs="仿宋_GB2312" w:eastAsia="仿宋_GB2312"/>
                      <w:sz w:val="21"/>
                      <w:color w:val="000000"/>
                    </w:rPr>
                    <w:t>2. 配电箱到教师机、学生机及电源线及插线板布施；</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系统集成调试</w:t>
                  </w:r>
                </w:p>
              </w:tc>
              <w:tc>
                <w:tcPr>
                  <w:tcW w:type="dxa" w:w="16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符合国家标准的铜线，负载满足要求，电源线、水晶头、</w:t>
                  </w:r>
                  <w:r>
                    <w:rPr>
                      <w:rFonts w:ascii="仿宋_GB2312" w:hAnsi="仿宋_GB2312" w:cs="仿宋_GB2312" w:eastAsia="仿宋_GB2312"/>
                      <w:sz w:val="21"/>
                      <w:color w:val="000000"/>
                    </w:rPr>
                    <w:t>6类网线：符合国家标准，满足传输要求；电源插座符合国家标准，满足连接需求；金属或塑料线槽及扣条，符合国家安全标准，所有线路按需加以钢制和PVC线槽保护；以上线缆、管材等辅材，均要求用知名品牌优质材料。施工依照综合布线标准设计要具有高扩展性、灵活性、先进性、可管理性。</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批</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自合同签订后20日历日内完成项目内容</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供应商须按其响应文件中响应的时限按时完成本项目并提供全额合规发票保证“货票同行”，到达采购人指定地点，安装、调试完毕。经采购人验收合格后，向供应商支付合同价款，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达采购人指定地点后，采购人根据合同要求，进行外观验收，确认产地、规格、型号和数量。采购人、供应商双方须在约定的时间和地点共同开箱检验。（二）货物安装、调试并正常运行后，，由供应商进行自检，合格后能够正常使用时书面通知采购人。（三）采购人确认接收乙方的自检内容后，进行验收。验收合格后，由供应商对采购人操作人员进行培训，完成培训后，采购人填写验收单作为对货物的最终认可。（四）供应商向采购人提交货物实施过程中的所有资料，以便采购人日后管理和维护。（五）验收依据：1、本合同及附件文本；2、国家相应的标准、规范；3、竞争性磋商文件、响应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运输由供应商负责，运杂费已包含在合同总价内，包括从货物供应地点所含的运输费、装卸费、仓储费、保险费、集成费等。（二）运输方式由供应商自行选择，但必须保证按期交货。（三）因运输产生的一切风险及质量问题由供应商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（一）质保期三年。 （二）质保期内，设备发生质量问题，在接到采购人通知后，供应商2个小时内进行服务响应，4小时内派出专业的维修人员进行现场检测维修，解决问题不超过48小时。</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政府采购法》、《中华人民共和国民法典》中的相关条款执行。（二）未按合同要求提供货物或质量不能满足磋商文件技术要求，在约定的条件下，供应商必须无条件更换，提高技术，完善质量，否则，采购人有权解除合同，解除合同书面通知书到达供应商之日视为合同已解除，并按以下两种方式追究供应商的违约责任：1、供应商赔偿采购人解除合同的全部损失（包括但不限于重新采购产生的费用、合同未履行导致设备不能按规划交付使用可能产生的租赁费用及其它由此造成的采购人对第三方的违约损）；2、供应商支付采购人违约金，违约金计算方法：以合同总价为基数，支付采购人合同总价的30%为违约金。同时，对供应商的违约行为报监管机构进行相应的处罚。本合同在履行过程中发生的争议，由采购人、供应商双方当事人协商解决，协商不成的依法向采购人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1、成交供应商在领取成交通知书时提交纸质响应文件壹份，内容应与系统上传文件一致。 2、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由于系统原因，本项目确定供应商及签订合同分别按以下执行：（1）采购代理机构在评审结束之日起1个工作日内将磋商报告送交采购人。采购人在收到磋商报告后4个工作日内，在磋商报告推荐的成交候选供应商名单中按顺序确定成交供应商。采购代理机构应当自成交供应商确定之日起1个工作日内，发出成交通知书，并在省级以上人民政府财政部门指定的媒体上公告成交结果，采购文件随成交结果同时公告。（2）采购人应在成交通知书发出之日起二十五日内与成交供应商签订采购合同。4、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2026年3月-2026年5月任意一个月的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有效的财务审计报告（事业法人可提供部门决算报告）；或提供开标日前三个月内基本存款账户银行出具的资信证明及基本存款账户银行相关证明资料；或提供专业担保机构出具的投标担保函。（注：有效的财务审计报告应满足以下要求：①财务审计报告须包括报告正文、资产负债表、现金流量表、利润表、附注、会计师事务所营业执照、执业证书及两名注册会计师资格证书；②报告正文应经过会计师事务所盖章及两名注册会计师的签字及盖章；③财务审计报告应当经过注册会计师行业统一监管平台备案赋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代理机构现场查询记录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（一）政府采购评审中出现下列情形之一的，磋商小组应当启动异常低价投标（响应）审查程序：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 磋商小组基于专业判断，认为供应商报价过低，有可能影响产品质量或者不能诚信履约的其他情形。 （二）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标的清单 磋商第一次报价表.docx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内容无重大缺漏项，报价唯一，且没有超过采购预算或限价</w:t>
            </w:r>
          </w:p>
        </w:tc>
        <w:tc>
          <w:tcPr>
            <w:tcW w:type="dxa" w:w="1661"/>
          </w:tcPr>
          <w:p>
            <w:pPr>
              <w:pStyle w:val="null3"/>
            </w:pPr>
            <w:r>
              <w:rPr>
                <w:rFonts w:ascii="仿宋_GB2312" w:hAnsi="仿宋_GB2312" w:cs="仿宋_GB2312" w:eastAsia="仿宋_GB2312"/>
              </w:rPr>
              <w:t>响应文件封面 标的清单 磋商第一次报价表.docx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强制节能产品</w:t>
            </w:r>
          </w:p>
        </w:tc>
        <w:tc>
          <w:tcPr>
            <w:tcW w:type="dxa" w:w="3322"/>
          </w:tcPr>
          <w:p>
            <w:pPr>
              <w:pStyle w:val="null3"/>
            </w:pPr>
            <w:r>
              <w:rPr>
                <w:rFonts w:ascii="仿宋_GB2312" w:hAnsi="仿宋_GB2312" w:cs="仿宋_GB2312" w:eastAsia="仿宋_GB2312"/>
              </w:rPr>
              <w:t>满足磋商文件要求，提供该产品由国家确定的认证机构出具的节能产品认证证书</w:t>
            </w:r>
          </w:p>
        </w:tc>
        <w:tc>
          <w:tcPr>
            <w:tcW w:type="dxa" w:w="1661"/>
          </w:tcPr>
          <w:p>
            <w:pPr>
              <w:pStyle w:val="null3"/>
            </w:pPr>
            <w:r>
              <w:rPr>
                <w:rFonts w:ascii="仿宋_GB2312" w:hAnsi="仿宋_GB2312" w:cs="仿宋_GB2312" w:eastAsia="仿宋_GB2312"/>
              </w:rPr>
              <w:t>响应文件封面 技术响应部分.docx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交货时间、质保期、交货地点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响应文件封面 技术响应部分.docx 标的清单 磋商第一次报价表.docx 承诺书.docx 报价表 响应函 资格证明文件.docx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技术响应部分.docx 标的清单 磋商第一次报价表.docx 承诺书.docx 报价表 响应函 资格证明文件.docx 商务条款偏离表.docx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技术参数分为一般参数和“▲”参数。按要求填写“技术规格偏离表”并提供证明材料。全部满足采购需求得37分，“▲”参数每负偏离一项扣1分，一般参数每负偏离一项扣0.5分，扣完为止。 注：按要求提供相关技术指标证明材料予以佐证并注明具体页码，若不提供或证明材料未体现或不清晰，按负偏离处理。供应商自行承担因材料提供不全导致的技术参数评审风险。若无证明材料要求，以技术规格偏离表响应为准。如出现供应商技术参数完全复制的响应情况，由评委视其情况给予15分的扣分。</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产品可靠性</w:t>
            </w:r>
          </w:p>
        </w:tc>
        <w:tc>
          <w:tcPr>
            <w:tcW w:type="dxa" w:w="2492"/>
          </w:tcPr>
          <w:p>
            <w:pPr>
              <w:pStyle w:val="null3"/>
            </w:pPr>
            <w:r>
              <w:rPr>
                <w:rFonts w:ascii="仿宋_GB2312" w:hAnsi="仿宋_GB2312" w:cs="仿宋_GB2312" w:eastAsia="仿宋_GB2312"/>
              </w:rPr>
              <w:t>提供（学生机主机、机房终端维护系统、机房教学软件）所投产品货源渠道合法的证明文件（包括但不限于销售协议、代理协议、原厂授权等），产品符合国家、行业标准及有关规定，确保产品性能稳定，无产权纠纷。 每提供一个得1.5分，满分4.5分。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提供具体可行的实施方案。内容包含：①产品配置与选型；②项目组织机构人员安排及供货、配送、安装、调试、验收方案；③提供设备使用期间可能会发生的故障及故障发生后的响应时间及补救方案。 二、评审标准： 1、完整性：内容必须全面，对评审内容中的各项要求有详细描述； 2、可实施性：切合本项目实际情况，提出清晰、合理的内容； 3、针对性：内容能够紧扣项目实际情况，内容科学合理。 三、赋分标准（满分10.5分） ①产品配置与选型：完全满足一个评审标准得1分，满分3分。 ②项目组织机构人员安排及供货、配送、安装、调试、验收方案：完全满足一个评审标准得1.5分，满分4.5分。 ③提供设备使用期间可能会发生的故障及故障发生后的响应时间及补救方案：完全满足一个评审标准得1分，满分3分。</w:t>
            </w:r>
          </w:p>
        </w:tc>
        <w:tc>
          <w:tcPr>
            <w:tcW w:type="dxa" w:w="831"/>
          </w:tcPr>
          <w:p>
            <w:pPr>
              <w:pStyle w:val="null3"/>
              <w:jc w:val="right"/>
            </w:pPr>
            <w:r>
              <w:rPr>
                <w:rFonts w:ascii="仿宋_GB2312" w:hAnsi="仿宋_GB2312" w:cs="仿宋_GB2312" w:eastAsia="仿宋_GB2312"/>
              </w:rPr>
              <w:t>10.5000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一、评审内容 供应商针对本项目提出保证措施，内容包含：①产品质量保证措施；②项目进度保证措施； 二、评审标准 1、完整性：内容必须全面，对评审内容中的各项要求有详细描述； 2、可实施性：切合本项目实际情况，提出清晰、合理的内容； 3、针对性：内容能够紧扣项目实际情况，内容科学合理。 三、赋分标准（满分6分） 每项评审内容完全满足一个评审标准得1分，满分3分。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供应商针对本项目提出售后服务内容包含：①培训时间计划及培训人员安排；②培训内容设计安排。 二、评审标准： 1、完整性：内容必须全面，对评审内容中的各项要求有详细描述； 2、可实施性：切合本项目实际情况，提出清晰、合理的内容； 3、针对性：内容能够紧扣项目实际情况，内容科学合理。 三、赋分标准（满分3分） 每项评审内容完全满足一个评审标准得0.5分，满分1.5分。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①质保期内，设备发生质量问题，在接到采购人通知后，供应商服务响应时间2小时内/1小时内，按响应时间分别得0.5/1分。 ②4小时内/2小时内派出专业的维修人员进行现场检测维修。按响应时间分别得0.5/1分。 ③解决问题不超过48小时/24小时。按响应时间分别得0.5/1分。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提供供应商自2023年6月1日至响应文件递交截止时间前（以合同签订时间为准）类似项目业绩，每提供1份完整有效合同得2分，本项最多得6分。（合同内容须完整清晰，若无法辨认不得分）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（4）磋商小组基于专业判断，认为供应商报价过低，有可能影响产品质量或者不能诚信履约的其他情形。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详见附件：磋商第一次报价表.docx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详见附件：技术响应部分.docx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