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4422">
      <w:pPr>
        <w:keepNext w:val="0"/>
        <w:keepLines w:val="0"/>
        <w:pageBreakBefore w:val="0"/>
        <w:widowControl w:val="0"/>
        <w:kinsoku/>
        <w:wordWrap/>
        <w:overflowPunct/>
        <w:topLinePunct w:val="0"/>
        <w:autoSpaceDE/>
        <w:autoSpaceDN/>
        <w:bidi w:val="0"/>
        <w:adjustRightInd/>
        <w:snapToGrid/>
        <w:jc w:val="center"/>
        <w:textAlignment w:val="auto"/>
        <w:outlineLvl w:val="0"/>
        <w:rPr>
          <w:rFonts w:hint="default" w:ascii="宋体" w:hAnsi="宋体" w:eastAsia="宋体" w:cs="宋体"/>
          <w:color w:val="auto"/>
          <w:highlight w:val="none"/>
          <w:lang w:val="en-US" w:eastAsia="zh-Hans" w:bidi="ar-SA"/>
        </w:rPr>
      </w:pPr>
      <w:bookmarkStart w:id="28" w:name="_GoBack"/>
      <w:r>
        <w:rPr>
          <w:rFonts w:hint="eastAsia" w:ascii="宋体" w:hAnsi="宋体" w:eastAsia="宋体" w:cs="宋体"/>
          <w:b/>
          <w:color w:val="auto"/>
          <w:sz w:val="36"/>
          <w:highlight w:val="none"/>
          <w:lang w:val="en-US" w:eastAsia="zh-Hans" w:bidi="ar-SA"/>
        </w:rPr>
        <w:t>拟签订采购合同文本</w:t>
      </w:r>
    </w:p>
    <w:bookmarkEnd w:id="28"/>
    <w:p w14:paraId="378EDEC3">
      <w:pPr>
        <w:keepNext w:val="0"/>
        <w:keepLines w:val="0"/>
        <w:pageBreakBefore w:val="0"/>
        <w:widowControl w:val="0"/>
        <w:kinsoku/>
        <w:wordWrap/>
        <w:overflowPunct/>
        <w:topLinePunct w:val="0"/>
        <w:autoSpaceDE/>
        <w:autoSpaceDN/>
        <w:bidi w:val="0"/>
        <w:adjustRightInd/>
        <w:snapToGrid/>
        <w:spacing w:after="200" w:line="360" w:lineRule="auto"/>
        <w:ind w:firstLine="422" w:firstLineChars="200"/>
        <w:outlineLvl w:val="9"/>
        <w:rPr>
          <w:rFonts w:ascii="宋体" w:hAnsi="宋体" w:eastAsia="宋体" w:cs="宋体"/>
          <w:b/>
          <w:bCs/>
          <w:color w:val="auto"/>
          <w:sz w:val="21"/>
          <w:szCs w:val="21"/>
          <w:highlight w:val="none"/>
          <w:lang w:val="en-US" w:eastAsia="zh-CN" w:bidi="ar-SA"/>
        </w:rPr>
      </w:pPr>
      <w:r>
        <w:rPr>
          <w:rFonts w:hint="eastAsia" w:ascii="宋体" w:hAnsi="宋体" w:eastAsia="宋体" w:cs="宋体"/>
          <w:b/>
          <w:bCs/>
          <w:color w:val="auto"/>
          <w:sz w:val="21"/>
          <w:szCs w:val="21"/>
          <w:highlight w:val="none"/>
          <w:lang w:val="zh-CN" w:eastAsia="zh-CN" w:bidi="ar-SA"/>
        </w:rPr>
        <w:t>（此合同条款只作为参考，最终签订的合同以采购人确定的合同内容为准。）</w:t>
      </w:r>
    </w:p>
    <w:p w14:paraId="58D4811D">
      <w:pPr>
        <w:keepNext w:val="0"/>
        <w:keepLines w:val="0"/>
        <w:pageBreakBefore w:val="0"/>
        <w:kinsoku/>
        <w:wordWrap/>
        <w:overflowPunct/>
        <w:topLinePunct w:val="0"/>
        <w:autoSpaceDE/>
        <w:autoSpaceDN/>
        <w:bidi w:val="0"/>
        <w:adjustRightInd w:val="0"/>
        <w:snapToGrid w:val="0"/>
        <w:spacing w:before="312" w:beforeLines="100" w:after="200" w:line="360" w:lineRule="auto"/>
        <w:ind w:firstLine="420" w:firstLineChars="200"/>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 xml:space="preserve">合同编号： </w:t>
      </w:r>
    </w:p>
    <w:p w14:paraId="490448CB">
      <w:pPr>
        <w:keepNext w:val="0"/>
        <w:keepLines w:val="0"/>
        <w:pageBreakBefore w:val="0"/>
        <w:kinsoku/>
        <w:wordWrap/>
        <w:overflowPunct/>
        <w:topLinePunct w:val="0"/>
        <w:autoSpaceDE/>
        <w:autoSpaceDN/>
        <w:bidi w:val="0"/>
        <w:adjustRightInd w:val="0"/>
        <w:snapToGrid w:val="0"/>
        <w:spacing w:after="200" w:line="360" w:lineRule="auto"/>
        <w:ind w:firstLine="420" w:firstLineChars="200"/>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 xml:space="preserve">签订地点： </w:t>
      </w:r>
    </w:p>
    <w:p w14:paraId="247B65A9">
      <w:pPr>
        <w:keepNext w:val="0"/>
        <w:keepLines w:val="0"/>
        <w:pageBreakBefore w:val="0"/>
        <w:kinsoku/>
        <w:wordWrap/>
        <w:overflowPunct/>
        <w:topLinePunct w:val="0"/>
        <w:autoSpaceDE/>
        <w:autoSpaceDN/>
        <w:bidi w:val="0"/>
        <w:adjustRightInd w:val="0"/>
        <w:snapToGrid w:val="0"/>
        <w:spacing w:after="200" w:line="360" w:lineRule="auto"/>
        <w:ind w:firstLine="420" w:firstLineChars="200"/>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签订时间:</w:t>
      </w:r>
    </w:p>
    <w:p w14:paraId="77A6F39A">
      <w:pPr>
        <w:keepNext w:val="0"/>
        <w:keepLines w:val="0"/>
        <w:pageBreakBefore w:val="0"/>
        <w:kinsoku/>
        <w:wordWrap/>
        <w:overflowPunct/>
        <w:topLinePunct w:val="0"/>
        <w:autoSpaceDE/>
        <w:autoSpaceDN/>
        <w:bidi w:val="0"/>
        <w:adjustRightInd w:val="0"/>
        <w:snapToGrid w:val="0"/>
        <w:spacing w:after="200" w:line="360" w:lineRule="auto"/>
        <w:ind w:firstLine="420" w:firstLineChars="200"/>
        <w:outlineLvl w:val="9"/>
        <w:rPr>
          <w:rFonts w:ascii="宋体" w:hAnsi="宋体" w:eastAsia="宋体" w:cs="宋体"/>
          <w:color w:val="auto"/>
          <w:sz w:val="21"/>
          <w:szCs w:val="21"/>
          <w:highlight w:val="none"/>
          <w:lang w:val="en-US" w:eastAsia="zh-CN" w:bidi="ar-SA"/>
        </w:rPr>
      </w:pPr>
    </w:p>
    <w:p w14:paraId="17C3FC17">
      <w:pPr>
        <w:keepNext w:val="0"/>
        <w:keepLines w:val="0"/>
        <w:pageBreakBefore w:val="0"/>
        <w:kinsoku/>
        <w:wordWrap/>
        <w:overflowPunct/>
        <w:topLinePunct w:val="0"/>
        <w:autoSpaceDE/>
        <w:autoSpaceDN/>
        <w:bidi w:val="0"/>
        <w:adjustRightInd w:val="0"/>
        <w:snapToGrid w:val="0"/>
        <w:spacing w:after="200" w:line="360" w:lineRule="auto"/>
        <w:ind w:firstLine="420" w:firstLineChars="200"/>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采购人（甲方）：</w:t>
      </w:r>
    </w:p>
    <w:p w14:paraId="65A2BDBF">
      <w:pPr>
        <w:keepNext w:val="0"/>
        <w:keepLines w:val="0"/>
        <w:pageBreakBefore w:val="0"/>
        <w:kinsoku/>
        <w:wordWrap/>
        <w:overflowPunct/>
        <w:topLinePunct w:val="0"/>
        <w:autoSpaceDE/>
        <w:autoSpaceDN/>
        <w:bidi w:val="0"/>
        <w:adjustRightInd w:val="0"/>
        <w:snapToGrid w:val="0"/>
        <w:spacing w:after="200" w:line="360" w:lineRule="auto"/>
        <w:ind w:firstLine="420" w:firstLineChars="200"/>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供应商（乙方）：</w:t>
      </w:r>
    </w:p>
    <w:p w14:paraId="69527815">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根据《中华人民共和国政府采购法》及其实施条例、《中华人民共和国民法典》等有关规定，为确保甲方采购项目的顺利实施，甲、乙双方在平等自愿原则下签订本合同，并共同遵守如下条款：</w:t>
      </w:r>
    </w:p>
    <w:p w14:paraId="3AE27DA0">
      <w:pPr>
        <w:keepNext w:val="0"/>
        <w:keepLines w:val="0"/>
        <w:pageBreakBefore w:val="0"/>
        <w:kinsoku/>
        <w:wordWrap/>
        <w:overflowPunct/>
        <w:topLinePunct w:val="0"/>
        <w:autoSpaceDE/>
        <w:autoSpaceDN/>
        <w:bidi w:val="0"/>
        <w:adjustRightInd w:val="0"/>
        <w:snapToGrid w:val="0"/>
        <w:spacing w:after="0" w:line="360" w:lineRule="auto"/>
        <w:ind w:firstLine="0" w:firstLineChars="0"/>
        <w:jc w:val="both"/>
        <w:outlineLvl w:val="9"/>
        <w:rPr>
          <w:rFonts w:ascii="宋体" w:hAnsi="宋体" w:eastAsia="宋体" w:cs="宋体"/>
          <w:b/>
          <w:bCs/>
          <w:color w:val="auto"/>
          <w:sz w:val="28"/>
          <w:szCs w:val="28"/>
          <w:highlight w:val="none"/>
          <w:lang w:val="en-US" w:eastAsia="zh-CN" w:bidi="ar-SA"/>
        </w:rPr>
      </w:pPr>
      <w:bookmarkStart w:id="0" w:name="_Toc23895"/>
      <w:bookmarkStart w:id="1" w:name="_Toc18197"/>
      <w:r>
        <w:rPr>
          <w:rFonts w:hint="eastAsia" w:ascii="宋体" w:hAnsi="宋体" w:eastAsia="宋体" w:cs="宋体"/>
          <w:b/>
          <w:bCs/>
          <w:color w:val="auto"/>
          <w:sz w:val="28"/>
          <w:szCs w:val="28"/>
          <w:highlight w:val="none"/>
          <w:lang w:val="en-US" w:eastAsia="zh-CN" w:bidi="ar-SA"/>
        </w:rPr>
        <w:t>第一条 合同标的</w:t>
      </w:r>
      <w:bookmarkEnd w:id="0"/>
      <w:bookmarkEnd w:id="1"/>
    </w:p>
    <w:p w14:paraId="303846EA">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1.项目名称：西安市卫生学校康养教学设备采购项目</w:t>
      </w:r>
    </w:p>
    <w:p w14:paraId="3D44C73E">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2.合同标的：康养教学设备采购项目</w:t>
      </w:r>
    </w:p>
    <w:p w14:paraId="069657B7">
      <w:pPr>
        <w:keepNext w:val="0"/>
        <w:keepLines w:val="0"/>
        <w:pageBreakBefore w:val="0"/>
        <w:kinsoku/>
        <w:wordWrap/>
        <w:overflowPunct/>
        <w:topLinePunct w:val="0"/>
        <w:autoSpaceDE/>
        <w:autoSpaceDN/>
        <w:bidi w:val="0"/>
        <w:adjustRightInd w:val="0"/>
        <w:snapToGrid w:val="0"/>
        <w:spacing w:after="0" w:line="360" w:lineRule="auto"/>
        <w:ind w:firstLine="0" w:firstLineChars="0"/>
        <w:jc w:val="both"/>
        <w:outlineLvl w:val="9"/>
        <w:rPr>
          <w:rFonts w:ascii="宋体" w:hAnsi="宋体" w:eastAsia="宋体" w:cs="宋体"/>
          <w:b/>
          <w:bCs/>
          <w:color w:val="auto"/>
          <w:sz w:val="28"/>
          <w:szCs w:val="28"/>
          <w:highlight w:val="none"/>
          <w:lang w:val="en-US" w:eastAsia="zh-CN" w:bidi="ar-SA"/>
        </w:rPr>
      </w:pPr>
      <w:bookmarkStart w:id="2" w:name="_Toc20865"/>
      <w:bookmarkStart w:id="3" w:name="_Toc4507"/>
      <w:r>
        <w:rPr>
          <w:rFonts w:hint="eastAsia" w:ascii="宋体" w:hAnsi="宋体" w:eastAsia="宋体" w:cs="宋体"/>
          <w:b/>
          <w:bCs/>
          <w:color w:val="auto"/>
          <w:sz w:val="28"/>
          <w:szCs w:val="28"/>
          <w:highlight w:val="none"/>
          <w:lang w:val="en-US" w:eastAsia="zh-CN" w:bidi="ar-SA"/>
        </w:rPr>
        <w:t>第二条 合同价款</w:t>
      </w:r>
      <w:bookmarkEnd w:id="2"/>
      <w:bookmarkEnd w:id="3"/>
    </w:p>
    <w:p w14:paraId="50663C53">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1.合同总价：人民币（大写）</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元，（￥</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p>
    <w:p w14:paraId="13A95170">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2.本项目为固定总价合同，此报价为供应商按合同规定的范围所提供的全部服务所需的费用，包含制作费、运输费、安装费、税费等所有费用。</w:t>
      </w:r>
    </w:p>
    <w:p w14:paraId="6F91D2A5">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3.本合同总价还包含乙方应当提供的伴随服务和售后服务费用。</w:t>
      </w:r>
    </w:p>
    <w:p w14:paraId="7AA52EC3">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4.本合同执行期间合同总价不变，甲方无须另向乙方支付本合同规定之外的其他任何费用。</w:t>
      </w:r>
    </w:p>
    <w:p w14:paraId="2FC42C78">
      <w:pPr>
        <w:keepNext w:val="0"/>
        <w:keepLines w:val="0"/>
        <w:pageBreakBefore w:val="0"/>
        <w:kinsoku/>
        <w:wordWrap/>
        <w:overflowPunct/>
        <w:topLinePunct w:val="0"/>
        <w:autoSpaceDE/>
        <w:autoSpaceDN/>
        <w:bidi w:val="0"/>
        <w:adjustRightInd w:val="0"/>
        <w:snapToGrid w:val="0"/>
        <w:spacing w:after="0" w:line="360" w:lineRule="auto"/>
        <w:ind w:firstLine="0" w:firstLineChars="0"/>
        <w:jc w:val="both"/>
        <w:outlineLvl w:val="9"/>
        <w:rPr>
          <w:rFonts w:ascii="宋体" w:hAnsi="宋体" w:eastAsia="宋体" w:cs="宋体"/>
          <w:b/>
          <w:bCs/>
          <w:color w:val="auto"/>
          <w:sz w:val="28"/>
          <w:szCs w:val="28"/>
          <w:highlight w:val="none"/>
          <w:lang w:val="en-US" w:eastAsia="zh-CN" w:bidi="ar-SA"/>
        </w:rPr>
      </w:pPr>
      <w:bookmarkStart w:id="4" w:name="_Toc31240"/>
      <w:bookmarkStart w:id="5" w:name="_Toc25616"/>
      <w:r>
        <w:rPr>
          <w:rFonts w:hint="eastAsia" w:ascii="宋体" w:hAnsi="宋体" w:eastAsia="宋体" w:cs="宋体"/>
          <w:b/>
          <w:bCs/>
          <w:color w:val="auto"/>
          <w:sz w:val="28"/>
          <w:szCs w:val="28"/>
          <w:highlight w:val="none"/>
          <w:lang w:val="en-US" w:eastAsia="zh-CN" w:bidi="ar-SA"/>
        </w:rPr>
        <w:t>第三条 货款支付</w:t>
      </w:r>
      <w:bookmarkEnd w:id="4"/>
      <w:bookmarkEnd w:id="5"/>
    </w:p>
    <w:p w14:paraId="2470789F">
      <w:pPr>
        <w:keepNext w:val="0"/>
        <w:keepLines w:val="0"/>
        <w:pageBreakBefore w:val="0"/>
        <w:kinsoku/>
        <w:wordWrap/>
        <w:overflowPunct/>
        <w:topLinePunct w:val="0"/>
        <w:autoSpaceDE/>
        <w:autoSpaceDN/>
        <w:bidi w:val="0"/>
        <w:spacing w:line="360" w:lineRule="auto"/>
        <w:ind w:firstLine="420" w:firstLineChars="200"/>
        <w:jc w:val="both"/>
        <w:outlineLvl w:val="9"/>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1、付款方式：</w:t>
      </w:r>
    </w:p>
    <w:p w14:paraId="6952E0B9">
      <w:pPr>
        <w:keepNext w:val="0"/>
        <w:keepLines w:val="0"/>
        <w:pageBreakBefore w:val="0"/>
        <w:kinsoku/>
        <w:wordWrap/>
        <w:overflowPunct/>
        <w:topLinePunct w:val="0"/>
        <w:autoSpaceDE/>
        <w:autoSpaceDN/>
        <w:bidi w:val="0"/>
        <w:spacing w:line="360" w:lineRule="auto"/>
        <w:ind w:firstLine="420" w:firstLineChars="200"/>
        <w:jc w:val="both"/>
        <w:outlineLvl w:val="9"/>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成果交付验收合格后，达到付款条件起30日内，一次性支付合同总金额的100.00%。</w:t>
      </w:r>
    </w:p>
    <w:p w14:paraId="3D9DF1CB">
      <w:pPr>
        <w:keepNext w:val="0"/>
        <w:keepLines w:val="0"/>
        <w:pageBreakBefore w:val="0"/>
        <w:kinsoku/>
        <w:wordWrap/>
        <w:overflowPunct/>
        <w:topLinePunct w:val="0"/>
        <w:autoSpaceDE/>
        <w:autoSpaceDN/>
        <w:bidi w:val="0"/>
        <w:spacing w:line="360" w:lineRule="auto"/>
        <w:ind w:firstLine="420" w:firstLineChars="200"/>
        <w:jc w:val="both"/>
        <w:outlineLvl w:val="9"/>
        <w:rPr>
          <w:rFonts w:hint="default" w:ascii="宋体" w:hAnsi="宋体" w:eastAsia="宋体" w:cs="宋体"/>
          <w:color w:val="auto"/>
          <w:sz w:val="21"/>
          <w:szCs w:val="21"/>
          <w:highlight w:val="none"/>
          <w:lang w:val="en-US" w:eastAsia="zh-Hans" w:bidi="ar-SA"/>
        </w:rPr>
      </w:pPr>
      <w:r>
        <w:rPr>
          <w:rFonts w:hint="eastAsia" w:ascii="宋体" w:hAnsi="宋体" w:eastAsia="宋体" w:cs="宋体"/>
          <w:color w:val="auto"/>
          <w:sz w:val="21"/>
          <w:szCs w:val="21"/>
          <w:highlight w:val="none"/>
          <w:lang w:val="en-US" w:eastAsia="zh-Hans" w:bidi="ar-SA"/>
        </w:rPr>
        <w:t>2.乙方须向甲方出具合法有效的完税发票，甲方进行支付结算。</w:t>
      </w:r>
    </w:p>
    <w:p w14:paraId="574436DA">
      <w:pPr>
        <w:keepNext w:val="0"/>
        <w:keepLines w:val="0"/>
        <w:pageBreakBefore w:val="0"/>
        <w:kinsoku/>
        <w:wordWrap/>
        <w:overflowPunct/>
        <w:topLinePunct w:val="0"/>
        <w:autoSpaceDE/>
        <w:autoSpaceDN/>
        <w:bidi w:val="0"/>
        <w:spacing w:line="360" w:lineRule="auto"/>
        <w:ind w:firstLine="420" w:firstLineChars="200"/>
        <w:jc w:val="both"/>
        <w:outlineLvl w:val="9"/>
        <w:rPr>
          <w:rFonts w:hint="default" w:ascii="宋体" w:hAnsi="宋体" w:eastAsia="宋体" w:cs="宋体"/>
          <w:color w:val="auto"/>
          <w:sz w:val="21"/>
          <w:szCs w:val="21"/>
          <w:highlight w:val="none"/>
          <w:lang w:val="en-US" w:eastAsia="zh-Hans" w:bidi="ar-SA"/>
        </w:rPr>
      </w:pPr>
      <w:r>
        <w:rPr>
          <w:rFonts w:hint="eastAsia" w:ascii="宋体" w:hAnsi="宋体" w:eastAsia="宋体" w:cs="宋体"/>
          <w:color w:val="auto"/>
          <w:sz w:val="21"/>
          <w:szCs w:val="21"/>
          <w:highlight w:val="none"/>
          <w:lang w:val="en-US" w:eastAsia="zh-Hans" w:bidi="ar-SA"/>
        </w:rPr>
        <w:t>3.结算方式：银行转账。</w:t>
      </w:r>
    </w:p>
    <w:p w14:paraId="6E45EDE6">
      <w:pPr>
        <w:keepNext w:val="0"/>
        <w:keepLines w:val="0"/>
        <w:pageBreakBefore w:val="0"/>
        <w:kinsoku/>
        <w:wordWrap/>
        <w:overflowPunct/>
        <w:topLinePunct w:val="0"/>
        <w:autoSpaceDE/>
        <w:autoSpaceDN/>
        <w:bidi w:val="0"/>
        <w:adjustRightInd w:val="0"/>
        <w:snapToGrid w:val="0"/>
        <w:spacing w:after="0" w:line="360" w:lineRule="auto"/>
        <w:ind w:firstLine="0" w:firstLineChars="0"/>
        <w:jc w:val="both"/>
        <w:outlineLvl w:val="9"/>
        <w:rPr>
          <w:rFonts w:ascii="宋体" w:hAnsi="宋体" w:eastAsia="宋体" w:cs="宋体"/>
          <w:b/>
          <w:bCs/>
          <w:color w:val="auto"/>
          <w:sz w:val="28"/>
          <w:szCs w:val="28"/>
          <w:highlight w:val="none"/>
          <w:lang w:val="en-US" w:eastAsia="zh-CN" w:bidi="ar-SA"/>
        </w:rPr>
      </w:pPr>
      <w:bookmarkStart w:id="6" w:name="_Toc16435"/>
      <w:bookmarkStart w:id="7" w:name="_Toc28542"/>
      <w:r>
        <w:rPr>
          <w:rFonts w:hint="eastAsia" w:ascii="宋体" w:hAnsi="宋体" w:eastAsia="宋体" w:cs="宋体"/>
          <w:b/>
          <w:bCs/>
          <w:color w:val="auto"/>
          <w:sz w:val="28"/>
          <w:szCs w:val="28"/>
          <w:highlight w:val="none"/>
          <w:lang w:val="en-US" w:eastAsia="zh-CN" w:bidi="ar-SA"/>
        </w:rPr>
        <w:t>第四条 交货及安装</w:t>
      </w:r>
      <w:bookmarkEnd w:id="6"/>
      <w:bookmarkEnd w:id="7"/>
    </w:p>
    <w:p w14:paraId="184C94A2">
      <w:pPr>
        <w:keepNext w:val="0"/>
        <w:keepLines w:val="0"/>
        <w:pageBreakBefore w:val="0"/>
        <w:kinsoku/>
        <w:wordWrap/>
        <w:overflowPunct/>
        <w:topLinePunct w:val="0"/>
        <w:autoSpaceDE/>
        <w:autoSpaceDN/>
        <w:bidi w:val="0"/>
        <w:spacing w:line="360" w:lineRule="auto"/>
        <w:ind w:firstLine="420" w:firstLineChars="200"/>
        <w:jc w:val="both"/>
        <w:outlineLvl w:val="9"/>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乙方在合同签订生效之日起，按甲方指定时间、地点交货。</w:t>
      </w:r>
    </w:p>
    <w:p w14:paraId="45ACFBA1">
      <w:pPr>
        <w:keepNext w:val="0"/>
        <w:keepLines w:val="0"/>
        <w:pageBreakBefore w:val="0"/>
        <w:kinsoku/>
        <w:wordWrap/>
        <w:overflowPunct/>
        <w:topLinePunct w:val="0"/>
        <w:autoSpaceDE/>
        <w:autoSpaceDN/>
        <w:bidi w:val="0"/>
        <w:spacing w:line="360" w:lineRule="auto"/>
        <w:ind w:firstLine="420" w:firstLineChars="200"/>
        <w:jc w:val="both"/>
        <w:outlineLvl w:val="9"/>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1.时间（期限）：合同签订之日起10日历日内完成交付、安装及调试</w:t>
      </w:r>
    </w:p>
    <w:p w14:paraId="5DBA1DE6">
      <w:pPr>
        <w:keepNext w:val="0"/>
        <w:keepLines w:val="0"/>
        <w:pageBreakBefore w:val="0"/>
        <w:kinsoku/>
        <w:wordWrap/>
        <w:overflowPunct/>
        <w:topLinePunct w:val="0"/>
        <w:autoSpaceDE/>
        <w:autoSpaceDN/>
        <w:bidi w:val="0"/>
        <w:spacing w:line="360" w:lineRule="auto"/>
        <w:ind w:firstLine="420" w:firstLineChars="200"/>
        <w:jc w:val="both"/>
        <w:outlineLvl w:val="9"/>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2.地点：甲方指定地点</w:t>
      </w:r>
    </w:p>
    <w:p w14:paraId="381DBC82">
      <w:pPr>
        <w:keepNext w:val="0"/>
        <w:keepLines w:val="0"/>
        <w:pageBreakBefore w:val="0"/>
        <w:kinsoku/>
        <w:wordWrap/>
        <w:overflowPunct/>
        <w:topLinePunct w:val="0"/>
        <w:autoSpaceDE/>
        <w:autoSpaceDN/>
        <w:bidi w:val="0"/>
        <w:spacing w:line="360" w:lineRule="auto"/>
        <w:ind w:firstLine="420" w:firstLineChars="200"/>
        <w:jc w:val="both"/>
        <w:outlineLvl w:val="9"/>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3.运输安装：成交供应商负责货物设备的运输和安装。</w:t>
      </w:r>
    </w:p>
    <w:p w14:paraId="03528309">
      <w:pPr>
        <w:keepNext w:val="0"/>
        <w:keepLines w:val="0"/>
        <w:pageBreakBefore w:val="0"/>
        <w:kinsoku/>
        <w:wordWrap/>
        <w:overflowPunct/>
        <w:topLinePunct w:val="0"/>
        <w:autoSpaceDE/>
        <w:autoSpaceDN/>
        <w:bidi w:val="0"/>
        <w:adjustRightInd w:val="0"/>
        <w:snapToGrid w:val="0"/>
        <w:spacing w:after="0" w:line="360" w:lineRule="auto"/>
        <w:ind w:firstLine="0" w:firstLineChars="0"/>
        <w:jc w:val="both"/>
        <w:outlineLvl w:val="9"/>
        <w:rPr>
          <w:rFonts w:ascii="宋体" w:hAnsi="宋体" w:eastAsia="宋体" w:cs="宋体"/>
          <w:b/>
          <w:bCs/>
          <w:color w:val="auto"/>
          <w:sz w:val="28"/>
          <w:szCs w:val="28"/>
          <w:highlight w:val="none"/>
          <w:lang w:val="en-US" w:eastAsia="zh-CN" w:bidi="ar-SA"/>
        </w:rPr>
      </w:pPr>
      <w:bookmarkStart w:id="8" w:name="_Toc21646"/>
      <w:bookmarkStart w:id="9" w:name="_Toc10827"/>
      <w:r>
        <w:rPr>
          <w:rFonts w:hint="eastAsia" w:ascii="宋体" w:hAnsi="宋体" w:eastAsia="宋体" w:cs="宋体"/>
          <w:b/>
          <w:bCs/>
          <w:color w:val="auto"/>
          <w:sz w:val="28"/>
          <w:szCs w:val="28"/>
          <w:highlight w:val="none"/>
          <w:lang w:val="en-US" w:eastAsia="zh-CN" w:bidi="ar-SA"/>
        </w:rPr>
        <w:t>第五条 质量保证</w:t>
      </w:r>
      <w:bookmarkEnd w:id="8"/>
      <w:bookmarkEnd w:id="9"/>
    </w:p>
    <w:p w14:paraId="1CE25579">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1.乙方的供货产品必须是原厂生产的、全新的、未使用过的，并完全符合原厂质量检测标准和国家质量检测标准 、行业标准并有相应的检验合格报告。</w:t>
      </w:r>
    </w:p>
    <w:p w14:paraId="0F23C890">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2.乙方应保证,采购人在中华人民共和国使用货物或货物的任何一部分时,采购人免受第三方提出侵犯其专利权、商标权或其它知识产权的起诉。</w:t>
      </w:r>
    </w:p>
    <w:p w14:paraId="444DDE08">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3.质量标准按照最新颁布的国家标准、行业标准或制造商企业标准确定，上述标准不一致的，以严格标准为准。</w:t>
      </w:r>
    </w:p>
    <w:p w14:paraId="6012666A">
      <w:pPr>
        <w:keepNext w:val="0"/>
        <w:keepLines w:val="0"/>
        <w:pageBreakBefore w:val="0"/>
        <w:kinsoku/>
        <w:wordWrap/>
        <w:overflowPunct/>
        <w:topLinePunct w:val="0"/>
        <w:autoSpaceDE/>
        <w:autoSpaceDN/>
        <w:bidi w:val="0"/>
        <w:adjustRightInd w:val="0"/>
        <w:snapToGrid w:val="0"/>
        <w:spacing w:after="0" w:line="360" w:lineRule="auto"/>
        <w:ind w:firstLine="0" w:firstLineChars="0"/>
        <w:jc w:val="both"/>
        <w:outlineLvl w:val="9"/>
        <w:rPr>
          <w:rFonts w:ascii="宋体" w:hAnsi="宋体" w:eastAsia="宋体" w:cs="宋体"/>
          <w:b/>
          <w:bCs/>
          <w:color w:val="auto"/>
          <w:sz w:val="28"/>
          <w:szCs w:val="28"/>
          <w:highlight w:val="none"/>
          <w:lang w:val="en-US" w:eastAsia="zh-CN" w:bidi="ar-SA"/>
        </w:rPr>
      </w:pPr>
      <w:bookmarkStart w:id="10" w:name="_Toc23870"/>
      <w:bookmarkStart w:id="11" w:name="_Toc17766"/>
      <w:r>
        <w:rPr>
          <w:rFonts w:hint="eastAsia" w:ascii="宋体" w:hAnsi="宋体" w:eastAsia="宋体" w:cs="宋体"/>
          <w:b/>
          <w:bCs/>
          <w:color w:val="auto"/>
          <w:sz w:val="28"/>
          <w:szCs w:val="28"/>
          <w:highlight w:val="none"/>
          <w:lang w:val="en-US" w:eastAsia="zh-CN" w:bidi="ar-SA"/>
        </w:rPr>
        <w:t>第六条 权利保证</w:t>
      </w:r>
      <w:bookmarkEnd w:id="10"/>
      <w:bookmarkEnd w:id="11"/>
    </w:p>
    <w:p w14:paraId="06ED9728">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1.乙方保证对其出售的货物享有合法的权利。</w:t>
      </w:r>
    </w:p>
    <w:p w14:paraId="27213ED8">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2.乙方保证对其出售的货物上不存在任何未曾向甲方透露的担保物权，如抵押权、质押权、留置权。</w:t>
      </w:r>
    </w:p>
    <w:p w14:paraId="6E644BB7">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3.乙方保证对其出售的货物或其任何一部分没有侵犯第三方的专利权、版权、商标权或其他权利。</w:t>
      </w:r>
    </w:p>
    <w:p w14:paraId="0F0A97E8">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4.如甲方在使用该货物构成上述侵权的，则由乙方承担全部责任。</w:t>
      </w:r>
    </w:p>
    <w:p w14:paraId="4CA5CFCC">
      <w:pPr>
        <w:keepNext w:val="0"/>
        <w:keepLines w:val="0"/>
        <w:pageBreakBefore w:val="0"/>
        <w:kinsoku/>
        <w:wordWrap/>
        <w:overflowPunct/>
        <w:topLinePunct w:val="0"/>
        <w:autoSpaceDE/>
        <w:autoSpaceDN/>
        <w:bidi w:val="0"/>
        <w:adjustRightInd w:val="0"/>
        <w:snapToGrid w:val="0"/>
        <w:spacing w:after="0" w:line="360" w:lineRule="auto"/>
        <w:ind w:firstLine="0" w:firstLineChars="0"/>
        <w:jc w:val="both"/>
        <w:outlineLvl w:val="9"/>
        <w:rPr>
          <w:rFonts w:ascii="宋体" w:hAnsi="宋体" w:eastAsia="宋体" w:cs="宋体"/>
          <w:b/>
          <w:bCs/>
          <w:color w:val="auto"/>
          <w:sz w:val="28"/>
          <w:szCs w:val="28"/>
          <w:highlight w:val="none"/>
          <w:lang w:val="en-US" w:eastAsia="zh-CN" w:bidi="ar-SA"/>
        </w:rPr>
      </w:pPr>
      <w:bookmarkStart w:id="12" w:name="_Toc29119"/>
      <w:bookmarkStart w:id="13" w:name="_Toc31329"/>
      <w:r>
        <w:rPr>
          <w:rFonts w:hint="eastAsia" w:ascii="宋体" w:hAnsi="宋体" w:eastAsia="宋体" w:cs="宋体"/>
          <w:b/>
          <w:bCs/>
          <w:color w:val="auto"/>
          <w:sz w:val="28"/>
          <w:szCs w:val="28"/>
          <w:highlight w:val="none"/>
          <w:lang w:val="en-US" w:eastAsia="zh-CN" w:bidi="ar-SA"/>
        </w:rPr>
        <w:t>第七条 包装及运输</w:t>
      </w:r>
      <w:bookmarkEnd w:id="12"/>
      <w:bookmarkEnd w:id="13"/>
      <w:r>
        <w:rPr>
          <w:rFonts w:hint="eastAsia" w:ascii="宋体" w:hAnsi="宋体" w:eastAsia="宋体" w:cs="宋体"/>
          <w:b/>
          <w:bCs/>
          <w:color w:val="auto"/>
          <w:sz w:val="28"/>
          <w:szCs w:val="28"/>
          <w:highlight w:val="none"/>
          <w:lang w:val="en-US" w:eastAsia="zh-CN" w:bidi="ar-SA"/>
        </w:rPr>
        <w:t xml:space="preserve">  </w:t>
      </w:r>
    </w:p>
    <w:p w14:paraId="3C6C5C9A">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1.除合同另有规定外，乙方提供的全部货物均应按标准保护措施进行包装，该包装应适应于远距离运输、防潮、防震、防锈和防野蛮装卸，以确保货物安全运抵指定地点。</w:t>
      </w:r>
    </w:p>
    <w:p w14:paraId="777305CD">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2.每一包装单元应附详细的装箱单和质量合格证。</w:t>
      </w:r>
    </w:p>
    <w:p w14:paraId="45F43530">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3.乙方负责货物（产品）运输。</w:t>
      </w:r>
    </w:p>
    <w:p w14:paraId="786128A7">
      <w:pPr>
        <w:keepNext w:val="0"/>
        <w:keepLines w:val="0"/>
        <w:pageBreakBefore w:val="0"/>
        <w:kinsoku/>
        <w:wordWrap/>
        <w:overflowPunct/>
        <w:topLinePunct w:val="0"/>
        <w:autoSpaceDE/>
        <w:autoSpaceDN/>
        <w:bidi w:val="0"/>
        <w:adjustRightInd w:val="0"/>
        <w:snapToGrid w:val="0"/>
        <w:spacing w:after="0" w:line="360" w:lineRule="auto"/>
        <w:ind w:firstLine="0" w:firstLineChars="0"/>
        <w:jc w:val="both"/>
        <w:outlineLvl w:val="9"/>
        <w:rPr>
          <w:rFonts w:ascii="宋体" w:hAnsi="宋体" w:eastAsia="宋体" w:cs="宋体"/>
          <w:b/>
          <w:bCs/>
          <w:color w:val="auto"/>
          <w:sz w:val="28"/>
          <w:szCs w:val="28"/>
          <w:highlight w:val="none"/>
          <w:lang w:val="en-US" w:eastAsia="zh-CN" w:bidi="ar-SA"/>
        </w:rPr>
      </w:pPr>
      <w:bookmarkStart w:id="14" w:name="_Toc26106"/>
      <w:bookmarkStart w:id="15" w:name="_Toc20800"/>
      <w:r>
        <w:rPr>
          <w:rFonts w:hint="eastAsia" w:ascii="宋体" w:hAnsi="宋体" w:eastAsia="宋体" w:cs="宋体"/>
          <w:b/>
          <w:bCs/>
          <w:color w:val="auto"/>
          <w:sz w:val="28"/>
          <w:szCs w:val="28"/>
          <w:highlight w:val="none"/>
          <w:lang w:val="en-US" w:eastAsia="zh-CN" w:bidi="ar-SA"/>
        </w:rPr>
        <w:t>第八条 货物验收</w:t>
      </w:r>
      <w:bookmarkEnd w:id="14"/>
      <w:bookmarkEnd w:id="15"/>
    </w:p>
    <w:p w14:paraId="20F090C6">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1.货物验收由甲方组织，乙方配合，并按下列程序进行：</w:t>
      </w:r>
    </w:p>
    <w:p w14:paraId="02EAE238">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（1）货物安装结束后由甲方组织完成最终验收；</w:t>
      </w:r>
    </w:p>
    <w:p w14:paraId="1F9E698E">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（2）质量验收合格，双方签署质量验收报告。</w:t>
      </w:r>
    </w:p>
    <w:p w14:paraId="284B773C">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2.货物验收依据：</w:t>
      </w:r>
    </w:p>
    <w:p w14:paraId="202FCED4">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（1）谈判文件；</w:t>
      </w:r>
    </w:p>
    <w:p w14:paraId="5C2ADA75">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（2）响应文件；</w:t>
      </w:r>
    </w:p>
    <w:p w14:paraId="450E9D96">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（3）采购合同及补充协议；</w:t>
      </w:r>
    </w:p>
    <w:p w14:paraId="5F8A560A">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3.货物验收时发现问题的处理办法：</w:t>
      </w:r>
    </w:p>
    <w:p w14:paraId="1C284FFC">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（1）乙方提供不符合谈判文件和本合同规定的货物（产品），甲方有权拒绝接受；</w:t>
      </w:r>
    </w:p>
    <w:p w14:paraId="671C457E">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41BF9CC5">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（3）如货物经乙方 3 次维修仍不能达到合同约定的质量标准，甲方有权退货，并视作乙方不能交付货物而须支付违约赔偿金给甲方，甲方还可依法追究乙方的违约责任； </w:t>
      </w:r>
    </w:p>
    <w:p w14:paraId="255ADC41">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（4）货物安装完成后 7 日内，甲方无故不进行验收工作并已使用货物的，视同已安装调试完成并验收合格；</w:t>
      </w:r>
    </w:p>
    <w:p w14:paraId="594FC51B">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（5）乙方不能完整交付货物及本条第一款规定的单证和工具的，必须负责补齐，否则视为未按合同约定交货；</w:t>
      </w:r>
    </w:p>
    <w:p w14:paraId="7883B1F3">
      <w:pPr>
        <w:keepNext w:val="0"/>
        <w:keepLines w:val="0"/>
        <w:pageBreakBefore w:val="0"/>
        <w:kinsoku/>
        <w:wordWrap/>
        <w:overflowPunct/>
        <w:topLinePunct w:val="0"/>
        <w:autoSpaceDE/>
        <w:autoSpaceDN/>
        <w:bidi w:val="0"/>
        <w:adjustRightInd w:val="0"/>
        <w:snapToGrid w:val="0"/>
        <w:spacing w:after="0" w:line="360" w:lineRule="auto"/>
        <w:ind w:firstLine="0" w:firstLineChars="0"/>
        <w:jc w:val="both"/>
        <w:outlineLvl w:val="9"/>
        <w:rPr>
          <w:rFonts w:ascii="宋体" w:hAnsi="宋体" w:eastAsia="宋体" w:cs="宋体"/>
          <w:b/>
          <w:bCs/>
          <w:color w:val="auto"/>
          <w:sz w:val="28"/>
          <w:szCs w:val="28"/>
          <w:highlight w:val="none"/>
          <w:lang w:val="en-US" w:eastAsia="zh-CN" w:bidi="ar-SA"/>
        </w:rPr>
      </w:pPr>
      <w:bookmarkStart w:id="16" w:name="_Toc31679"/>
      <w:bookmarkStart w:id="17" w:name="_Toc4386"/>
      <w:r>
        <w:rPr>
          <w:rFonts w:hint="eastAsia" w:ascii="宋体" w:hAnsi="宋体" w:eastAsia="宋体" w:cs="宋体"/>
          <w:b/>
          <w:bCs/>
          <w:color w:val="auto"/>
          <w:sz w:val="28"/>
          <w:szCs w:val="28"/>
          <w:highlight w:val="none"/>
          <w:lang w:val="en-US" w:eastAsia="zh-CN" w:bidi="ar-SA"/>
        </w:rPr>
        <w:t>第九条 售后服务</w:t>
      </w:r>
      <w:bookmarkEnd w:id="16"/>
      <w:bookmarkEnd w:id="17"/>
    </w:p>
    <w:p w14:paraId="2B026989">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乙方应按照国家有关法律法规和“三包”规定以及谈判文件要求和响应文件的“服务承诺”提供服务。</w:t>
      </w:r>
    </w:p>
    <w:p w14:paraId="559F3FE8">
      <w:pPr>
        <w:keepNext w:val="0"/>
        <w:keepLines w:val="0"/>
        <w:pageBreakBefore w:val="0"/>
        <w:kinsoku/>
        <w:wordWrap/>
        <w:overflowPunct/>
        <w:topLinePunct w:val="0"/>
        <w:autoSpaceDE/>
        <w:autoSpaceDN/>
        <w:bidi w:val="0"/>
        <w:adjustRightInd w:val="0"/>
        <w:snapToGrid w:val="0"/>
        <w:spacing w:after="0" w:line="360" w:lineRule="auto"/>
        <w:ind w:firstLine="0" w:firstLineChars="0"/>
        <w:jc w:val="both"/>
        <w:outlineLvl w:val="9"/>
        <w:rPr>
          <w:rFonts w:ascii="宋体" w:hAnsi="宋体" w:eastAsia="宋体" w:cs="宋体"/>
          <w:b/>
          <w:bCs/>
          <w:color w:val="auto"/>
          <w:sz w:val="28"/>
          <w:szCs w:val="28"/>
          <w:highlight w:val="none"/>
          <w:lang w:val="en-US" w:eastAsia="zh-CN" w:bidi="ar-SA"/>
        </w:rPr>
      </w:pPr>
      <w:bookmarkStart w:id="18" w:name="_Toc3071"/>
      <w:bookmarkStart w:id="19" w:name="_Toc21042"/>
      <w:r>
        <w:rPr>
          <w:rFonts w:hint="eastAsia" w:ascii="宋体" w:hAnsi="宋体" w:eastAsia="宋体" w:cs="宋体"/>
          <w:b/>
          <w:bCs/>
          <w:color w:val="auto"/>
          <w:sz w:val="28"/>
          <w:szCs w:val="28"/>
          <w:highlight w:val="none"/>
          <w:lang w:val="en-US" w:eastAsia="zh-CN" w:bidi="ar-SA"/>
        </w:rPr>
        <w:t>第十一条 违约责任</w:t>
      </w:r>
      <w:bookmarkEnd w:id="18"/>
      <w:bookmarkEnd w:id="19"/>
    </w:p>
    <w:p w14:paraId="5F57DAB6">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1.甲方违约责任</w:t>
      </w:r>
    </w:p>
    <w:p w14:paraId="26AB3815">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（1）甲方无正当理由拒收货物的，甲方应偿付合同总价</w:t>
      </w:r>
      <w:r>
        <w:rPr>
          <w:rFonts w:hint="eastAsia" w:ascii="宋体" w:hAnsi="宋体" w:eastAsia="宋体" w:cs="宋体"/>
          <w:color w:val="auto"/>
          <w:sz w:val="21"/>
          <w:szCs w:val="21"/>
          <w:highlight w:val="none"/>
          <w:u w:val="single"/>
          <w:lang w:val="en-US" w:eastAsia="zh-CN" w:bidi="ar-SA"/>
        </w:rPr>
        <w:t xml:space="preserve">  </w:t>
      </w:r>
      <w:r>
        <w:rPr>
          <w:rFonts w:hint="eastAsia" w:ascii="宋体" w:hAnsi="宋体" w:eastAsia="宋体" w:cs="宋体"/>
          <w:color w:val="auto"/>
          <w:sz w:val="21"/>
          <w:szCs w:val="21"/>
          <w:highlight w:val="none"/>
          <w:lang w:val="en-US" w:eastAsia="zh-CN" w:bidi="ar-SA"/>
        </w:rPr>
        <w:t>%的违约金；</w:t>
      </w:r>
    </w:p>
    <w:p w14:paraId="6CBB2531">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（2）甲方逾期支付货款的，除应及时付足货款外，应向乙方每天支付欠款总额</w:t>
      </w:r>
      <w:r>
        <w:rPr>
          <w:rFonts w:hint="eastAsia" w:ascii="宋体" w:hAnsi="宋体" w:eastAsia="宋体" w:cs="宋体"/>
          <w:color w:val="auto"/>
          <w:sz w:val="21"/>
          <w:szCs w:val="21"/>
          <w:highlight w:val="none"/>
          <w:u w:val="single"/>
          <w:lang w:val="en-US" w:eastAsia="zh-CN" w:bidi="ar-SA"/>
        </w:rPr>
        <w:t xml:space="preserve">  </w:t>
      </w:r>
      <w:r>
        <w:rPr>
          <w:rFonts w:hint="eastAsia" w:ascii="宋体" w:hAnsi="宋体" w:eastAsia="宋体" w:cs="宋体"/>
          <w:color w:val="auto"/>
          <w:sz w:val="21"/>
          <w:szCs w:val="21"/>
          <w:highlight w:val="none"/>
          <w:lang w:val="en-US" w:eastAsia="zh-CN" w:bidi="ar-SA"/>
        </w:rPr>
        <w:t xml:space="preserve"> ‰的滞纳金；但累计滞纳金总额不超过欠款总额的</w:t>
      </w:r>
      <w:r>
        <w:rPr>
          <w:rFonts w:hint="eastAsia" w:ascii="宋体" w:hAnsi="宋体" w:eastAsia="宋体" w:cs="宋体"/>
          <w:color w:val="auto"/>
          <w:sz w:val="21"/>
          <w:szCs w:val="21"/>
          <w:highlight w:val="none"/>
          <w:u w:val="single"/>
          <w:lang w:val="en-US" w:eastAsia="zh-CN" w:bidi="ar-SA"/>
        </w:rPr>
        <w:t xml:space="preserve">  </w:t>
      </w:r>
      <w:r>
        <w:rPr>
          <w:rFonts w:hint="eastAsia" w:ascii="宋体" w:hAnsi="宋体" w:eastAsia="宋体" w:cs="宋体"/>
          <w:color w:val="auto"/>
          <w:sz w:val="21"/>
          <w:szCs w:val="21"/>
          <w:highlight w:val="none"/>
          <w:lang w:val="en-US" w:eastAsia="zh-CN" w:bidi="ar-SA"/>
        </w:rPr>
        <w:t>%。</w:t>
      </w:r>
    </w:p>
    <w:p w14:paraId="5FE6F23D">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2.乙方违约责任</w:t>
      </w:r>
    </w:p>
    <w:p w14:paraId="5D68CC4A">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（1）如乙方不能交付货物，甲方有权扣留全部履约保证金；同时乙方应向甲方支付合同总价</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％的违约金；</w:t>
      </w:r>
    </w:p>
    <w:p w14:paraId="0D2A19CB">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（2）乙方逾期交付货物的，每逾期1天，乙方向甲方偿付逾期交货部分货款总额的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‰的滞纳金。如乙方逾期交货达___天，甲方有权解除合同，解除合同的通知自到达乙方时生效；</w:t>
      </w:r>
    </w:p>
    <w:p w14:paraId="08CD1195">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（3）乙方所交付的货物品种、型号、规格不符合合同规定的，甲方有权拒收。甲方拒收的，乙方应向甲方支付货款总额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%的违约金；</w:t>
      </w:r>
    </w:p>
    <w:p w14:paraId="6D6A2FAF">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（4）乙方货物经甲方送交具有法定资格条件的质量技术监督机构检测后，如检测结果认定货物质量不符合本合同规定标准的，则视为乙方没有按时交货而违约，乙方须在</w:t>
      </w:r>
      <w:r>
        <w:rPr>
          <w:rFonts w:hint="eastAsia" w:ascii="宋体" w:hAnsi="宋体" w:eastAsia="宋体" w:cs="宋体"/>
          <w:color w:val="auto"/>
          <w:sz w:val="21"/>
          <w:szCs w:val="21"/>
          <w:highlight w:val="none"/>
          <w:u w:val="single"/>
          <w:lang w:val="en-US" w:eastAsia="zh-CN" w:bidi="ar-SA"/>
        </w:rPr>
        <w:t xml:space="preserve">   </w:t>
      </w:r>
      <w:r>
        <w:rPr>
          <w:rFonts w:hint="eastAsia" w:ascii="宋体" w:hAnsi="宋体" w:eastAsia="宋体" w:cs="宋体"/>
          <w:color w:val="auto"/>
          <w:sz w:val="21"/>
          <w:szCs w:val="21"/>
          <w:highlight w:val="none"/>
          <w:lang w:val="en-US" w:eastAsia="zh-CN" w:bidi="ar-SA"/>
        </w:rPr>
        <w:t>天内无条件更换合格的货物，如逾期不能更换合格的货物，甲方有权终止本合同，乙方应另向甲方支付货款总额的</w:t>
      </w:r>
      <w:r>
        <w:rPr>
          <w:rFonts w:hint="eastAsia" w:ascii="宋体" w:hAnsi="宋体" w:eastAsia="宋体" w:cs="宋体"/>
          <w:color w:val="auto"/>
          <w:sz w:val="21"/>
          <w:szCs w:val="21"/>
          <w:highlight w:val="none"/>
          <w:u w:val="single"/>
          <w:lang w:val="en-US" w:eastAsia="zh-CN" w:bidi="ar-SA"/>
        </w:rPr>
        <w:t xml:space="preserve">   </w:t>
      </w:r>
      <w:r>
        <w:rPr>
          <w:rFonts w:hint="eastAsia" w:ascii="宋体" w:hAnsi="宋体" w:eastAsia="宋体" w:cs="宋体"/>
          <w:color w:val="auto"/>
          <w:sz w:val="21"/>
          <w:szCs w:val="21"/>
          <w:highlight w:val="none"/>
          <w:lang w:val="en-US" w:eastAsia="zh-CN" w:bidi="ar-SA"/>
        </w:rPr>
        <w:t>%的违约金；</w:t>
      </w:r>
    </w:p>
    <w:p w14:paraId="7569EA2B">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12CC7AFE">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（6）乙方未按本合同第十条的规定向甲方交付履约保证金的，应按应交付履约保证金的</w:t>
      </w:r>
      <w:r>
        <w:rPr>
          <w:rFonts w:hint="eastAsia" w:ascii="宋体" w:hAnsi="宋体" w:eastAsia="宋体" w:cs="宋体"/>
          <w:color w:val="auto"/>
          <w:sz w:val="21"/>
          <w:szCs w:val="21"/>
          <w:highlight w:val="none"/>
          <w:u w:val="single"/>
          <w:lang w:val="en-US" w:eastAsia="zh-CN" w:bidi="ar-SA"/>
        </w:rPr>
        <w:t xml:space="preserve">  </w:t>
      </w:r>
      <w:r>
        <w:rPr>
          <w:rFonts w:hint="eastAsia" w:ascii="宋体" w:hAnsi="宋体" w:eastAsia="宋体" w:cs="宋体"/>
          <w:color w:val="auto"/>
          <w:sz w:val="21"/>
          <w:szCs w:val="21"/>
          <w:highlight w:val="none"/>
          <w:lang w:val="en-US" w:eastAsia="zh-CN" w:bidi="ar-SA"/>
        </w:rPr>
        <w:t>%向甲方支付违约金，该违约金的支付不影响乙方应承担的其他违约责任；</w:t>
      </w:r>
    </w:p>
    <w:p w14:paraId="28FE4AA6">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（7）乙方未按本合同的规定和“服务承诺”提供伴随服务/售后服务的，应按合同总价款的</w:t>
      </w:r>
      <w:r>
        <w:rPr>
          <w:rFonts w:hint="eastAsia" w:ascii="宋体" w:hAnsi="宋体" w:eastAsia="宋体" w:cs="宋体"/>
          <w:color w:val="auto"/>
          <w:sz w:val="21"/>
          <w:szCs w:val="21"/>
          <w:highlight w:val="none"/>
          <w:u w:val="single"/>
          <w:lang w:val="en-US" w:eastAsia="zh-CN" w:bidi="ar-SA"/>
        </w:rPr>
        <w:t xml:space="preserve">  </w:t>
      </w:r>
      <w:r>
        <w:rPr>
          <w:rFonts w:hint="eastAsia" w:ascii="宋体" w:hAnsi="宋体" w:eastAsia="宋体" w:cs="宋体"/>
          <w:color w:val="auto"/>
          <w:sz w:val="21"/>
          <w:szCs w:val="21"/>
          <w:highlight w:val="none"/>
          <w:lang w:val="en-US" w:eastAsia="zh-CN" w:bidi="ar-SA"/>
        </w:rPr>
        <w:t>%向甲方承担违约责任；</w:t>
      </w:r>
    </w:p>
    <w:p w14:paraId="04944277">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（8）乙方在承担上述1-7款一项或多项违约责任后，仍应继续履行合同规定的义务（甲方解除合同的除外）。甲方未能及时追究乙方的任何一项违约责任并不表明甲方放弃追究乙方该项或其他违约责任；</w:t>
      </w:r>
    </w:p>
    <w:p w14:paraId="74C24CBA">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（9）乙方偿付的违约金不足以弥补甲方损失的，还应按甲方损失尚未弥补的部分，支付赔偿金给甲方。</w:t>
      </w:r>
    </w:p>
    <w:p w14:paraId="6394AB88">
      <w:pPr>
        <w:keepNext w:val="0"/>
        <w:keepLines w:val="0"/>
        <w:pageBreakBefore w:val="0"/>
        <w:kinsoku/>
        <w:wordWrap/>
        <w:overflowPunct/>
        <w:topLinePunct w:val="0"/>
        <w:autoSpaceDE/>
        <w:autoSpaceDN/>
        <w:bidi w:val="0"/>
        <w:adjustRightInd w:val="0"/>
        <w:snapToGrid w:val="0"/>
        <w:spacing w:after="0" w:line="360" w:lineRule="auto"/>
        <w:ind w:firstLine="0" w:firstLineChars="0"/>
        <w:jc w:val="both"/>
        <w:outlineLvl w:val="9"/>
        <w:rPr>
          <w:rFonts w:ascii="宋体" w:hAnsi="宋体" w:eastAsia="宋体" w:cs="宋体"/>
          <w:b/>
          <w:bCs/>
          <w:color w:val="auto"/>
          <w:sz w:val="28"/>
          <w:szCs w:val="28"/>
          <w:highlight w:val="none"/>
          <w:lang w:val="en-US" w:eastAsia="zh-CN" w:bidi="ar-SA"/>
        </w:rPr>
      </w:pPr>
      <w:bookmarkStart w:id="20" w:name="_Toc11201"/>
      <w:bookmarkStart w:id="21" w:name="_Toc25165"/>
      <w:r>
        <w:rPr>
          <w:rFonts w:hint="eastAsia" w:ascii="宋体" w:hAnsi="宋体" w:eastAsia="宋体" w:cs="宋体"/>
          <w:b/>
          <w:bCs/>
          <w:color w:val="auto"/>
          <w:sz w:val="28"/>
          <w:szCs w:val="28"/>
          <w:highlight w:val="none"/>
          <w:lang w:val="en-US" w:eastAsia="zh-CN" w:bidi="ar-SA"/>
        </w:rPr>
        <w:t>第十二条 合同的变更和终止</w:t>
      </w:r>
      <w:bookmarkEnd w:id="20"/>
      <w:bookmarkEnd w:id="21"/>
    </w:p>
    <w:p w14:paraId="4A972E00">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除《中华人民共和国政府采购法》第49条、第50条第二款规定的情形外，本合同一经签订，甲乙双方不得擅自变更、中止或终止合同。</w:t>
      </w:r>
    </w:p>
    <w:p w14:paraId="00CB04D6">
      <w:pPr>
        <w:keepNext w:val="0"/>
        <w:keepLines w:val="0"/>
        <w:pageBreakBefore w:val="0"/>
        <w:kinsoku/>
        <w:wordWrap/>
        <w:overflowPunct/>
        <w:topLinePunct w:val="0"/>
        <w:autoSpaceDE/>
        <w:autoSpaceDN/>
        <w:bidi w:val="0"/>
        <w:adjustRightInd w:val="0"/>
        <w:snapToGrid w:val="0"/>
        <w:spacing w:after="0" w:line="360" w:lineRule="auto"/>
        <w:ind w:firstLine="0" w:firstLineChars="0"/>
        <w:jc w:val="both"/>
        <w:outlineLvl w:val="9"/>
        <w:rPr>
          <w:rFonts w:ascii="宋体" w:hAnsi="宋体" w:eastAsia="宋体" w:cs="宋体"/>
          <w:b/>
          <w:bCs/>
          <w:color w:val="auto"/>
          <w:sz w:val="28"/>
          <w:szCs w:val="28"/>
          <w:highlight w:val="none"/>
          <w:lang w:val="en-US" w:eastAsia="zh-CN" w:bidi="ar-SA"/>
        </w:rPr>
      </w:pPr>
      <w:bookmarkStart w:id="22" w:name="_Toc19305"/>
      <w:bookmarkStart w:id="23" w:name="_Toc30662"/>
      <w:r>
        <w:rPr>
          <w:rFonts w:hint="eastAsia" w:ascii="宋体" w:hAnsi="宋体" w:eastAsia="宋体" w:cs="宋体"/>
          <w:b/>
          <w:bCs/>
          <w:color w:val="auto"/>
          <w:sz w:val="28"/>
          <w:szCs w:val="28"/>
          <w:highlight w:val="none"/>
          <w:lang w:val="en-US" w:eastAsia="zh-CN" w:bidi="ar-SA"/>
        </w:rPr>
        <w:t>第十三条 争议的解决</w:t>
      </w:r>
      <w:bookmarkEnd w:id="22"/>
      <w:bookmarkEnd w:id="23"/>
    </w:p>
    <w:p w14:paraId="161B67EB">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1.因货物的质量问题发生争议，由质量技术监督部门或其指定的质量鉴定机构进行质量鉴定。货物符合标准的，鉴定费由甲方承担；货物不符合质量标准的，鉴定费由乙方承担。</w:t>
      </w:r>
    </w:p>
    <w:p w14:paraId="63FAEE68">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2.因履行本合同引起的或与本合同有关的争议，甲、乙双方应首先通过友好协商解决，如果协商不成，则采取以下第</w:t>
      </w:r>
      <w:r>
        <w:rPr>
          <w:rFonts w:hint="eastAsia" w:ascii="宋体" w:hAnsi="宋体" w:eastAsia="宋体" w:cs="宋体"/>
          <w:color w:val="auto"/>
          <w:sz w:val="21"/>
          <w:szCs w:val="21"/>
          <w:highlight w:val="none"/>
          <w:u w:val="single"/>
          <w:lang w:val="en-US" w:eastAsia="zh-CN" w:bidi="ar-SA"/>
        </w:rPr>
        <w:t xml:space="preserve">      </w:t>
      </w:r>
      <w:r>
        <w:rPr>
          <w:rFonts w:hint="eastAsia" w:ascii="宋体" w:hAnsi="宋体" w:eastAsia="宋体" w:cs="宋体"/>
          <w:color w:val="auto"/>
          <w:sz w:val="21"/>
          <w:szCs w:val="21"/>
          <w:highlight w:val="none"/>
          <w:lang w:val="en-US" w:eastAsia="zh-CN" w:bidi="ar-SA"/>
        </w:rPr>
        <w:t>种方式解决争议：</w:t>
      </w:r>
    </w:p>
    <w:p w14:paraId="38B66494">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（1）向甲方所在地有管辖权的人民法院提起诉讼；</w:t>
      </w:r>
    </w:p>
    <w:p w14:paraId="529151D7">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（2）向</w:t>
      </w:r>
      <w:r>
        <w:rPr>
          <w:rFonts w:hint="eastAsia" w:ascii="宋体" w:hAnsi="宋体" w:eastAsia="宋体" w:cs="宋体"/>
          <w:color w:val="auto"/>
          <w:sz w:val="21"/>
          <w:szCs w:val="21"/>
          <w:highlight w:val="none"/>
          <w:u w:val="single"/>
          <w:lang w:val="en-US" w:eastAsia="zh-CN" w:bidi="ar-SA"/>
        </w:rPr>
        <w:t xml:space="preserve">       </w:t>
      </w:r>
      <w:r>
        <w:rPr>
          <w:rFonts w:hint="eastAsia" w:ascii="宋体" w:hAnsi="宋体" w:eastAsia="宋体" w:cs="宋体"/>
          <w:color w:val="auto"/>
          <w:sz w:val="21"/>
          <w:szCs w:val="21"/>
          <w:highlight w:val="none"/>
          <w:lang w:val="en-US" w:eastAsia="zh-CN" w:bidi="ar-SA"/>
        </w:rPr>
        <w:t>仲裁委员会按其仲裁规则申请仲裁。</w:t>
      </w:r>
    </w:p>
    <w:p w14:paraId="0F17EFD7">
      <w:pPr>
        <w:keepNext w:val="0"/>
        <w:keepLines w:val="0"/>
        <w:pageBreakBefore w:val="0"/>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3.在仲裁期间，本合同应继续履行。</w:t>
      </w:r>
    </w:p>
    <w:p w14:paraId="77E8442E">
      <w:pPr>
        <w:keepNext w:val="0"/>
        <w:keepLines w:val="0"/>
        <w:pageBreakBefore w:val="0"/>
        <w:kinsoku/>
        <w:wordWrap/>
        <w:overflowPunct/>
        <w:topLinePunct w:val="0"/>
        <w:autoSpaceDE/>
        <w:autoSpaceDN/>
        <w:bidi w:val="0"/>
        <w:adjustRightInd w:val="0"/>
        <w:snapToGrid w:val="0"/>
        <w:spacing w:after="0" w:line="360" w:lineRule="auto"/>
        <w:ind w:firstLine="0" w:firstLineChars="0"/>
        <w:jc w:val="both"/>
        <w:outlineLvl w:val="9"/>
        <w:rPr>
          <w:rFonts w:ascii="宋体" w:hAnsi="宋体" w:eastAsia="宋体" w:cs="宋体"/>
          <w:b/>
          <w:bCs/>
          <w:color w:val="auto"/>
          <w:sz w:val="28"/>
          <w:szCs w:val="28"/>
          <w:highlight w:val="none"/>
          <w:lang w:val="en-US" w:eastAsia="zh-CN" w:bidi="ar-SA"/>
        </w:rPr>
      </w:pPr>
      <w:bookmarkStart w:id="24" w:name="_Toc26346"/>
      <w:bookmarkStart w:id="25" w:name="_Toc24155"/>
      <w:r>
        <w:rPr>
          <w:rFonts w:hint="eastAsia" w:ascii="宋体" w:hAnsi="宋体" w:eastAsia="宋体" w:cs="宋体"/>
          <w:b/>
          <w:bCs/>
          <w:color w:val="auto"/>
          <w:sz w:val="28"/>
          <w:szCs w:val="28"/>
          <w:highlight w:val="none"/>
          <w:lang w:val="en-US" w:eastAsia="zh-CN" w:bidi="ar-SA"/>
        </w:rPr>
        <w:t>第十四条 合同文件</w:t>
      </w:r>
      <w:bookmarkEnd w:id="24"/>
      <w:bookmarkEnd w:id="25"/>
    </w:p>
    <w:p w14:paraId="17C037F8">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both"/>
        <w:textAlignment w:val="baseline"/>
        <w:outlineLvl w:val="9"/>
        <w:rPr>
          <w:rFonts w:ascii="宋体" w:hAnsi="宋体" w:eastAsia="宋体" w:cs="宋体"/>
          <w:color w:val="auto"/>
          <w:kern w:val="0"/>
          <w:sz w:val="21"/>
          <w:szCs w:val="20"/>
          <w:highlight w:val="none"/>
        </w:rPr>
      </w:pPr>
      <w:r>
        <w:rPr>
          <w:rFonts w:hint="eastAsia" w:ascii="宋体" w:hAnsi="宋体" w:eastAsia="宋体" w:cs="宋体"/>
          <w:color w:val="auto"/>
          <w:kern w:val="0"/>
          <w:sz w:val="21"/>
          <w:szCs w:val="20"/>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787EF773">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kern w:val="0"/>
          <w:sz w:val="21"/>
          <w:szCs w:val="20"/>
          <w:highlight w:val="none"/>
        </w:rPr>
      </w:pPr>
      <w:r>
        <w:rPr>
          <w:rFonts w:hint="eastAsia" w:ascii="宋体" w:hAnsi="宋体" w:eastAsia="宋体" w:cs="宋体"/>
          <w:color w:val="auto"/>
          <w:kern w:val="0"/>
          <w:sz w:val="21"/>
          <w:szCs w:val="20"/>
          <w:highlight w:val="none"/>
        </w:rPr>
        <w:t>1.本合同书</w:t>
      </w:r>
    </w:p>
    <w:p w14:paraId="2338B709">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kern w:val="0"/>
          <w:sz w:val="21"/>
          <w:szCs w:val="20"/>
          <w:highlight w:val="none"/>
        </w:rPr>
      </w:pPr>
      <w:r>
        <w:rPr>
          <w:rFonts w:hint="eastAsia" w:ascii="宋体" w:hAnsi="宋体" w:eastAsia="宋体" w:cs="宋体"/>
          <w:color w:val="auto"/>
          <w:kern w:val="0"/>
          <w:sz w:val="21"/>
          <w:szCs w:val="20"/>
          <w:highlight w:val="none"/>
        </w:rPr>
        <w:t>2.成交通知书</w:t>
      </w:r>
      <w:r>
        <w:rPr>
          <w:rFonts w:hint="eastAsia" w:ascii="宋体" w:hAnsi="宋体" w:eastAsia="宋体" w:cs="宋体"/>
          <w:color w:val="auto"/>
          <w:kern w:val="0"/>
          <w:sz w:val="21"/>
          <w:szCs w:val="20"/>
          <w:highlight w:val="none"/>
        </w:rPr>
        <w:tab/>
      </w:r>
    </w:p>
    <w:p w14:paraId="09CDCC8D">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kern w:val="0"/>
          <w:sz w:val="21"/>
          <w:szCs w:val="20"/>
          <w:highlight w:val="none"/>
        </w:rPr>
      </w:pPr>
      <w:r>
        <w:rPr>
          <w:rFonts w:hint="eastAsia" w:ascii="宋体" w:hAnsi="宋体" w:eastAsia="宋体" w:cs="宋体"/>
          <w:color w:val="auto"/>
          <w:kern w:val="0"/>
          <w:sz w:val="21"/>
          <w:szCs w:val="20"/>
          <w:highlight w:val="none"/>
        </w:rPr>
        <w:t>3.谈判文件(含澄清或者修改文件)</w:t>
      </w:r>
    </w:p>
    <w:p w14:paraId="69BFECAB">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kern w:val="0"/>
          <w:sz w:val="21"/>
          <w:szCs w:val="20"/>
          <w:highlight w:val="none"/>
        </w:rPr>
      </w:pPr>
      <w:r>
        <w:rPr>
          <w:rFonts w:hint="eastAsia" w:ascii="宋体" w:hAnsi="宋体" w:eastAsia="宋体" w:cs="宋体"/>
          <w:color w:val="auto"/>
          <w:kern w:val="0"/>
          <w:sz w:val="21"/>
          <w:szCs w:val="20"/>
          <w:highlight w:val="none"/>
        </w:rPr>
        <w:t>4.响应文件</w:t>
      </w:r>
    </w:p>
    <w:p w14:paraId="7A916B9A">
      <w:pPr>
        <w:keepNext w:val="0"/>
        <w:keepLines w:val="0"/>
        <w:pageBreakBefore w:val="0"/>
        <w:kinsoku/>
        <w:wordWrap/>
        <w:overflowPunct/>
        <w:topLinePunct w:val="0"/>
        <w:autoSpaceDE/>
        <w:autoSpaceDN/>
        <w:bidi w:val="0"/>
        <w:adjustRightInd w:val="0"/>
        <w:snapToGrid w:val="0"/>
        <w:spacing w:after="0" w:line="360" w:lineRule="auto"/>
        <w:ind w:firstLine="0" w:firstLineChars="0"/>
        <w:jc w:val="both"/>
        <w:outlineLvl w:val="9"/>
        <w:rPr>
          <w:rFonts w:ascii="宋体" w:hAnsi="宋体" w:eastAsia="宋体" w:cs="宋体"/>
          <w:b/>
          <w:bCs/>
          <w:color w:val="auto"/>
          <w:sz w:val="28"/>
          <w:szCs w:val="28"/>
          <w:highlight w:val="none"/>
          <w:lang w:val="en-US" w:eastAsia="zh-CN" w:bidi="ar-SA"/>
        </w:rPr>
      </w:pPr>
      <w:bookmarkStart w:id="26" w:name="_Toc18438"/>
      <w:bookmarkStart w:id="27" w:name="_Toc17328"/>
      <w:r>
        <w:rPr>
          <w:rFonts w:hint="eastAsia" w:ascii="宋体" w:hAnsi="宋体" w:eastAsia="宋体" w:cs="宋体"/>
          <w:b/>
          <w:bCs/>
          <w:color w:val="auto"/>
          <w:sz w:val="28"/>
          <w:szCs w:val="28"/>
          <w:highlight w:val="none"/>
          <w:lang w:val="en-US" w:eastAsia="zh-CN" w:bidi="ar-SA"/>
        </w:rPr>
        <w:t>第十五条 合同生效及其他</w:t>
      </w:r>
      <w:bookmarkEnd w:id="26"/>
      <w:bookmarkEnd w:id="27"/>
    </w:p>
    <w:p w14:paraId="68B84A58">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kern w:val="0"/>
          <w:sz w:val="21"/>
          <w:szCs w:val="20"/>
          <w:highlight w:val="none"/>
        </w:rPr>
      </w:pPr>
      <w:r>
        <w:rPr>
          <w:rFonts w:hint="eastAsia" w:ascii="宋体" w:hAnsi="宋体" w:eastAsia="宋体" w:cs="宋体"/>
          <w:color w:val="auto"/>
          <w:kern w:val="0"/>
          <w:sz w:val="21"/>
          <w:szCs w:val="20"/>
          <w:highlight w:val="none"/>
        </w:rPr>
        <w:t>1.如有未尽事宜，由双方依法订立补充合同。</w:t>
      </w:r>
    </w:p>
    <w:p w14:paraId="6AD14D14">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kern w:val="0"/>
          <w:sz w:val="21"/>
          <w:szCs w:val="20"/>
          <w:highlight w:val="none"/>
        </w:rPr>
      </w:pPr>
      <w:r>
        <w:rPr>
          <w:rFonts w:hint="eastAsia" w:ascii="宋体" w:hAnsi="宋体" w:eastAsia="宋体" w:cs="宋体"/>
          <w:color w:val="auto"/>
          <w:kern w:val="0"/>
          <w:sz w:val="21"/>
          <w:szCs w:val="20"/>
          <w:highlight w:val="none"/>
        </w:rPr>
        <w:t>2.本合同自签订之日起生效。</w:t>
      </w:r>
    </w:p>
    <w:p w14:paraId="63E53C8A">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both"/>
        <w:outlineLvl w:val="9"/>
        <w:rPr>
          <w:rFonts w:ascii="宋体" w:hAnsi="宋体" w:eastAsia="宋体" w:cs="宋体"/>
          <w:color w:val="auto"/>
          <w:kern w:val="0"/>
          <w:sz w:val="21"/>
          <w:szCs w:val="20"/>
          <w:highlight w:val="none"/>
        </w:rPr>
      </w:pPr>
      <w:r>
        <w:rPr>
          <w:rFonts w:hint="eastAsia" w:ascii="宋体" w:hAnsi="宋体" w:eastAsia="宋体" w:cs="宋体"/>
          <w:color w:val="auto"/>
          <w:kern w:val="0"/>
          <w:sz w:val="21"/>
          <w:szCs w:val="20"/>
          <w:highlight w:val="none"/>
        </w:rPr>
        <w:t>3.本合同一式</w:t>
      </w:r>
      <w:r>
        <w:rPr>
          <w:rFonts w:hint="eastAsia" w:ascii="宋体" w:hAnsi="宋体" w:eastAsia="宋体" w:cs="宋体"/>
          <w:color w:val="auto"/>
          <w:kern w:val="0"/>
          <w:sz w:val="21"/>
          <w:szCs w:val="20"/>
          <w:highlight w:val="none"/>
          <w:u w:val="single"/>
        </w:rPr>
        <w:t xml:space="preserve">      </w:t>
      </w:r>
      <w:r>
        <w:rPr>
          <w:rFonts w:hint="eastAsia" w:ascii="宋体" w:hAnsi="宋体" w:eastAsia="宋体" w:cs="宋体"/>
          <w:color w:val="auto"/>
          <w:kern w:val="0"/>
          <w:sz w:val="21"/>
          <w:szCs w:val="20"/>
          <w:highlight w:val="none"/>
        </w:rPr>
        <w:t>份，具有同等法律效力，甲乙双方各执</w:t>
      </w:r>
      <w:r>
        <w:rPr>
          <w:rFonts w:hint="eastAsia" w:ascii="宋体" w:hAnsi="宋体" w:eastAsia="宋体" w:cs="宋体"/>
          <w:color w:val="auto"/>
          <w:kern w:val="0"/>
          <w:sz w:val="21"/>
          <w:szCs w:val="20"/>
          <w:highlight w:val="none"/>
          <w:u w:val="single"/>
        </w:rPr>
        <w:t xml:space="preserve">     </w:t>
      </w:r>
      <w:r>
        <w:rPr>
          <w:rFonts w:hint="eastAsia" w:ascii="宋体" w:hAnsi="宋体" w:eastAsia="宋体" w:cs="宋体"/>
          <w:color w:val="auto"/>
          <w:kern w:val="0"/>
          <w:sz w:val="21"/>
          <w:szCs w:val="20"/>
          <w:highlight w:val="none"/>
        </w:rPr>
        <w:t>份。</w:t>
      </w:r>
    </w:p>
    <w:p w14:paraId="09BF2C87">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440" w:firstLineChars="200"/>
        <w:jc w:val="left"/>
        <w:outlineLvl w:val="9"/>
        <w:rPr>
          <w:rFonts w:ascii="宋体" w:hAnsi="宋体" w:eastAsia="宋体" w:cs="宋体"/>
          <w:color w:val="auto"/>
          <w:kern w:val="0"/>
          <w:sz w:val="22"/>
          <w:szCs w:val="21"/>
          <w:highlight w:val="none"/>
        </w:rPr>
      </w:pPr>
    </w:p>
    <w:p w14:paraId="19332E5B">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440" w:firstLineChars="200"/>
        <w:jc w:val="left"/>
        <w:outlineLvl w:val="9"/>
        <w:rPr>
          <w:rFonts w:ascii="宋体" w:hAnsi="宋体" w:eastAsia="宋体" w:cs="宋体"/>
          <w:color w:val="auto"/>
          <w:kern w:val="0"/>
          <w:sz w:val="22"/>
          <w:szCs w:val="21"/>
          <w:highlight w:val="none"/>
        </w:rPr>
      </w:pPr>
    </w:p>
    <w:p w14:paraId="54AE18A9">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420" w:firstLineChars="200"/>
        <w:jc w:val="left"/>
        <w:outlineLvl w:val="9"/>
        <w:rPr>
          <w:rFonts w:ascii="宋体" w:hAnsi="宋体" w:eastAsia="宋体" w:cs="宋体"/>
          <w:color w:val="auto"/>
          <w:kern w:val="0"/>
          <w:sz w:val="21"/>
          <w:szCs w:val="20"/>
          <w:highlight w:val="none"/>
        </w:rPr>
      </w:pPr>
      <w:r>
        <w:rPr>
          <w:rFonts w:hint="eastAsia" w:ascii="宋体" w:hAnsi="宋体" w:eastAsia="宋体" w:cs="宋体"/>
          <w:color w:val="auto"/>
          <w:kern w:val="0"/>
          <w:sz w:val="21"/>
          <w:szCs w:val="20"/>
          <w:highlight w:val="none"/>
        </w:rPr>
        <w:t xml:space="preserve">甲方：   （盖章）   </w:t>
      </w:r>
      <w:r>
        <w:rPr>
          <w:rFonts w:hint="eastAsia" w:ascii="宋体" w:hAnsi="宋体" w:eastAsia="宋体" w:cs="宋体"/>
          <w:color w:val="auto"/>
          <w:kern w:val="0"/>
          <w:sz w:val="21"/>
          <w:szCs w:val="20"/>
          <w:highlight w:val="none"/>
        </w:rPr>
        <w:tab/>
      </w:r>
      <w:r>
        <w:rPr>
          <w:rFonts w:hint="eastAsia" w:ascii="宋体" w:hAnsi="宋体" w:eastAsia="宋体" w:cs="宋体"/>
          <w:color w:val="auto"/>
          <w:kern w:val="0"/>
          <w:sz w:val="21"/>
          <w:szCs w:val="20"/>
          <w:highlight w:val="none"/>
        </w:rPr>
        <w:tab/>
      </w:r>
      <w:r>
        <w:rPr>
          <w:rFonts w:hint="eastAsia" w:ascii="宋体" w:hAnsi="宋体" w:eastAsia="宋体" w:cs="宋体"/>
          <w:color w:val="auto"/>
          <w:kern w:val="0"/>
          <w:sz w:val="21"/>
          <w:szCs w:val="20"/>
          <w:highlight w:val="none"/>
        </w:rPr>
        <w:tab/>
      </w:r>
      <w:r>
        <w:rPr>
          <w:rFonts w:hint="eastAsia" w:ascii="宋体" w:hAnsi="宋体" w:eastAsia="宋体" w:cs="宋体"/>
          <w:color w:val="auto"/>
          <w:kern w:val="0"/>
          <w:sz w:val="21"/>
          <w:szCs w:val="20"/>
          <w:highlight w:val="none"/>
        </w:rPr>
        <w:t xml:space="preserve">            乙方：   （盖章）</w:t>
      </w:r>
    </w:p>
    <w:p w14:paraId="3154E1B6">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420" w:firstLineChars="200"/>
        <w:jc w:val="left"/>
        <w:outlineLvl w:val="9"/>
        <w:rPr>
          <w:rFonts w:ascii="宋体" w:hAnsi="宋体" w:eastAsia="宋体" w:cs="宋体"/>
          <w:color w:val="auto"/>
          <w:kern w:val="0"/>
          <w:sz w:val="21"/>
          <w:szCs w:val="20"/>
          <w:highlight w:val="none"/>
        </w:rPr>
      </w:pPr>
      <w:r>
        <w:rPr>
          <w:rFonts w:hint="eastAsia" w:ascii="宋体" w:hAnsi="宋体" w:eastAsia="宋体" w:cs="宋体"/>
          <w:color w:val="auto"/>
          <w:kern w:val="0"/>
          <w:sz w:val="21"/>
          <w:szCs w:val="20"/>
          <w:highlight w:val="none"/>
        </w:rPr>
        <w:t>法定代表人/委托代理人：                     法定代表人/委托代理人：</w:t>
      </w:r>
    </w:p>
    <w:p w14:paraId="54C5A907">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420" w:firstLineChars="200"/>
        <w:jc w:val="left"/>
        <w:outlineLvl w:val="9"/>
        <w:rPr>
          <w:rFonts w:ascii="宋体" w:hAnsi="宋体" w:eastAsia="宋体" w:cs="宋体"/>
          <w:color w:val="auto"/>
          <w:kern w:val="0"/>
          <w:sz w:val="21"/>
          <w:szCs w:val="20"/>
          <w:highlight w:val="none"/>
        </w:rPr>
      </w:pPr>
      <w:r>
        <w:rPr>
          <w:rFonts w:hint="eastAsia" w:ascii="宋体" w:hAnsi="宋体" w:eastAsia="宋体" w:cs="宋体"/>
          <w:color w:val="auto"/>
          <w:kern w:val="0"/>
          <w:sz w:val="21"/>
          <w:szCs w:val="20"/>
          <w:highlight w:val="none"/>
        </w:rPr>
        <w:t>地    址：                                  地    址：</w:t>
      </w:r>
    </w:p>
    <w:p w14:paraId="2E312A0A">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420" w:firstLineChars="200"/>
        <w:jc w:val="left"/>
        <w:outlineLvl w:val="9"/>
        <w:rPr>
          <w:rFonts w:ascii="宋体" w:hAnsi="宋体" w:eastAsia="宋体" w:cs="宋体"/>
          <w:color w:val="auto"/>
          <w:kern w:val="0"/>
          <w:sz w:val="21"/>
          <w:szCs w:val="20"/>
          <w:highlight w:val="none"/>
        </w:rPr>
      </w:pPr>
      <w:r>
        <w:rPr>
          <w:rFonts w:hint="eastAsia" w:ascii="宋体" w:hAnsi="宋体" w:eastAsia="宋体" w:cs="宋体"/>
          <w:color w:val="auto"/>
          <w:kern w:val="0"/>
          <w:sz w:val="21"/>
          <w:szCs w:val="20"/>
          <w:highlight w:val="none"/>
        </w:rPr>
        <w:t>开户银行：                                  开户银行：</w:t>
      </w:r>
    </w:p>
    <w:p w14:paraId="02F36639">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420" w:firstLineChars="200"/>
        <w:jc w:val="left"/>
        <w:outlineLvl w:val="9"/>
        <w:rPr>
          <w:rFonts w:ascii="宋体" w:hAnsi="宋体" w:eastAsia="宋体" w:cs="宋体"/>
          <w:color w:val="auto"/>
          <w:kern w:val="0"/>
          <w:sz w:val="21"/>
          <w:szCs w:val="20"/>
          <w:highlight w:val="none"/>
        </w:rPr>
      </w:pPr>
      <w:r>
        <w:rPr>
          <w:rFonts w:hint="eastAsia" w:ascii="宋体" w:hAnsi="宋体" w:eastAsia="宋体" w:cs="宋体"/>
          <w:color w:val="auto"/>
          <w:kern w:val="0"/>
          <w:sz w:val="21"/>
          <w:szCs w:val="20"/>
          <w:highlight w:val="none"/>
        </w:rPr>
        <w:t>账    号：                                  账    号：</w:t>
      </w:r>
    </w:p>
    <w:p w14:paraId="6319769A">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420" w:firstLineChars="200"/>
        <w:jc w:val="left"/>
        <w:outlineLvl w:val="9"/>
        <w:rPr>
          <w:rFonts w:ascii="宋体" w:hAnsi="宋体" w:eastAsia="宋体" w:cs="宋体"/>
          <w:color w:val="auto"/>
          <w:kern w:val="0"/>
          <w:sz w:val="21"/>
          <w:szCs w:val="20"/>
          <w:highlight w:val="none"/>
        </w:rPr>
      </w:pPr>
      <w:r>
        <w:rPr>
          <w:rFonts w:hint="eastAsia" w:ascii="宋体" w:hAnsi="宋体" w:eastAsia="宋体" w:cs="宋体"/>
          <w:color w:val="auto"/>
          <w:kern w:val="0"/>
          <w:sz w:val="21"/>
          <w:szCs w:val="20"/>
          <w:highlight w:val="none"/>
        </w:rPr>
        <w:t>电    话：                                  电    话：</w:t>
      </w:r>
    </w:p>
    <w:p w14:paraId="20B4682F">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420" w:firstLineChars="200"/>
        <w:jc w:val="left"/>
        <w:outlineLvl w:val="9"/>
        <w:rPr>
          <w:rFonts w:ascii="宋体" w:hAnsi="宋体" w:eastAsia="宋体" w:cs="宋体"/>
          <w:color w:val="auto"/>
          <w:kern w:val="0"/>
          <w:sz w:val="21"/>
          <w:szCs w:val="20"/>
          <w:highlight w:val="none"/>
        </w:rPr>
      </w:pPr>
      <w:r>
        <w:rPr>
          <w:rFonts w:hint="eastAsia" w:ascii="宋体" w:hAnsi="宋体" w:eastAsia="宋体" w:cs="宋体"/>
          <w:color w:val="auto"/>
          <w:kern w:val="0"/>
          <w:sz w:val="21"/>
          <w:szCs w:val="20"/>
          <w:highlight w:val="none"/>
        </w:rPr>
        <w:t>传    真：                                  传    真：</w:t>
      </w:r>
    </w:p>
    <w:p w14:paraId="578AA240">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420" w:firstLineChars="200"/>
        <w:jc w:val="left"/>
        <w:outlineLvl w:val="9"/>
      </w:pPr>
      <w:r>
        <w:rPr>
          <w:rFonts w:hint="eastAsia" w:ascii="宋体" w:hAnsi="宋体" w:eastAsia="宋体" w:cs="宋体"/>
          <w:color w:val="auto"/>
          <w:kern w:val="0"/>
          <w:sz w:val="21"/>
          <w:szCs w:val="20"/>
          <w:highlight w:val="none"/>
        </w:rPr>
        <w:t>签约日期：    年  月  日                    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650933"/>
    <w:rsid w:val="58870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2887</Words>
  <Characters>2937</Characters>
  <Lines>0</Lines>
  <Paragraphs>0</Paragraphs>
  <TotalTime>0</TotalTime>
  <ScaleCrop>false</ScaleCrop>
  <LinksUpToDate>false</LinksUpToDate>
  <CharactersWithSpaces>3323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2026-06-02T03:21:00Z</dcterms:created>
  <dc:creator>Admin</dc:creator>
  <cp:lastModifiedBy>哇咔咔</cp:lastModifiedBy>
  <dcterms:modified xsi:type="dcterms:W3CDTF">2026-06-02T03:30:25Z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eyJoZGlkIjoiM2VjZGM3YzY5ZThjMjQ4MTZiYTEwM2MxNzdmMmE2MDUiLCJ1c2VySWQiOiIyOTUyNTg2NDAifQ==</vt:lpwstr>
  </property>
  <property fmtid="{D5CDD505-2E9C-101B-9397-08002B2CF9AE}" pid="4" name="ICV">
    <vt:lpwstr>873C7320341D48EFA52D2F14F140C619_12</vt:lpwstr>
  </property>
</Properties>
</file>