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版本号：KY2026-3-16020260611001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新城区应急避难场所视频信号接驳项目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KY2026-3-160</w:t>
      </w:r>
      <w:r>
        <w:br/>
      </w:r>
      <w:r>
        <w:br/>
      </w:r>
      <w:r>
        <w:br/>
      </w:r>
    </w:p>
    <w:p>
      <w:pPr>
        <w:pStyle w:val="null3"/>
        <w:jc w:val="center"/>
        <w:outlineLvl w:val="2"/>
      </w:pPr>
      <w:r>
        <w:rPr>
          <w:rFonts w:ascii="仿宋_GB2312" w:hAnsi="仿宋_GB2312" w:cs="仿宋_GB2312" w:eastAsia="仿宋_GB2312"/>
          <w:sz w:val="28"/>
          <w:b/>
        </w:rPr>
        <w:t>西安市新城区应急管理局</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西安市新城区应急管理局</w:t>
      </w:r>
      <w:r>
        <w:rPr>
          <w:rFonts w:ascii="仿宋_GB2312" w:hAnsi="仿宋_GB2312" w:cs="仿宋_GB2312" w:eastAsia="仿宋_GB2312"/>
        </w:rPr>
        <w:t>委托，拟对</w:t>
      </w:r>
      <w:r>
        <w:rPr>
          <w:rFonts w:ascii="仿宋_GB2312" w:hAnsi="仿宋_GB2312" w:cs="仿宋_GB2312" w:eastAsia="仿宋_GB2312"/>
        </w:rPr>
        <w:t>新城区应急避难场所视频信号接驳项目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KY2026-3-160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新城区应急避难场所视频信号接驳项目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西安市新城区应急管理局新城区应急避难场所视频信号接驳项目，具体要求详见采购文件。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会计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磋商前六个月内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7、法定代表人授权书：法定代表人授权书及被授权人身份证复印件。（法定代表人直接磋商只须提交其身份证明书）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西安市新城区康复路批发市场5号楼5层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029-87417703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任萍萍、黄梦迪、戈迪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采购包1：299,530.00元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代理服务费按定额4000元收取。2.请各供应商在报价中自行考虑，无论报价中是否明确，均视为已包含在响应报价中。成交供应商承担本次代理服务费，并在接到成交通知后一次性支付给采购代理机构。</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西安市新城区应急管理局</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联系人：任萍萍、黄梦迪、戈迪</w:t>
      </w:r>
    </w:p>
    <w:p>
      <w:pPr>
        <w:pStyle w:val="null3"/>
      </w:pPr>
      <w:r>
        <w:rPr>
          <w:rFonts w:ascii="仿宋_GB2312" w:hAnsi="仿宋_GB2312" w:cs="仿宋_GB2312" w:eastAsia="仿宋_GB2312"/>
        </w:rPr>
        <w:t>联系电话：029-81206633-842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善新城区49处应急避难场所设施配置，进一步提升应急避难场所建设工作。满足应急避难场所视频信号接驳需求。按照《西安市应急管理局关于推进避难设施建设管理与视频监控信号接驳工作的通知》要求，在应急避难场所关键部位、重要出入口、通道、功能区安装具备互联网传输和语音喊话功能的视频监控设备，实现远程视频监控、喊话叫应和精准调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299,530.00</w:t>
      </w:r>
    </w:p>
    <w:p>
      <w:pPr>
        <w:pStyle w:val="null3"/>
      </w:pPr>
      <w:r>
        <w:rPr>
          <w:rFonts w:ascii="仿宋_GB2312" w:hAnsi="仿宋_GB2312" w:cs="仿宋_GB2312" w:eastAsia="仿宋_GB2312"/>
        </w:rPr>
        <w:t>采购包最高限价（元）: 299,530.00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新城区应急避难场所视频信号接驳项目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299,530.00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标的名称：新城区应急避难场所视频信号接驳项目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完善新城区49处应急避难场所设施配置，进一步提升应急避难场所建设工作。满足应急避难场所视频信号接驳需求。按照《西安市应急管理局关于推进避难设施建设管理与视频监控信号接驳工作的通知》要求，在应急避难场所关键部位、重要出入口、通道、功能区安装具备互联网传输和语音喊话功能的视频监控设备，实现远程视频监控、喊话叫应和精准调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二、符合国家及行业有关现行规范、标准的要求；</w:t>
            </w:r>
            <w:r>
              <w:br/>
            </w:r>
            <w:r>
              <w:rPr>
                <w:rFonts w:ascii="仿宋_GB2312" w:hAnsi="仿宋_GB2312" w:cs="仿宋_GB2312" w:eastAsia="仿宋_GB2312"/>
              </w:rPr>
              <w:t xml:space="preserve"> 1.设备像素≥400万高清视频监控球机；最高分辨率可达2560×1440@25fps，在该分辨率下可输出实时图像；支持数字宽动态，背光补偿，强光抑制，3D数字降噪，适应不同环境；数量：99台；</w:t>
            </w:r>
            <w:r>
              <w:br/>
            </w:r>
            <w:r>
              <w:rPr>
                <w:rFonts w:ascii="仿宋_GB2312" w:hAnsi="仿宋_GB2312" w:cs="仿宋_GB2312" w:eastAsia="仿宋_GB2312"/>
              </w:rPr>
              <w:t xml:space="preserve"> 2.内置4GSIM卡，支持LTE-TDD/LTE-FDD4G无线网络传输，接入标准支持IPv4/IPv6，HTTP，Qos，DNS，NTP等多种网络协议；</w:t>
            </w:r>
            <w:r>
              <w:br/>
            </w:r>
            <w:r>
              <w:rPr>
                <w:rFonts w:ascii="仿宋_GB2312" w:hAnsi="仿宋_GB2312" w:cs="仿宋_GB2312" w:eastAsia="仿宋_GB2312"/>
              </w:rPr>
              <w:t xml:space="preserve"> 3.内置1个内置麦克风，1个内置扬声器，支持双向语音对讲；</w:t>
            </w:r>
            <w:r>
              <w:br/>
            </w:r>
            <w:r>
              <w:rPr>
                <w:rFonts w:ascii="仿宋_GB2312" w:hAnsi="仿宋_GB2312" w:cs="仿宋_GB2312" w:eastAsia="仿宋_GB2312"/>
              </w:rPr>
              <w:t xml:space="preserve"> 4.支持红外光、白光双补光，同时支持智能补光，白光最远可达25m，红外光最远可达25m；</w:t>
            </w:r>
            <w:r>
              <w:br/>
            </w:r>
            <w:r>
              <w:rPr>
                <w:rFonts w:ascii="仿宋_GB2312" w:hAnsi="仿宋_GB2312" w:cs="仿宋_GB2312" w:eastAsia="仿宋_GB2312"/>
              </w:rPr>
              <w:t xml:space="preserve"> 5.符合IP66防尘防水设计，抗干扰能力强，可靠性高；</w:t>
            </w:r>
            <w:r>
              <w:br/>
            </w:r>
            <w:r>
              <w:rPr>
                <w:rFonts w:ascii="仿宋_GB2312" w:hAnsi="仿宋_GB2312" w:cs="仿宋_GB2312" w:eastAsia="仿宋_GB2312"/>
              </w:rPr>
              <w:t xml:space="preserve"> 6.支持接入移动侦测、支持人形检测，支持异常上传SD卡，上传中心，录像，声音报警，抓图；支持接入人数统计；</w:t>
            </w:r>
            <w:r>
              <w:br/>
            </w:r>
            <w:r>
              <w:rPr>
                <w:rFonts w:ascii="仿宋_GB2312" w:hAnsi="仿宋_GB2312" w:cs="仿宋_GB2312" w:eastAsia="仿宋_GB2312"/>
              </w:rPr>
              <w:t xml:space="preserve"> 7.通过视频应用管理平台实现整体视频信号推送（与区级、市级平台能实现无缝对接）；</w:t>
            </w:r>
            <w:r>
              <w:br/>
            </w:r>
            <w:r>
              <w:rPr>
                <w:rFonts w:ascii="仿宋_GB2312" w:hAnsi="仿宋_GB2312" w:cs="仿宋_GB2312" w:eastAsia="仿宋_GB2312"/>
              </w:rPr>
              <w:t xml:space="preserve"> 8.视频存储内置存储≥30天，重要事件可永久归档；</w:t>
            </w:r>
            <w:r>
              <w:br/>
            </w:r>
            <w:r>
              <w:rPr>
                <w:rFonts w:ascii="仿宋_GB2312" w:hAnsi="仿宋_GB2312" w:cs="仿宋_GB2312" w:eastAsia="仿宋_GB2312"/>
              </w:rPr>
              <w:t xml:space="preserve"> 9.包含电路电缆及网络连接所有设备，根据现场用料，辅材全包括；</w:t>
            </w:r>
            <w:r>
              <w:br/>
            </w:r>
            <w:r>
              <w:rPr>
                <w:rFonts w:ascii="仿宋_GB2312" w:hAnsi="仿宋_GB2312" w:cs="仿宋_GB2312" w:eastAsia="仿宋_GB2312"/>
              </w:rPr>
              <w:t xml:space="preserve"> 10.在甲方指定范围内施工、调试、安装。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合同签订后10个日历日。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预付款，合同签订后，供应商提供等额合规发票，达到付款条件起45个工作日内，支付合同总金额的40.0%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其他，所有货物交付并验收合格后，供应商提供等额合规发票，达到付款条件起45个工作日内，支付合同总金额的60.0%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 （12）若享受以上政策优惠的企业，提供相应声明函或品目范围内产品有效认证证书。如有最新颁布的政府采购政策，按最新的文件执行。 2、成交供应商需要提交与电子化交易系统中一致的纸质版响应文件正本壹份、副本贰份，正、副本分别胶装（可顺丰邮寄），邮寄地址：西安市雁展路1111号莱安中心T6-15层，联系人：任萍萍，联系电话：029-81206622/81206633-842）。若电子响应文件与纸质响应文件不一致的，以电子响应文件为准。 3、竞争性磋商文件中所有的商务要求均为实质性要求，供应商必须响应并满足。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财务会计报告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磋商前六个月内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供应商提交的相关说明和证明材料，应当加盖供应商（法定名称）电子印章，在评审委员会要求的时间内通过项目电子化交易系统进行提交，否则提交的相关证明材料无效。供应商不能证明其响应报价合理性的，评审委员会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本国产品说明 中小企业声明函 中国境内生产的组件成本核算基本规则 其他说明.docx 商务条款响应说明.docx 技术指标偏差表.docx 响应文件封面 分项报价表.docx 残疾人福利性单位声明函 标的清单 关于符合本国产品标准的声明函 响应函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指标、参数完全符合、满足磋商文件要求，没有负偏离的计20分；负偏离一项扣2分，扣完为止。注：提供参数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的实施方案，包括但不限于：①产品配置与选型；②项目组织机构人员安排；③供货、安装及调试方案；④产品测试及配合验收方案；⑤数据对接及安全保密方案；满分20分。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出具体的质量保证方案，包括但不限于：①产品质量保证措施；②项目进度保证措施；③产品性能的保证措施（内容包括：设备先进性，配置完整性，性能的稳定性，系统兼容性等）；④产品可靠性（提供所投产品货源渠道合法的证明文件（内容包括销售协议或代理协议或原厂授权等），产品符合国家、行业标准及有关规定，确保产品性能稳定，无产权纠纷）。满分8分。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3、详细评审---质量保证措施.docx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具有可行的技术培训方案，培训采购人指定的技术人员和管理人员，制定培训课程计划表，列出每种培训的次数、方式和目标，培训内容应包括但不限于：①所提供产品的原理和技术性能；②操作维护方法；③排除故障等各个方面。满分9分。每有一项缺项扣3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包括但不限于：①针对本项目的售后服务方案及承诺；②具有建全的售后服务机构、配备售后人员；③承诺维修服务具体时限与保障措施；④技术升级及备品备件提供情况等。满分8分。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为节能产品经国家认证的得0.5分，每有一项为环境标志产品经国家认证的得0.5分，供应商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提供供应商2023年1月1日至今同类项目完整合同（以合同签订日期为准），每提供1个得1分，最高得4分。 备注:同类项目指同类型或包含但不限于本项目主要标的物的业绩证明材料。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其他说明.docx</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详见附件：3、详细评审---质量保证措施.docx</w:t>
      </w:r>
    </w:p>
    <w:p>
      <w:pPr>
        <w:pStyle w:val="null3"/>
        <w:ind w:firstLine="960"/>
      </w:pPr>
      <w:r>
        <w:rPr>
          <w:rFonts w:ascii="仿宋_GB2312" w:hAnsi="仿宋_GB2312" w:cs="仿宋_GB2312" w:eastAsia="仿宋_GB2312"/>
        </w:rPr>
        <w:t>详见附件：4、详细评审---培训方案.docx</w:t>
      </w:r>
    </w:p>
    <w:p>
      <w:pPr>
        <w:pStyle w:val="null3"/>
        <w:ind w:firstLine="960"/>
      </w:pPr>
      <w:r>
        <w:rPr>
          <w:rFonts w:ascii="仿宋_GB2312" w:hAnsi="仿宋_GB2312" w:cs="仿宋_GB2312" w:eastAsia="仿宋_GB2312"/>
        </w:rPr>
        <w:t>详见附件：5、详细评审---售后服务.docx</w:t>
      </w:r>
    </w:p>
    <w:p>
      <w:pPr>
        <w:pStyle w:val="null3"/>
        <w:ind w:firstLine="960"/>
      </w:pPr>
      <w:r>
        <w:rPr>
          <w:rFonts w:ascii="仿宋_GB2312" w:hAnsi="仿宋_GB2312" w:cs="仿宋_GB2312" w:eastAsia="仿宋_GB2312"/>
        </w:rPr>
        <w:t>详见附件：6、详细评审---节能环保.docx</w:t>
      </w:r>
    </w:p>
    <w:p>
      <w:pPr>
        <w:pStyle w:val="null3"/>
        <w:ind w:firstLine="960"/>
      </w:pPr>
      <w:r>
        <w:rPr>
          <w:rFonts w:ascii="仿宋_GB2312" w:hAnsi="仿宋_GB2312" w:cs="仿宋_GB2312" w:eastAsia="仿宋_GB2312"/>
        </w:rPr>
        <w:t>详见附件：7、详细评审---业绩.docx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