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版本号：ZX2026-06-1820260615001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中国知识产权报社战略合作项目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ZX2026-06-18</w:t>
      </w:r>
      <w:r>
        <w:br/>
      </w:r>
      <w:r>
        <w:br/>
      </w:r>
      <w:r>
        <w:br/>
      </w:r>
    </w:p>
    <w:p>
      <w:pPr>
        <w:pStyle w:val="null3"/>
        <w:jc w:val="center"/>
        <w:outlineLvl w:val="5"/>
      </w:pPr>
      <w:r>
        <w:rPr>
          <w:rFonts w:ascii="仿宋_GB2312" w:hAnsi="仿宋_GB2312" w:cs="仿宋_GB2312" w:eastAsia="仿宋_GB2312"/>
          <w:sz w:val="15"/>
          <w:b/>
        </w:rPr>
        <w:t>陕西省知识产权局机关</w:t>
      </w:r>
    </w:p>
    <w:p>
      <w:pPr>
        <w:pStyle w:val="null3"/>
        <w:jc w:val="center"/>
        <w:outlineLvl w:val="5"/>
      </w:pPr>
      <w:r>
        <w:rPr>
          <w:rFonts w:ascii="仿宋_GB2312" w:hAnsi="仿宋_GB2312" w:cs="仿宋_GB2312" w:eastAsia="仿宋_GB2312"/>
          <w:sz w:val="15"/>
          <w:b/>
        </w:rPr>
        <w:t>陕西正信招标有限公司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陕西省知识产权局机关</w:t>
      </w:r>
      <w:r>
        <w:rPr>
          <w:rFonts w:ascii="仿宋_GB2312" w:hAnsi="仿宋_GB2312" w:cs="仿宋_GB2312" w:eastAsia="仿宋_GB2312"/>
        </w:rPr>
        <w:t>委托，拟对</w:t>
      </w:r>
      <w:r>
        <w:rPr>
          <w:rFonts w:ascii="仿宋_GB2312" w:hAnsi="仿宋_GB2312" w:cs="仿宋_GB2312" w:eastAsia="仿宋_GB2312"/>
        </w:rPr>
        <w:t>中国知识产权报社战略合作项目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ZX2026-06-18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中国知识产权报社战略合作项目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本项目为中国知识产权报社战略合作项目，1项，具体内容详见单一来源采购文件第三章。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陕西省知识产权局机关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029-63916882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陕西省知识产权局机关</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陕西省知识产权局机关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根据协商文件、成交供应商响应文件和合同文本执行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中国知识产权报社战略合作项目，1项，具体采购内容详见招标文件第三章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中国知识产权报社战略合作项目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标的名称：中国知识产权报社战略合作项目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4"/>
                <w:b/>
              </w:rPr>
              <w:t>一、</w:t>
            </w:r>
            <w:r>
              <w:rPr>
                <w:rFonts w:ascii="仿宋_GB2312" w:hAnsi="仿宋_GB2312" w:cs="仿宋_GB2312" w:eastAsia="仿宋_GB2312"/>
                <w:sz w:val="24"/>
                <w:b/>
              </w:rPr>
              <w:t>项目内容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围绕</w:t>
            </w:r>
            <w:r>
              <w:rPr>
                <w:rFonts w:ascii="仿宋_GB2312" w:hAnsi="仿宋_GB2312" w:cs="仿宋_GB2312" w:eastAsia="仿宋_GB2312"/>
                <w:sz w:val="24"/>
              </w:rPr>
              <w:t>陕西省</w:t>
            </w:r>
            <w:r>
              <w:rPr>
                <w:rFonts w:ascii="仿宋_GB2312" w:hAnsi="仿宋_GB2312" w:cs="仿宋_GB2312" w:eastAsia="仿宋_GB2312"/>
                <w:sz w:val="24"/>
              </w:rPr>
              <w:t>西部示范知识产权强省建设总体部署，通过专题报道形式，全面展示我省在知识产权创造、保护、运用、服务全链条的创新实践与成果，提升社会公众知识产权意识，营造良好创新环境，助力西部知识产权强省建设目标实现。</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color w:val="000000"/>
              </w:rPr>
              <w:t>开展陕西省知识产权网络信息监测</w:t>
            </w:r>
            <w:r>
              <w:rPr>
                <w:rFonts w:ascii="仿宋_GB2312" w:hAnsi="仿宋_GB2312" w:cs="仿宋_GB2312" w:eastAsia="仿宋_GB2312"/>
                <w:sz w:val="24"/>
              </w:rPr>
              <w:t>，</w:t>
            </w:r>
            <w:r>
              <w:rPr>
                <w:rFonts w:ascii="仿宋_GB2312" w:hAnsi="仿宋_GB2312" w:cs="仿宋_GB2312" w:eastAsia="仿宋_GB2312"/>
                <w:sz w:val="24"/>
                <w:color w:val="000000"/>
              </w:rPr>
              <w:t>及时应对涉及陕西省知识产权方面的信息动态</w:t>
            </w:r>
            <w:r>
              <w:rPr>
                <w:rFonts w:ascii="仿宋_GB2312" w:hAnsi="仿宋_GB2312" w:cs="仿宋_GB2312" w:eastAsia="仿宋_GB2312"/>
                <w:sz w:val="24"/>
              </w:rPr>
              <w:t>。</w:t>
            </w:r>
          </w:p>
          <w:p>
            <w:pPr>
              <w:pStyle w:val="null3"/>
              <w:jc w:val="both"/>
              <w:outlineLvl w:val="1"/>
            </w:pPr>
            <w:r>
              <w:rPr>
                <w:rFonts w:ascii="仿宋_GB2312" w:hAnsi="仿宋_GB2312" w:cs="仿宋_GB2312" w:eastAsia="仿宋_GB2312"/>
                <w:sz w:val="24"/>
                <w:b/>
              </w:rPr>
              <w:t>二、</w:t>
            </w:r>
            <w:r>
              <w:rPr>
                <w:rFonts w:ascii="仿宋_GB2312" w:hAnsi="仿宋_GB2312" w:cs="仿宋_GB2312" w:eastAsia="仿宋_GB2312"/>
                <w:sz w:val="24"/>
                <w:b/>
              </w:rPr>
              <w:t>项目执行</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报道内容需紧扣知识产权创造、保护、运用、服务四大主题，突出西部特色与示范成效；采用图文并茂形式，兼具专业性与可读性；严格遵守新闻报道规范，确保信息准确、客观；报道成果需在省级主流媒体及新媒体平台发布，扩大传播覆盖面。</w:t>
            </w:r>
          </w:p>
          <w:p>
            <w:pPr>
              <w:pStyle w:val="null3"/>
              <w:ind w:firstLine="480"/>
              <w:jc w:val="both"/>
            </w:pPr>
            <w:r>
              <w:rPr>
                <w:rFonts w:ascii="仿宋_GB2312" w:hAnsi="仿宋_GB2312" w:cs="仿宋_GB2312" w:eastAsia="仿宋_GB2312"/>
                <w:sz w:val="24"/>
              </w:rPr>
              <w:t>2.编制完成《陕西省</w:t>
            </w:r>
            <w:r>
              <w:rPr>
                <w:rFonts w:ascii="仿宋_GB2312" w:hAnsi="仿宋_GB2312" w:cs="仿宋_GB2312" w:eastAsia="仿宋_GB2312"/>
                <w:sz w:val="24"/>
                <w:color w:val="000000"/>
              </w:rPr>
              <w:t>知识产权网络信息监测工作报告</w:t>
            </w:r>
            <w:r>
              <w:rPr>
                <w:rFonts w:ascii="仿宋_GB2312" w:hAnsi="仿宋_GB2312" w:cs="仿宋_GB2312" w:eastAsia="仿宋_GB2312"/>
                <w:sz w:val="24"/>
              </w:rPr>
              <w:t>》，动态</w:t>
            </w:r>
            <w:r>
              <w:rPr>
                <w:rFonts w:ascii="仿宋_GB2312" w:hAnsi="仿宋_GB2312" w:cs="仿宋_GB2312" w:eastAsia="仿宋_GB2312"/>
                <w:sz w:val="24"/>
                <w:color w:val="000000"/>
              </w:rPr>
              <w:t>开展陕西省知识产权网络信息监测</w:t>
            </w:r>
            <w:r>
              <w:rPr>
                <w:rFonts w:ascii="仿宋_GB2312" w:hAnsi="仿宋_GB2312" w:cs="仿宋_GB2312" w:eastAsia="仿宋_GB2312"/>
                <w:sz w:val="24"/>
                <w:color w:val="000000"/>
              </w:rPr>
              <w:t>。</w:t>
            </w:r>
          </w:p>
          <w:p>
            <w:pPr>
              <w:pStyle w:val="null3"/>
              <w:jc w:val="both"/>
              <w:outlineLvl w:val="1"/>
            </w:pPr>
            <w:r>
              <w:rPr>
                <w:rFonts w:ascii="仿宋_GB2312" w:hAnsi="仿宋_GB2312" w:cs="仿宋_GB2312" w:eastAsia="仿宋_GB2312"/>
                <w:sz w:val="24"/>
                <w:b/>
              </w:rPr>
              <w:t>三、</w:t>
            </w:r>
            <w:r>
              <w:rPr>
                <w:rFonts w:ascii="仿宋_GB2312" w:hAnsi="仿宋_GB2312" w:cs="仿宋_GB2312" w:eastAsia="仿宋_GB2312"/>
                <w:sz w:val="24"/>
                <w:b/>
              </w:rPr>
              <w:t>项目成果</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围绕知识产权创造、保护、运用、服务四个方面，各完成</w:t>
            </w:r>
            <w:r>
              <w:rPr>
                <w:rFonts w:ascii="仿宋_GB2312" w:hAnsi="仿宋_GB2312" w:cs="仿宋_GB2312" w:eastAsia="仿宋_GB2312"/>
                <w:sz w:val="24"/>
              </w:rPr>
              <w:t>1次专题报道，共计4次专题报道。</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color w:val="000000"/>
              </w:rPr>
              <w:t>开展陕西省知识产权网络信息监测，每</w:t>
            </w:r>
            <w:r>
              <w:rPr>
                <w:rFonts w:ascii="仿宋_GB2312" w:hAnsi="仿宋_GB2312" w:cs="仿宋_GB2312" w:eastAsia="仿宋_GB2312"/>
                <w:sz w:val="24"/>
                <w:color w:val="000000"/>
              </w:rPr>
              <w:t>月</w:t>
            </w:r>
            <w:r>
              <w:rPr>
                <w:rFonts w:ascii="仿宋_GB2312" w:hAnsi="仿宋_GB2312" w:cs="仿宋_GB2312" w:eastAsia="仿宋_GB2312"/>
                <w:sz w:val="24"/>
                <w:color w:val="000000"/>
              </w:rPr>
              <w:t>出具全省知识产权网络信息监测工作报告一份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陕西省知识产权局指定地点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进度款，项目验收合格后，达到付款条件起7个工作日内，支付合同总金额的20.0%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①质量标准，符合国家行业相关标准。②验收：根据协商文件、成交供应商响应文件和合同文本执行。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（2）未按合同要求提供的服务，采购人会同采购代理机构有权终止合同和对成交投标人的违约行为进行追究。 （3）成交供应商不能按期完成工作任务，每超过提交日期一天支付合同价款的千分之一，返还予采购人，作为赔偿。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满足本单一来源采购文件中第三章中商务要求的“3.3.1服务期限、3.3.2服务地点、3.3.3采购资金的支付方式、3.3.4支付约定”的实质性条款要求的</w:t>
            </w:r>
          </w:p>
        </w:tc>
        <w:tc>
          <w:tcPr>
            <w:tcW w:type="dxa" w:w="1661"/>
          </w:tcPr>
          <w:p>
            <w:pPr>
              <w:pStyle w:val="null3"/>
            </w:pPr>
            <w:r>
              <w:rPr>
                <w:rFonts w:ascii="仿宋_GB2312" w:hAnsi="仿宋_GB2312" w:cs="仿宋_GB2312" w:eastAsia="仿宋_GB2312"/>
              </w:rPr>
              <w:t>3商务部分偏离表.docx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1分项价格表.docx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不属于法律法规和招标文件规定的其他无效情形。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投标有效期满足单一来源文件要求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5服务响应与偏离表.docx 2资格证明文件.docx 13采购标的成本说明.docx 3商务部分偏离表.docx 中小企业声明函 4承诺书.docx 7服务方案.docx 报价表 12同类项目合同价格说明.docx 响应文件封面 9供应商服务承诺.docx 6供应商基本情况表.docx 残疾人福利性单位声明函 标的清单 1分项价格表.docx 11供应商相关专利、专有技术情况说明.docx 响应函 监狱企业的证明文件 8组织机构.docx 10供应商认为需提供的其他资料.docx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详见附件：3商务部分偏离表.docx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详见附件：5服务响应与偏离表.docx</w:t>
      </w:r>
    </w:p>
    <w:p>
      <w:pPr>
        <w:pStyle w:val="null3"/>
        <w:ind w:firstLine="960"/>
      </w:pPr>
      <w:r>
        <w:rPr>
          <w:rFonts w:ascii="仿宋_GB2312" w:hAnsi="仿宋_GB2312" w:cs="仿宋_GB2312" w:eastAsia="仿宋_GB2312"/>
        </w:rPr>
        <w:t>详见附件：6供应商基本情况表.docx</w:t>
      </w:r>
    </w:p>
    <w:p>
      <w:pPr>
        <w:pStyle w:val="null3"/>
        <w:ind w:firstLine="960"/>
      </w:pPr>
      <w:r>
        <w:rPr>
          <w:rFonts w:ascii="仿宋_GB2312" w:hAnsi="仿宋_GB2312" w:cs="仿宋_GB2312" w:eastAsia="仿宋_GB2312"/>
        </w:rPr>
        <w:t>详见附件：7服务方案.docx</w:t>
      </w:r>
    </w:p>
    <w:p>
      <w:pPr>
        <w:pStyle w:val="null3"/>
        <w:ind w:firstLine="960"/>
      </w:pPr>
      <w:r>
        <w:rPr>
          <w:rFonts w:ascii="仿宋_GB2312" w:hAnsi="仿宋_GB2312" w:cs="仿宋_GB2312" w:eastAsia="仿宋_GB2312"/>
        </w:rPr>
        <w:t>详见附件：8组织机构.docx</w:t>
      </w:r>
    </w:p>
    <w:p>
      <w:pPr>
        <w:pStyle w:val="null3"/>
        <w:ind w:firstLine="960"/>
      </w:pPr>
      <w:r>
        <w:rPr>
          <w:rFonts w:ascii="仿宋_GB2312" w:hAnsi="仿宋_GB2312" w:cs="仿宋_GB2312" w:eastAsia="仿宋_GB2312"/>
        </w:rPr>
        <w:t>详见附件：9供应商服务承诺.docx</w:t>
      </w:r>
    </w:p>
    <w:p>
      <w:pPr>
        <w:pStyle w:val="null3"/>
        <w:ind w:firstLine="960"/>
      </w:pPr>
      <w:r>
        <w:rPr>
          <w:rFonts w:ascii="仿宋_GB2312" w:hAnsi="仿宋_GB2312" w:cs="仿宋_GB2312" w:eastAsia="仿宋_GB2312"/>
        </w:rPr>
        <w:t>详见附件：10供应商认为需提供的其他资料.docx</w:t>
      </w:r>
    </w:p>
    <w:p>
      <w:pPr>
        <w:pStyle w:val="null3"/>
        <w:ind w:firstLine="960"/>
      </w:pPr>
      <w:r>
        <w:rPr>
          <w:rFonts w:ascii="仿宋_GB2312" w:hAnsi="仿宋_GB2312" w:cs="仿宋_GB2312" w:eastAsia="仿宋_GB2312"/>
        </w:rPr>
        <w:t>详见附件：11供应商相关专利、专有技术情况说明.docx</w:t>
      </w:r>
    </w:p>
    <w:p>
      <w:pPr>
        <w:pStyle w:val="null3"/>
        <w:ind w:firstLine="960"/>
      </w:pPr>
      <w:r>
        <w:rPr>
          <w:rFonts w:ascii="仿宋_GB2312" w:hAnsi="仿宋_GB2312" w:cs="仿宋_GB2312" w:eastAsia="仿宋_GB2312"/>
        </w:rPr>
        <w:t>详见附件：12同类项目合同价格说明.docx</w:t>
      </w:r>
    </w:p>
    <w:p>
      <w:pPr>
        <w:pStyle w:val="null3"/>
        <w:ind w:firstLine="960"/>
      </w:pPr>
      <w:r>
        <w:rPr>
          <w:rFonts w:ascii="仿宋_GB2312" w:hAnsi="仿宋_GB2312" w:cs="仿宋_GB2312" w:eastAsia="仿宋_GB2312"/>
        </w:rPr>
        <w:t>详见附件：13采购标的成本说明.docx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