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版本号：YD-202602320260603002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洋县海事救援专用码头工程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YD-2026023</w:t>
      </w:r>
      <w:r>
        <w:br/>
      </w:r>
      <w:r>
        <w:br/>
      </w:r>
      <w:r>
        <w:br/>
      </w:r>
    </w:p>
    <w:p>
      <w:pPr>
        <w:pStyle w:val="null3"/>
        <w:jc w:val="center"/>
        <w:outlineLvl w:val="2"/>
      </w:pPr>
      <w:r>
        <w:rPr>
          <w:rFonts w:ascii="仿宋_GB2312" w:hAnsi="仿宋_GB2312" w:cs="仿宋_GB2312" w:eastAsia="仿宋_GB2312"/>
          <w:sz w:val="28"/>
          <w:b/>
        </w:rPr>
        <w:t>洋县交通运输事业发展中心</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洋县交通运输事业发展中心</w:t>
      </w:r>
      <w:r>
        <w:rPr>
          <w:rFonts w:ascii="仿宋_GB2312" w:hAnsi="仿宋_GB2312" w:cs="仿宋_GB2312" w:eastAsia="仿宋_GB2312"/>
        </w:rPr>
        <w:t>委托，拟对</w:t>
      </w:r>
      <w:r>
        <w:rPr>
          <w:rFonts w:ascii="仿宋_GB2312" w:hAnsi="仿宋_GB2312" w:cs="仿宋_GB2312" w:eastAsia="仿宋_GB2312"/>
        </w:rPr>
        <w:t>洋县海事救援专用码头工程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洋县海事救援专用码头工程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码头护岸及进港道路附属⼯程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采购包1（洋县海事救援专用码头工程）：属于专门面向中小企业采购。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2、资格承诺：供应商应具备健全的财务会计制度、履行合同所需的设备和专业技术能力、依法缴纳税收和社会保障资金，以及参加本项目采购活动前3年内经营活动无重大违法记录；投标人未被列入“ 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4、本采购包专门面向中小企业采购：本项目专门面向中小企业采购,供应商须提供《中小企业声明函》，供应商为监狱企业的 ，应提供监狱企业的证明文件；供应商为残疾人福利性单位的，应提供《残疾人福利性单位声明函》(监狱企业或残疾人福利性单位视同小型、微型企业)；</w:t>
      </w:r>
    </w:p>
    <w:p>
      <w:pPr>
        <w:pStyle w:val="null3"/>
      </w:pPr>
      <w:r>
        <w:rPr>
          <w:rFonts w:ascii="仿宋_GB2312" w:hAnsi="仿宋_GB2312" w:cs="仿宋_GB2312" w:eastAsia="仿宋_GB2312"/>
        </w:rPr>
        <w:t>5、供应商资质：供应商须具备建设行政主管部门核发的水利水电工程施工总承包三级及以上资质，并具有有效的安全生产许可证；项目负责人须具备水利水电工程专业二级及以上注册建造师执业资格并具有安全生产考核合格证书，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洋县交通运输事业发展中心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洋县和平路239号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0916-8225117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 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采购包1：2,356,200.00元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说明：施工合同签订前须向采购人指定账户缴纳履约保证金。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洋县交通运输事业发展中心</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洋县交通运输事业发展中心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洋县交通运输事业发展中心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2,356,200.00</w:t>
      </w:r>
    </w:p>
    <w:p>
      <w:pPr>
        <w:pStyle w:val="null3"/>
      </w:pPr>
      <w:r>
        <w:rPr>
          <w:rFonts w:ascii="仿宋_GB2312" w:hAnsi="仿宋_GB2312" w:cs="仿宋_GB2312" w:eastAsia="仿宋_GB2312"/>
        </w:rPr>
        <w:t>采购包最高限价（元）: 2,131,090.33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码头工程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2,356,200.00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标的名称：码头工程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555"/>
            </w:pPr>
            <w:r>
              <w:rPr>
                <w:rFonts w:ascii="仿宋_GB2312" w:hAnsi="仿宋_GB2312" w:cs="仿宋_GB2312" w:eastAsia="仿宋_GB2312"/>
                <w:sz w:val="18"/>
              </w:rPr>
              <w:t>一、工程概况</w:t>
            </w:r>
          </w:p>
          <w:p>
            <w:pPr>
              <w:pStyle w:val="null3"/>
            </w:pPr>
            <w:r>
              <w:rPr>
                <w:rFonts w:ascii="仿宋_GB2312" w:hAnsi="仿宋_GB2312" w:cs="仿宋_GB2312" w:eastAsia="仿宋_GB2312"/>
                <w:sz w:val="18"/>
              </w:rPr>
              <w:t xml:space="preserve">     洋县海事救援专用码头工程,该项目位于陕西省汉中市洋县万春村汉江左岸一侧，距离上游洋县县城约19.0km，本工程位于黄金峡枢纽常年回水区范围。</w:t>
            </w:r>
          </w:p>
          <w:p>
            <w:pPr>
              <w:pStyle w:val="null3"/>
            </w:pPr>
            <w:r>
              <w:rPr>
                <w:rFonts w:ascii="仿宋_GB2312" w:hAnsi="仿宋_GB2312" w:cs="仿宋_GB2312" w:eastAsia="仿宋_GB2312"/>
                <w:sz w:val="18"/>
              </w:rPr>
              <w:t xml:space="preserve">     主要建设内容为：</w:t>
            </w:r>
            <w:r>
              <w:rPr>
                <w:rFonts w:ascii="仿宋_GB2312" w:hAnsi="仿宋_GB2312" w:cs="仿宋_GB2312" w:eastAsia="仿宋_GB2312"/>
                <w:sz w:val="18"/>
              </w:rPr>
              <w:t>采用浮码头结构，即下河梯步+浮式趸船的结构形式。码头前沿线布置在441.0m等高线附近，下河坡道坡道顶面高程为455.0m，下河梯步分三级布置，梯步长37m，宽10m，梯道坡比为1:2~1:2.5。梯道间设置有1~2m宽的休息平台，护脚采用石笼挡墙护脚，挡墙高2.0m，顶部宽度2.0m，底部宽度为2.5m。踏步结构层厚度0.65m，由上至下依次为0.30m厚的C30砼面层，0.2m厚C20砼基层，0.15m厚级配碎石垫层。进港道路与下游万春渡口公路相接，路面宽5.0m，高程为451.0m，长度为158.5m。路面结构层厚度0.65m，由上至下依次为0.3m厚的C30砼面层，0.2m厚水泥稳定层，0.15m厚级配碎石垫层。两侧岸坡采用浆砌块石护岸，护岸护坡分为三级坡道，依次设置446.0m和451.0m马道，护坡坡比为1:1.0~1：2.5。护坡结构由上至下依次为0.30m厚的浆砌块石护面，0.4m厚混合倒滤层岸坡上、下游新建4处地牛，地牛尺度为3.0×3.0×3.0m，采用42mm三级有档锚链和25mm的锚筋。</w:t>
            </w:r>
          </w:p>
          <w:p>
            <w:pPr>
              <w:pStyle w:val="null3"/>
            </w:pPr>
            <w:r>
              <w:rPr>
                <w:rFonts w:ascii="仿宋_GB2312" w:hAnsi="仿宋_GB2312" w:cs="仿宋_GB2312" w:eastAsia="仿宋_GB2312"/>
                <w:sz w:val="18"/>
              </w:rPr>
              <w:t xml:space="preserve">二、编制依据 </w:t>
            </w:r>
          </w:p>
          <w:p>
            <w:pPr>
              <w:pStyle w:val="null3"/>
            </w:pPr>
            <w:r>
              <w:rPr>
                <w:rFonts w:ascii="仿宋_GB2312" w:hAnsi="仿宋_GB2312" w:cs="仿宋_GB2312" w:eastAsia="仿宋_GB2312"/>
                <w:sz w:val="18"/>
              </w:rPr>
              <w:t xml:space="preserve">  1、交通运输部交水发[2019]57 号文批准施行的《内河航运建设工程概预算编制规定》及配套的《内河航运建设工程概算预算编制规定》JTS/T 116—2019、《内河航运建设水工建筑工程定额》（JTS275-1-2019）、《内河航运工程船舶机械艘（台）班定额》》（JTS275-2-2019）、《内河航运设备安装工程定额》（JTS 275-3-2019）、《内河航运工程参考定额》（JTS 275-4-2019）、《水运工程混凝土和砂浆材料用量定额》（JTS 277-2019）；</w:t>
            </w:r>
          </w:p>
          <w:p>
            <w:pPr>
              <w:pStyle w:val="null3"/>
            </w:pPr>
            <w:r>
              <w:rPr>
                <w:rFonts w:ascii="仿宋_GB2312" w:hAnsi="仿宋_GB2312" w:cs="仿宋_GB2312" w:eastAsia="仿宋_GB2312"/>
                <w:sz w:val="18"/>
              </w:rPr>
              <w:t xml:space="preserve">  2、《水运工程定额材料基价单价》（2019 年版）</w:t>
            </w:r>
          </w:p>
          <w:p>
            <w:pPr>
              <w:pStyle w:val="null3"/>
            </w:pPr>
            <w:r>
              <w:rPr>
                <w:rFonts w:ascii="仿宋_GB2312" w:hAnsi="仿宋_GB2312" w:cs="仿宋_GB2312" w:eastAsia="仿宋_GB2312"/>
                <w:sz w:val="18"/>
              </w:rPr>
              <w:t xml:space="preserve">  3、根据“财政部 税务总局 海关总署公告2019 年第39 号”，增值税税率为9%；</w:t>
            </w:r>
          </w:p>
          <w:p>
            <w:pPr>
              <w:pStyle w:val="null3"/>
            </w:pPr>
            <w:r>
              <w:rPr>
                <w:rFonts w:ascii="仿宋_GB2312" w:hAnsi="仿宋_GB2312" w:cs="仿宋_GB2312" w:eastAsia="仿宋_GB2312"/>
                <w:sz w:val="18"/>
              </w:rPr>
              <w:t xml:space="preserve">  4、工程取费标准：水工工程按二类工程计算。</w:t>
            </w:r>
          </w:p>
          <w:p>
            <w:pPr>
              <w:pStyle w:val="null3"/>
            </w:pPr>
            <w:r>
              <w:rPr>
                <w:rFonts w:ascii="仿宋_GB2312" w:hAnsi="仿宋_GB2312" w:cs="仿宋_GB2312" w:eastAsia="仿宋_GB2312"/>
                <w:sz w:val="18"/>
              </w:rPr>
              <w:t xml:space="preserve">  5、</w:t>
            </w:r>
            <w:r>
              <w:rPr>
                <w:rFonts w:ascii="仿宋_GB2312" w:hAnsi="仿宋_GB2312" w:cs="仿宋_GB2312" w:eastAsia="仿宋_GB2312"/>
                <w:sz w:val="18"/>
              </w:rPr>
              <w:t>本工程采用建软水运工程计价软件编制。</w:t>
            </w:r>
          </w:p>
          <w:p>
            <w:pPr>
              <w:pStyle w:val="null3"/>
            </w:pPr>
            <w:r>
              <w:rPr>
                <w:rFonts w:ascii="仿宋_GB2312" w:hAnsi="仿宋_GB2312" w:cs="仿宋_GB2312" w:eastAsia="仿宋_GB2312"/>
                <w:sz w:val="18"/>
              </w:rPr>
              <w:t>三、项目工期为：90天</w:t>
            </w:r>
          </w:p>
          <w:p>
            <w:pPr>
              <w:pStyle w:val="null3"/>
            </w:pPr>
            <w:r>
              <w:rPr>
                <w:rFonts w:ascii="仿宋_GB2312" w:hAnsi="仿宋_GB2312" w:cs="仿宋_GB2312" w:eastAsia="仿宋_GB2312"/>
                <w:sz w:val="18"/>
              </w:rPr>
              <w:t>四、本项目缺陷责任期为：2年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以磋商文件要求为准。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1、在成交结果公示后，成交供应商向代理机构提交纸质响应文件叁份、分别胶装，加盖骑缝章，电子版U盘贰份，内容和通过电子化交易平台实施的政府采购项目提交的响应文件一致。 2、保证金若以金融机构、担保机构出具的保函形式则须在开标前一个工作日告知采购代理机构（联系⽅式：0916-2610065/邮箱：1042853189@qq.com）。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供应商应具备健全的财务会计制度、履行合同所需的设备和专业技术能力、依法缴纳税收和社会保障资金，以及参加本项目采购活动前3年内经营活动无重大违法记录；投标人未被列入“ 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本项目专门面向中小企业采购,供应商须提供《中小企业声明函》，供应商为监狱企业的 ，应提供监狱企业的证明文件；供应商为残疾人福利性单位的，应提供《残疾人福利性单位声明函》(监狱企业或残疾人福利性单位视同小型、微型企业)；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水利水电工程施工总承包三级及以上资质，并具有有效的安全生产许可证；项目负责人须具备水利水电工程专业二级及以上注册建造师执业资格并具有安全生产考核合格证书，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投标人报价明显低于其他实质性响应的投标人报价，有可能影响产品质量或者不能诚信履约的，磋商小组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磋商小组要求的时间内通过项目电子化交易系统进行提交，否则提交的相关证明材料无效。投标人不能证明其投标报价合理性的，磋商小组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汉中市政府采购供应商资格承诺函.docx 响应文件封面 评审方案.docx 项目管理机构组成表 残疾人福利性单位声明函 报价函 供应商项目业绩一览表.pdf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汉中市政府采购供应商资格承诺函.docx 响应文件封面 评审方案.docx 项目管理机构组成表 残疾人福利性单位声明函 报价函 供应商项目业绩一览表.pdf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汉中市政府采购供应商资格承诺函.docx 响应文件封面 评审方案.docx 项目管理机构组成表 残疾人福利性单位声明函 报价函 供应商项目业绩一览表.pdf 供应商应提交的相关资格证明材料.pdf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供应商提供2023年1月至今完成的类似业绩证明，每提供一份计2.5分，最高计5.0分；（以合同签订时间为准） 注：业绩须是供应商完成的类似项目，以成交通知书或协议书（合同）为准。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供应商项目业绩一览表.pdf</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供应商针对本项目有具体的配置人员专业、数量、职称及相关经验，详细的实施人员安排，分工合理、责任明确。包括但不限于：①团队人员配置清单及岗位职责、且证书证件合格有效；②提供人员到场及不更换人员承诺。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有具体的质量保证方案。包括但不限于：①质量保证体系；②质量保证的具体措施。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有具体的确保文明施工及环境保护措施方案。包括但不限于：①文明施工保障体系；②文明施工保障措施；③环境保护体系；④环境保护措施；⑤扬尘治理措施。以上各项内容全面明确、阐述条理清晰得10分，每缺一项扣2分，每项中的内容存在缺陷，扣0.1-1.9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确保安全生产组织措施</w:t>
            </w:r>
          </w:p>
        </w:tc>
        <w:tc>
          <w:tcPr>
            <w:tcW w:type="dxa" w:w="2492"/>
          </w:tcPr>
          <w:p>
            <w:pPr>
              <w:pStyle w:val="null3"/>
            </w:pPr>
            <w:r>
              <w:rPr>
                <w:rFonts w:ascii="仿宋_GB2312" w:hAnsi="仿宋_GB2312" w:cs="仿宋_GB2312" w:eastAsia="仿宋_GB2312"/>
              </w:rPr>
              <w:t>供应商针对本项目有具体的安全生产组织措施。包括但不限于：①安全保证体系；②安全保证的具体措施。以上各项内容全面明确、阐述条理清晰得10分，每缺一项扣5分，每项中的内容存在缺陷，扣0.1-4.9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有具体的工期保证方案。包括但不限于：①具体可行的施工进度计划表（图）；②工期保证的具体措施。以上各项内容全面明确、阐述条理清晰得10分，每缺一项扣5分，每项中的内容存在缺陷，扣0.1-4.9分，扣完为止 。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实施方案，包括但不限于:①编制完善的施工组织设计；②本项目实施重难点分析；③劳动力保障方案；④机械设备清单及维护方案；⑤验收交付方案。以上各项内容全面明确、阐述条理清晰得15分，每缺一项扣3分 ，每项中的内容存在缺陷，扣0.1-2.9分，扣完为止。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2、以满足本次磋商文件要求的最低报价为评审基准价，其价格为满分；3、投标供应商报价得分=（评审基准价/报价）×30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详见附件：供应商项目业绩一览表.pdf</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