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版本号：SXWZ2026ZB-SXRM-09020260528001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主院区直线加速器系统维修服务采购项目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SXWZ2026ZB-SXRM-090</w:t>
      </w:r>
      <w:r>
        <w:br/>
      </w:r>
      <w:r>
        <w:br/>
      </w:r>
      <w:r>
        <w:br/>
      </w:r>
    </w:p>
    <w:p>
      <w:pPr>
        <w:pStyle w:val="null3"/>
        <w:jc w:val="center"/>
        <w:outlineLvl w:val="5"/>
      </w:pPr>
      <w:r>
        <w:rPr>
          <w:rFonts w:ascii="仿宋_GB2312" w:hAnsi="仿宋_GB2312" w:cs="仿宋_GB2312" w:eastAsia="仿宋_GB2312"/>
          <w:sz w:val="15"/>
          <w:b/>
        </w:rPr>
        <w:t>陕西省人民医院</w:t>
      </w:r>
    </w:p>
    <w:p>
      <w:pPr>
        <w:pStyle w:val="null3"/>
        <w:jc w:val="center"/>
        <w:outlineLvl w:val="5"/>
      </w:pPr>
      <w:r>
        <w:rPr>
          <w:rFonts w:ascii="仿宋_GB2312" w:hAnsi="仿宋_GB2312" w:cs="仿宋_GB2312" w:eastAsia="仿宋_GB2312"/>
          <w:sz w:val="15"/>
          <w:b/>
        </w:rPr>
        <w:t>陕西万泽招标有限公司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主院区直线加速器系统维修服务采购项目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SXWZ2026ZB-SXRM-090</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主院区直线加速器系统维修服务采购项目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陕西省人民医院主院区直线加速器系统维修服务采购项目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法人提供会计师事务所出具的有效的2024年度或2025年度审计报告（成立时间至提交投标文件截止时间不足一年的可提供成立后任意时段的资产负债表），或响应文件递交截止时间前六个月内其基本存款账户开户银行出具的资信证明及开户银行许可证（或开户行出具的基本户证明材料）。（以上两种形式的资料提供任何一种即可）；注：财会[2023]15号文《财政部 国务院国资委 金融监管总局关于加强审计报告查验工作的通知》会计师事务所应当主动向被审计单位提供附验证码的审计报告。即 2023 年及以后的审计报告需附验证码；后的审计报告需附验证码；</w:t>
      </w:r>
    </w:p>
    <w:p>
      <w:pPr>
        <w:pStyle w:val="null3"/>
      </w:pPr>
      <w:r>
        <w:rPr>
          <w:rFonts w:ascii="仿宋_GB2312" w:hAnsi="仿宋_GB2312" w:cs="仿宋_GB2312" w:eastAsia="仿宋_GB2312"/>
        </w:rPr>
        <w:t>3、社会保障资金缴纳证明：提供开标前六个月内任意一个月缴纳的社会保障资金的证明（社会保障资金缴存单据或社保机构开具的社会保险参保缴费情况证明等）；依法不需要缴纳社会保障资金的供应商应提供相关文件证明。</w:t>
      </w:r>
    </w:p>
    <w:p>
      <w:pPr>
        <w:pStyle w:val="null3"/>
      </w:pPr>
      <w:r>
        <w:rPr>
          <w:rFonts w:ascii="仿宋_GB2312" w:hAnsi="仿宋_GB2312" w:cs="仿宋_GB2312" w:eastAsia="仿宋_GB2312"/>
        </w:rPr>
        <w:t>4、税收缴纳证明：提供开标前六个月内任意一个月的纳税证明或完税证明，纳税证明或完税证明上应有代收机构或税务机关的公章或业务专用章。依法免税的供应商应提供相关文件证明。（以税款所属期为准）；</w:t>
      </w:r>
    </w:p>
    <w:p>
      <w:pPr>
        <w:pStyle w:val="null3"/>
      </w:pPr>
      <w:r>
        <w:rPr>
          <w:rFonts w:ascii="仿宋_GB2312" w:hAnsi="仿宋_GB2312" w:cs="仿宋_GB2312" w:eastAsia="仿宋_GB2312"/>
        </w:rPr>
        <w:t>5、书面声明：1）出具履行合同所必需的设备和专业技术能力的书面声明；2）出具参加本次政府采购活动前3年内在经营活动中没有重大违法违纪，以及未被列入“信用中国”网站记录的“失信被执行人”或“重大税收违法失信主体”名单；不处于“中国政府采购网”记录的“政府采购严重违法失信行为记录名单”中的禁止参加政府采购活动期间的书面声明。</w:t>
      </w:r>
    </w:p>
    <w:p>
      <w:pPr>
        <w:pStyle w:val="null3"/>
      </w:pPr>
      <w:r>
        <w:rPr>
          <w:rFonts w:ascii="仿宋_GB2312" w:hAnsi="仿宋_GB2312" w:cs="仿宋_GB2312" w:eastAsia="仿宋_GB2312"/>
        </w:rPr>
        <w:t>6、法定代表人授权委托书：供应商应授权合法的人员参加谈判全过程，其中法定代表人直接参加谈判的，须出具法人身份证，并与营业执照上信息一致。法定代表人授权代表参加谈判的，须出具法定代表人授权书及授权代表身份证。</w:t>
      </w:r>
    </w:p>
    <w:p>
      <w:pPr>
        <w:pStyle w:val="null3"/>
      </w:pPr>
      <w:r>
        <w:rPr>
          <w:rFonts w:ascii="仿宋_GB2312" w:hAnsi="仿宋_GB2312" w:cs="仿宋_GB2312" w:eastAsia="仿宋_GB2312"/>
        </w:rPr>
        <w:t>7、控股关系声明：单位负责人为同一人或存在直接控股、管理关系的不同单位，不得参加同一合同项下的政府采购活动。</w:t>
      </w:r>
    </w:p>
    <w:p>
      <w:pPr>
        <w:pStyle w:val="null3"/>
      </w:pPr>
      <w:r>
        <w:rPr>
          <w:rFonts w:ascii="仿宋_GB2312" w:hAnsi="仿宋_GB2312" w:cs="仿宋_GB2312" w:eastAsia="仿宋_GB2312"/>
        </w:rPr>
        <w:t>8、本项目不接受联合体投标：本项目不接受联合体投标，不允许分包。供应商提供《非联合体不分包投标声明》，视为独立投标，不分包。</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029-85251331转2323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 陈先锋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029-88319689-8003/8005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采购包1：440,000.00元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采购包1：440,000.00元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开户名称：陕西万泽招标有限公司（转账备注：省人民-090-保证金）</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收费标准下浮40%，向采购代理机构一次付清代理服务费。 中标单位按以下账户缴纳服务费（对公转账）： 户名:陕西万泽招标有限公司 账号:2110 1158 0000 0154 89 开户行:西安银行朝阳门支行 转账备注：省人民-090-服务费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验收标准以国家相应的标准、规范等为依据，按照单一来源采购文件、澄清文件、响应文件及合同约定执行。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陕西省人民医院主院区直线加速器系统维修服务采购项目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440,000.00</w:t>
      </w:r>
    </w:p>
    <w:p>
      <w:pPr>
        <w:pStyle w:val="null3"/>
      </w:pPr>
      <w:r>
        <w:rPr>
          <w:rFonts w:ascii="仿宋_GB2312" w:hAnsi="仿宋_GB2312" w:cs="仿宋_GB2312" w:eastAsia="仿宋_GB2312"/>
        </w:rPr>
        <w:t>采购包最高限价（元）: 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更换磁控管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440,000.00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标的名称：更换磁控管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采购内容：</w:t>
            </w:r>
          </w:p>
          <w:p>
            <w:pPr>
              <w:pStyle w:val="null3"/>
            </w:pPr>
            <w:r>
              <w:rPr>
                <w:rFonts w:ascii="仿宋_GB2312" w:hAnsi="仿宋_GB2312" w:cs="仿宋_GB2312" w:eastAsia="仿宋_GB2312"/>
                <w:sz w:val="24"/>
              </w:rPr>
              <w:t>更换磁控管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b/>
              </w:rPr>
              <w:t>采购要求：</w:t>
            </w:r>
          </w:p>
          <w:p>
            <w:pPr>
              <w:pStyle w:val="null3"/>
            </w:pPr>
            <w:r>
              <w:rPr>
                <w:rFonts w:ascii="仿宋_GB2312" w:hAnsi="仿宋_GB2312" w:cs="仿宋_GB2312" w:eastAsia="仿宋_GB2312"/>
                <w:sz w:val="24"/>
              </w:rPr>
              <w:t>匹配医科达加速器使用，满足第四项技术指标。</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b/>
              </w:rPr>
              <w:t>商务要求：</w:t>
            </w:r>
          </w:p>
          <w:p>
            <w:pPr>
              <w:pStyle w:val="null3"/>
              <w:jc w:val="left"/>
            </w:pPr>
            <w:r>
              <w:rPr>
                <w:rFonts w:ascii="仿宋_GB2312" w:hAnsi="仿宋_GB2312" w:cs="仿宋_GB2312" w:eastAsia="仿宋_GB2312"/>
                <w:sz w:val="24"/>
              </w:rPr>
              <w:t>1.安装工程师应具有医科达原厂2025年之后的培训证书。</w:t>
            </w:r>
          </w:p>
          <w:p>
            <w:pPr>
              <w:pStyle w:val="null3"/>
              <w:jc w:val="left"/>
            </w:pPr>
            <w:r>
              <w:rPr>
                <w:rFonts w:ascii="仿宋_GB2312" w:hAnsi="仿宋_GB2312" w:cs="仿宋_GB2312" w:eastAsia="仿宋_GB2312"/>
                <w:sz w:val="24"/>
              </w:rPr>
              <w:t>2.投标方须保证所提供的磁控管为原厂全新，并提供2025年之后的报关单。</w:t>
            </w:r>
          </w:p>
          <w:p>
            <w:pPr>
              <w:pStyle w:val="null3"/>
            </w:pPr>
            <w:r>
              <w:rPr>
                <w:rFonts w:ascii="仿宋_GB2312" w:hAnsi="仿宋_GB2312" w:cs="仿宋_GB2312" w:eastAsia="仿宋_GB2312"/>
                <w:sz w:val="24"/>
              </w:rPr>
              <w:t>3.总报价包含运输、安装、调试等费用。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b/>
              </w:rPr>
              <w:t>主要性能技术指标：</w:t>
            </w:r>
          </w:p>
          <w:p>
            <w:pPr>
              <w:pStyle w:val="null3"/>
              <w:jc w:val="left"/>
            </w:pPr>
            <w:r>
              <w:rPr>
                <w:rFonts w:ascii="仿宋_GB2312" w:hAnsi="仿宋_GB2312" w:cs="仿宋_GB2312" w:eastAsia="仿宋_GB2312"/>
                <w:sz w:val="24"/>
              </w:rPr>
              <w:t>调谐范围：</w:t>
            </w:r>
            <w:r>
              <w:rPr>
                <w:rFonts w:ascii="仿宋_GB2312" w:hAnsi="仿宋_GB2312" w:cs="仿宋_GB2312" w:eastAsia="仿宋_GB2312"/>
                <w:sz w:val="24"/>
              </w:rPr>
              <w:t>10 MHz</w:t>
            </w:r>
          </w:p>
          <w:p>
            <w:pPr>
              <w:pStyle w:val="null3"/>
              <w:jc w:val="left"/>
            </w:pPr>
            <w:r>
              <w:rPr>
                <w:rFonts w:ascii="仿宋_GB2312" w:hAnsi="仿宋_GB2312" w:cs="仿宋_GB2312" w:eastAsia="仿宋_GB2312"/>
                <w:sz w:val="24"/>
              </w:rPr>
              <w:t>峰值输出功率：</w:t>
            </w:r>
            <w:r>
              <w:rPr>
                <w:rFonts w:ascii="仿宋_GB2312" w:hAnsi="仿宋_GB2312" w:cs="仿宋_GB2312" w:eastAsia="仿宋_GB2312"/>
                <w:sz w:val="24"/>
              </w:rPr>
              <w:t>5.0 MW</w:t>
            </w:r>
          </w:p>
          <w:p>
            <w:pPr>
              <w:pStyle w:val="null3"/>
              <w:jc w:val="left"/>
            </w:pPr>
            <w:r>
              <w:rPr>
                <w:rFonts w:ascii="仿宋_GB2312" w:hAnsi="仿宋_GB2312" w:cs="仿宋_GB2312" w:eastAsia="仿宋_GB2312"/>
                <w:sz w:val="24"/>
              </w:rPr>
              <w:t>磁铁：</w:t>
            </w:r>
            <w:r>
              <w:rPr>
                <w:rFonts w:ascii="仿宋_GB2312" w:hAnsi="仿宋_GB2312" w:cs="仿宋_GB2312" w:eastAsia="仿宋_GB2312"/>
                <w:sz w:val="24"/>
              </w:rPr>
              <w:t>MG 6030</w:t>
            </w:r>
          </w:p>
          <w:p>
            <w:pPr>
              <w:pStyle w:val="null3"/>
              <w:jc w:val="left"/>
            </w:pPr>
            <w:r>
              <w:rPr>
                <w:rFonts w:ascii="仿宋_GB2312" w:hAnsi="仿宋_GB2312" w:cs="仿宋_GB2312" w:eastAsia="仿宋_GB2312"/>
                <w:sz w:val="24"/>
              </w:rPr>
              <w:t>推荐使用隔离器：</w:t>
            </w:r>
          </w:p>
          <w:p>
            <w:pPr>
              <w:pStyle w:val="null3"/>
              <w:jc w:val="left"/>
            </w:pPr>
            <w:r>
              <w:rPr>
                <w:rFonts w:ascii="仿宋_GB2312" w:hAnsi="仿宋_GB2312" w:cs="仿宋_GB2312" w:eastAsia="仿宋_GB2312"/>
                <w:sz w:val="24"/>
              </w:rPr>
              <w:t>冷却水：水和</w:t>
            </w:r>
            <w:r>
              <w:rPr>
                <w:rFonts w:ascii="仿宋_GB2312" w:hAnsi="仿宋_GB2312" w:cs="仿宋_GB2312" w:eastAsia="仿宋_GB2312"/>
                <w:sz w:val="24"/>
              </w:rPr>
              <w:t>SF6</w:t>
            </w:r>
          </w:p>
          <w:p>
            <w:pPr>
              <w:pStyle w:val="null3"/>
              <w:jc w:val="left"/>
            </w:pPr>
            <w:r>
              <w:rPr>
                <w:rFonts w:ascii="仿宋_GB2312" w:hAnsi="仿宋_GB2312" w:cs="仿宋_GB2312" w:eastAsia="仿宋_GB2312"/>
                <w:sz w:val="24"/>
              </w:rPr>
              <w:t>阴极：间接加热</w:t>
            </w:r>
          </w:p>
          <w:p>
            <w:pPr>
              <w:pStyle w:val="null3"/>
              <w:jc w:val="left"/>
            </w:pPr>
            <w:r>
              <w:rPr>
                <w:rFonts w:ascii="仿宋_GB2312" w:hAnsi="仿宋_GB2312" w:cs="仿宋_GB2312" w:eastAsia="仿宋_GB2312"/>
                <w:sz w:val="24"/>
              </w:rPr>
              <w:t>加热电压：</w:t>
            </w:r>
            <w:r>
              <w:rPr>
                <w:rFonts w:ascii="仿宋_GB2312" w:hAnsi="仿宋_GB2312" w:cs="仿宋_GB2312" w:eastAsia="仿宋_GB2312"/>
                <w:sz w:val="24"/>
              </w:rPr>
              <w:t>13 V</w:t>
            </w:r>
          </w:p>
          <w:p>
            <w:pPr>
              <w:pStyle w:val="null3"/>
              <w:jc w:val="left"/>
            </w:pPr>
            <w:r>
              <w:rPr>
                <w:rFonts w:ascii="仿宋_GB2312" w:hAnsi="仿宋_GB2312" w:cs="仿宋_GB2312" w:eastAsia="仿宋_GB2312"/>
                <w:sz w:val="24"/>
              </w:rPr>
              <w:t>加热电流：</w:t>
            </w:r>
            <w:r>
              <w:rPr>
                <w:rFonts w:ascii="仿宋_GB2312" w:hAnsi="仿宋_GB2312" w:cs="仿宋_GB2312" w:eastAsia="仿宋_GB2312"/>
                <w:sz w:val="24"/>
              </w:rPr>
              <w:t>14 A</w:t>
            </w:r>
          </w:p>
          <w:p>
            <w:pPr>
              <w:pStyle w:val="null3"/>
              <w:jc w:val="left"/>
            </w:pPr>
            <w:r>
              <w:rPr>
                <w:rFonts w:ascii="仿宋_GB2312" w:hAnsi="仿宋_GB2312" w:cs="仿宋_GB2312" w:eastAsia="仿宋_GB2312"/>
                <w:sz w:val="24"/>
              </w:rPr>
              <w:t>加热启动电流：</w:t>
            </w:r>
          </w:p>
          <w:p>
            <w:pPr>
              <w:pStyle w:val="null3"/>
              <w:jc w:val="left"/>
            </w:pPr>
            <w:r>
              <w:rPr>
                <w:rFonts w:ascii="仿宋_GB2312" w:hAnsi="仿宋_GB2312" w:cs="仿宋_GB2312" w:eastAsia="仿宋_GB2312"/>
                <w:sz w:val="24"/>
              </w:rPr>
              <w:t>峰值不超过：</w:t>
            </w:r>
            <w:r>
              <w:rPr>
                <w:rFonts w:ascii="仿宋_GB2312" w:hAnsi="仿宋_GB2312" w:cs="仿宋_GB2312" w:eastAsia="仿宋_GB2312"/>
                <w:sz w:val="24"/>
              </w:rPr>
              <w:t>40 A max</w:t>
            </w:r>
          </w:p>
          <w:p>
            <w:pPr>
              <w:pStyle w:val="null3"/>
              <w:jc w:val="left"/>
            </w:pPr>
            <w:r>
              <w:rPr>
                <w:rFonts w:ascii="仿宋_GB2312" w:hAnsi="仿宋_GB2312" w:cs="仿宋_GB2312" w:eastAsia="仿宋_GB2312"/>
                <w:sz w:val="24"/>
              </w:rPr>
              <w:t>阴极预热时间：</w:t>
            </w:r>
            <w:r>
              <w:rPr>
                <w:rFonts w:ascii="仿宋_GB2312" w:hAnsi="仿宋_GB2312" w:cs="仿宋_GB2312" w:eastAsia="仿宋_GB2312"/>
                <w:sz w:val="24"/>
              </w:rPr>
              <w:t>6.0分钟</w:t>
            </w:r>
          </w:p>
          <w:p>
            <w:pPr>
              <w:pStyle w:val="null3"/>
              <w:jc w:val="left"/>
            </w:pPr>
            <w:r>
              <w:rPr>
                <w:rFonts w:ascii="仿宋_GB2312" w:hAnsi="仿宋_GB2312" w:cs="仿宋_GB2312" w:eastAsia="仿宋_GB2312"/>
                <w:sz w:val="24"/>
              </w:rPr>
              <w:t>调谐电流：</w:t>
            </w:r>
            <w:r>
              <w:rPr>
                <w:rFonts w:ascii="仿宋_GB2312" w:hAnsi="仿宋_GB2312" w:cs="仿宋_GB2312" w:eastAsia="仿宋_GB2312"/>
                <w:sz w:val="24"/>
              </w:rPr>
              <w:t>5 A max</w:t>
            </w:r>
          </w:p>
          <w:p>
            <w:pPr>
              <w:pStyle w:val="null3"/>
              <w:jc w:val="left"/>
            </w:pPr>
            <w:r>
              <w:rPr>
                <w:rFonts w:ascii="仿宋_GB2312" w:hAnsi="仿宋_GB2312" w:cs="仿宋_GB2312" w:eastAsia="仿宋_GB2312"/>
                <w:sz w:val="24"/>
              </w:rPr>
              <w:t>调谐线圈电感：</w:t>
            </w:r>
          </w:p>
          <w:p>
            <w:pPr>
              <w:pStyle w:val="null3"/>
              <w:jc w:val="left"/>
            </w:pPr>
            <w:r>
              <w:rPr>
                <w:rFonts w:ascii="仿宋_GB2312" w:hAnsi="仿宋_GB2312" w:cs="仿宋_GB2312" w:eastAsia="仿宋_GB2312"/>
                <w:sz w:val="24"/>
              </w:rPr>
              <w:t>0A 时：6.8</w:t>
            </w:r>
          </w:p>
          <w:p>
            <w:pPr>
              <w:pStyle w:val="null3"/>
            </w:pPr>
            <w:r>
              <w:rPr>
                <w:rFonts w:ascii="仿宋_GB2312" w:hAnsi="仿宋_GB2312" w:cs="仿宋_GB2312" w:eastAsia="仿宋_GB2312"/>
                <w:sz w:val="24"/>
              </w:rPr>
              <w:t>5A 时：8</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4"/>
                <w:b/>
              </w:rPr>
              <w:t>其他要求：</w:t>
            </w:r>
          </w:p>
          <w:p>
            <w:pPr>
              <w:pStyle w:val="null3"/>
            </w:pPr>
            <w:r>
              <w:rPr>
                <w:rFonts w:ascii="仿宋_GB2312" w:hAnsi="仿宋_GB2312" w:cs="仿宋_GB2312" w:eastAsia="仿宋_GB2312"/>
                <w:sz w:val="24"/>
              </w:rPr>
              <w:t>配件保修</w:t>
            </w:r>
            <w:r>
              <w:rPr>
                <w:rFonts w:ascii="仿宋_GB2312" w:hAnsi="仿宋_GB2312" w:cs="仿宋_GB2312" w:eastAsia="仿宋_GB2312"/>
                <w:sz w:val="24"/>
              </w:rPr>
              <w:t>1年</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服务期：合同签订后30日内完成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陕西省人民医院</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其他，自合同签订之日起，乙方开具符合甲方要求的全额发票，达到付款条件起30个工作日内，支付合同总金额的100.0%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验收标准以国家相应的标准、规范等为依据，按照单一来源采购文件、澄清文件、响应文件及合同约定执行。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执行本合同中发生的或与本合同有关的争端，双方应通过友好协商解决，经协商在30天内不能达成协议时，应提交采购人所在地有管辖权的人民法院诉讼解决。（2）在诉讼期间，除正在进行诉讼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供应商需要在线提交所有通过电子化交易平台实施的政府采购项目的响应文件，同时，线下提交投标 文件正本 壹 份、副本 贰份。若电子响应文件 与纸质响应文件不一致的，以线上提交的电子响应文件为准。 1.线下提交响应文件地点：西安市高新区唐延路旺座现代城C座25楼2502室 2.联系电话：029-88319689-8003/8005；邮箱：sxwzzb04@163.com。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会计师事务所出具的有效的2024年度或2025年度审计报告（成立时间至提交投标文件截止时间不足一年的可提供成立后任意时段的资产负债表），或响应文件递交截止时间前六个月内其基本存款账户开户银行出具的资信证明及开户银行许可证（或开户行出具的基本户证明材料）。（以上两种形式的资料提供任何一种即可）；注：财会[2023]15号文《财政部 国务院国资委 金融监管总局关于加强审计报告查验工作的通知》会计师事务所应当主动向被审计单位提供附验证码的审计报告。即 2023 年及以后的审计报告需附验证码；后的审计报告需附验证码；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提供开标前六个月内任意一个月缴纳的社会保障资金的证明（社会保障资金缴存单据或社保机构开具的社会保险参保缴费情况证明等）；依法不需要缴纳社会保障资金的供应商应提供相关文件证明。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提供开标前六个月内任意一个月的纳税证明或完税证明，纳税证明或完税证明上应有代收机构或税务机关的公章或业务专用章。依法免税的供应商应提供相关文件证明。（以税款所属期为准）；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2）出具参加本次政府采购活动前3年内在经营活动中没有重大违法违纪，以及未被列入“信用中国”网站记录的“失信被执行人”或“重大税收违法失信主体”名单；不处于“中国政府采购网”记录的“政府采购严重违法失信行为记录名单”中的禁止参加政府采购活动期间的书面声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供应商应授权合法的人员参加谈判全过程，其中法定代表人直接参加谈判的，须出具法人身份证，并与营业执照上信息一致。法定代表人授权代表参加谈判的，须出具法定代表人授权书及授权代表身份证。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控股关系声明</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资格证明资料.docx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响应一览表及分项报价表.docx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响应报价未超过预算或最高单价限价</w:t>
            </w:r>
          </w:p>
        </w:tc>
        <w:tc>
          <w:tcPr>
            <w:tcW w:type="dxa" w:w="1661"/>
          </w:tcPr>
          <w:p>
            <w:pPr>
              <w:pStyle w:val="null3"/>
            </w:pPr>
            <w:r>
              <w:rPr>
                <w:rFonts w:ascii="仿宋_GB2312" w:hAnsi="仿宋_GB2312" w:cs="仿宋_GB2312" w:eastAsia="仿宋_GB2312"/>
              </w:rPr>
              <w:t>响应一览表及分项报价表.docx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服务期是否满足单一来源文件要求</w:t>
            </w:r>
          </w:p>
        </w:tc>
        <w:tc>
          <w:tcPr>
            <w:tcW w:type="dxa" w:w="1661"/>
          </w:tcPr>
          <w:p>
            <w:pPr>
              <w:pStyle w:val="null3"/>
            </w:pPr>
            <w:r>
              <w:rPr>
                <w:rFonts w:ascii="仿宋_GB2312" w:hAnsi="仿宋_GB2312" w:cs="仿宋_GB2312" w:eastAsia="仿宋_GB2312"/>
              </w:rPr>
              <w:t>响应一览表及分项报价表.docx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响应文件的签署及盖章</w:t>
            </w:r>
          </w:p>
        </w:tc>
        <w:tc>
          <w:tcPr>
            <w:tcW w:type="dxa" w:w="3322"/>
          </w:tcPr>
          <w:p>
            <w:pPr>
              <w:pStyle w:val="null3"/>
            </w:pPr>
            <w:r>
              <w:rPr>
                <w:rFonts w:ascii="仿宋_GB2312" w:hAnsi="仿宋_GB2312" w:cs="仿宋_GB2312" w:eastAsia="仿宋_GB2312"/>
              </w:rPr>
              <w:t>响应文件按单一来源采购文件要求签署及盖章</w:t>
            </w:r>
          </w:p>
        </w:tc>
        <w:tc>
          <w:tcPr>
            <w:tcW w:type="dxa" w:w="1661"/>
          </w:tcPr>
          <w:p>
            <w:pPr>
              <w:pStyle w:val="null3"/>
            </w:pPr>
            <w:r>
              <w:rPr>
                <w:rFonts w:ascii="仿宋_GB2312" w:hAnsi="仿宋_GB2312" w:cs="仿宋_GB2312" w:eastAsia="仿宋_GB2312"/>
              </w:rPr>
              <w:t>供应商参加政府采购活动承诺书.docx 中小企业声明函 报价表 资格证明资料.docx 响应文件封面 响应一览表及分项报价表.docx 残疾人福利性单位声明函 标的清单 保证金缴纳凭证.docx 响应函 商务条款偏离表.docx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谈判有效期满足单一来源采购文件要求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按照单一来源采购文件的规定提交保证金</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未与采购文件商务要求条款不一致或未增加采购人难以接受的条款</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符合法律法规和单一来源采购文件规定的其他实质性要求</w:t>
            </w:r>
          </w:p>
        </w:tc>
        <w:tc>
          <w:tcPr>
            <w:tcW w:type="dxa" w:w="1661"/>
          </w:tcPr>
          <w:p>
            <w:pPr>
              <w:pStyle w:val="null3"/>
            </w:pPr>
            <w:r>
              <w:rPr>
                <w:rFonts w:ascii="仿宋_GB2312" w:hAnsi="仿宋_GB2312" w:cs="仿宋_GB2312" w:eastAsia="仿宋_GB2312"/>
              </w:rPr>
              <w:t>供应商参加政府采购活动承诺书.docx 中小企业声明函 报价表 资格证明资料.docx 响应文件封面 响应一览表及分项报价表.docx 残疾人福利性单位声明函 标的清单 保证金缴纳凭证.docx 响应函 商务条款偏离表.docx 服务方案.docx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详见附件：响应一览表及分项报价表.docx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