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1E22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034F2E6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028D2074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</w:p>
    <w:p w14:paraId="62E4F8FC">
      <w:pPr>
        <w:bidi w:val="0"/>
        <w:jc w:val="center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</w:rPr>
        <w:t>生物及烹饪医美实训室设备采购项目</w:t>
      </w:r>
    </w:p>
    <w:p w14:paraId="4BAA238F">
      <w:pPr>
        <w:pStyle w:val="2"/>
        <w:spacing w:line="252" w:lineRule="auto"/>
      </w:pPr>
    </w:p>
    <w:p w14:paraId="4BA95B0E">
      <w:pPr>
        <w:pStyle w:val="2"/>
        <w:spacing w:line="252" w:lineRule="auto"/>
      </w:pPr>
    </w:p>
    <w:p w14:paraId="40086BAB">
      <w:pPr>
        <w:pStyle w:val="2"/>
        <w:spacing w:line="252" w:lineRule="auto"/>
      </w:pPr>
    </w:p>
    <w:p w14:paraId="6D5431A1">
      <w:pPr>
        <w:pStyle w:val="2"/>
        <w:spacing w:line="252" w:lineRule="auto"/>
      </w:pPr>
    </w:p>
    <w:p w14:paraId="1749D4B9">
      <w:pPr>
        <w:pStyle w:val="2"/>
        <w:spacing w:line="252" w:lineRule="auto"/>
      </w:pPr>
    </w:p>
    <w:p w14:paraId="759C43F5">
      <w:pPr>
        <w:pStyle w:val="2"/>
        <w:spacing w:line="252" w:lineRule="auto"/>
      </w:pPr>
    </w:p>
    <w:p w14:paraId="6C74726B">
      <w:pPr>
        <w:pStyle w:val="2"/>
        <w:spacing w:line="253" w:lineRule="auto"/>
      </w:pPr>
    </w:p>
    <w:p w14:paraId="6A4A10C1">
      <w:pPr>
        <w:spacing w:before="169" w:line="219" w:lineRule="auto"/>
        <w:ind w:left="3679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b/>
          <w:bCs/>
          <w:spacing w:val="-8"/>
          <w:sz w:val="52"/>
          <w:szCs w:val="52"/>
        </w:rPr>
        <w:t>采购合同</w:t>
      </w:r>
    </w:p>
    <w:p w14:paraId="64F871FB">
      <w:pPr>
        <w:pStyle w:val="2"/>
        <w:spacing w:line="248" w:lineRule="auto"/>
      </w:pPr>
    </w:p>
    <w:p w14:paraId="2E9E9F35">
      <w:pPr>
        <w:pStyle w:val="2"/>
        <w:spacing w:line="248" w:lineRule="auto"/>
      </w:pPr>
    </w:p>
    <w:p w14:paraId="1E048D03">
      <w:pPr>
        <w:pStyle w:val="2"/>
        <w:spacing w:line="248" w:lineRule="auto"/>
      </w:pPr>
    </w:p>
    <w:p w14:paraId="37DA1DCF">
      <w:pPr>
        <w:pStyle w:val="2"/>
        <w:spacing w:line="249" w:lineRule="auto"/>
      </w:pPr>
    </w:p>
    <w:p w14:paraId="0AE61A20">
      <w:pPr>
        <w:pStyle w:val="2"/>
        <w:spacing w:line="249" w:lineRule="auto"/>
      </w:pPr>
    </w:p>
    <w:p w14:paraId="1FD13237">
      <w:pPr>
        <w:pStyle w:val="2"/>
        <w:spacing w:line="249" w:lineRule="auto"/>
      </w:pPr>
    </w:p>
    <w:p w14:paraId="2BBF63FB">
      <w:pPr>
        <w:pStyle w:val="2"/>
        <w:spacing w:line="249" w:lineRule="auto"/>
      </w:pPr>
    </w:p>
    <w:p w14:paraId="5B286AC2">
      <w:pPr>
        <w:pStyle w:val="2"/>
        <w:spacing w:line="249" w:lineRule="auto"/>
      </w:pPr>
    </w:p>
    <w:p w14:paraId="18C054B3">
      <w:pPr>
        <w:spacing w:before="114" w:line="224" w:lineRule="auto"/>
        <w:ind w:left="3651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z w:val="35"/>
          <w:szCs w:val="35"/>
        </w:rPr>
        <w:t>（参考文本）</w:t>
      </w:r>
    </w:p>
    <w:p w14:paraId="32B3FAAB">
      <w:pPr>
        <w:spacing w:line="224" w:lineRule="auto"/>
        <w:rPr>
          <w:rFonts w:ascii="宋体" w:hAnsi="宋体" w:eastAsia="宋体" w:cs="宋体"/>
          <w:sz w:val="35"/>
          <w:szCs w:val="35"/>
        </w:rPr>
        <w:sectPr>
          <w:headerReference r:id="rId5" w:type="default"/>
          <w:footerReference r:id="rId6" w:type="default"/>
          <w:pgSz w:w="11906" w:h="16839"/>
          <w:pgMar w:top="1297" w:right="1246" w:bottom="1166" w:left="1246" w:header="398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729233E9">
      <w:pPr>
        <w:pStyle w:val="2"/>
        <w:spacing w:line="414" w:lineRule="auto"/>
      </w:pPr>
    </w:p>
    <w:p w14:paraId="6E13F7A7">
      <w:pPr>
        <w:spacing w:before="176" w:line="219" w:lineRule="auto"/>
        <w:ind w:left="359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4"/>
          <w:sz w:val="28"/>
          <w:szCs w:val="28"/>
        </w:rPr>
        <w:t>合同范本（仅供参考）</w:t>
      </w:r>
    </w:p>
    <w:p w14:paraId="7A7E55DF">
      <w:pPr>
        <w:pStyle w:val="2"/>
        <w:spacing w:line="310" w:lineRule="auto"/>
      </w:pPr>
    </w:p>
    <w:p w14:paraId="62AA6E73">
      <w:pPr>
        <w:pStyle w:val="2"/>
        <w:spacing w:line="310" w:lineRule="auto"/>
      </w:pPr>
    </w:p>
    <w:p w14:paraId="1FE95EC3">
      <w:pPr>
        <w:tabs>
          <w:tab w:val="left" w:pos="2280"/>
        </w:tabs>
        <w:spacing w:before="78" w:line="353" w:lineRule="auto"/>
        <w:ind w:left="12" w:firstLine="46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3"/>
          <w:sz w:val="24"/>
          <w:szCs w:val="24"/>
        </w:rPr>
        <w:t>（以下简称甲方</w:t>
      </w:r>
      <w:r>
        <w:rPr>
          <w:rFonts w:ascii="宋体" w:hAnsi="宋体" w:eastAsia="宋体" w:cs="宋体"/>
          <w:spacing w:val="-16"/>
          <w:sz w:val="24"/>
          <w:szCs w:val="24"/>
        </w:rPr>
        <w:t>）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      </w:t>
      </w:r>
      <w:r>
        <w:rPr>
          <w:rFonts w:ascii="宋体" w:hAnsi="宋体" w:eastAsia="宋体" w:cs="宋体"/>
          <w:spacing w:val="-16"/>
          <w:sz w:val="24"/>
          <w:szCs w:val="24"/>
          <w:u w:val="single" w:color="auto"/>
        </w:rPr>
        <w:t>（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>项目名称）</w:t>
      </w:r>
      <w:r>
        <w:rPr>
          <w:rFonts w:ascii="宋体" w:hAnsi="宋体" w:eastAsia="宋体" w:cs="宋体"/>
          <w:spacing w:val="3"/>
          <w:sz w:val="24"/>
          <w:szCs w:val="24"/>
        </w:rPr>
        <w:t>采购，由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>华地众信工程项目管理有限公司</w:t>
      </w:r>
      <w:r>
        <w:rPr>
          <w:rFonts w:ascii="宋体" w:hAnsi="宋体" w:eastAsia="宋体" w:cs="宋体"/>
          <w:spacing w:val="-4"/>
          <w:sz w:val="24"/>
          <w:szCs w:val="24"/>
        </w:rPr>
        <w:t>组织采购，选定</w:t>
      </w:r>
      <w:r>
        <w:rPr>
          <w:rFonts w:ascii="宋体" w:hAnsi="宋体" w:eastAsia="宋体" w:cs="宋体"/>
          <w:spacing w:val="-11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5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(以下简称乙方）为该项目中标人。依据</w:t>
      </w:r>
      <w:r>
        <w:rPr>
          <w:rFonts w:ascii="宋体" w:hAnsi="宋体" w:eastAsia="宋体" w:cs="宋体"/>
          <w:spacing w:val="1"/>
          <w:sz w:val="24"/>
          <w:szCs w:val="24"/>
        </w:rPr>
        <w:t>《中华人民共和国民法典》和《中华人民共和国政府采购法》，经甲、乙双方共同协商，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按下述条款和条件签署本合同。</w:t>
      </w:r>
    </w:p>
    <w:p w14:paraId="5772F696">
      <w:pPr>
        <w:spacing w:before="35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一、合同内容</w:t>
      </w:r>
    </w:p>
    <w:p w14:paraId="77CDA8AA">
      <w:pPr>
        <w:spacing w:before="183" w:line="338" w:lineRule="auto"/>
        <w:ind w:left="11" w:right="51" w:firstLine="50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乙方负责按照合同确定的设备名称、规格型号、数量、产地、配置内容及技术标准组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织供货，按时运到甲方指定的交货地点；负责设备到货后的安</w:t>
      </w:r>
      <w:r>
        <w:rPr>
          <w:rFonts w:ascii="宋体" w:hAnsi="宋体" w:eastAsia="宋体" w:cs="宋体"/>
          <w:spacing w:val="-1"/>
          <w:sz w:val="24"/>
          <w:szCs w:val="24"/>
        </w:rPr>
        <w:t>装及系统调试；确保系统所</w:t>
      </w:r>
      <w:r>
        <w:rPr>
          <w:rFonts w:ascii="宋体" w:hAnsi="宋体" w:eastAsia="宋体" w:cs="宋体"/>
          <w:sz w:val="24"/>
          <w:szCs w:val="24"/>
        </w:rPr>
        <w:t xml:space="preserve"> 有设备各项指标达到要求；负责操作和管理人员的培训工作，</w:t>
      </w:r>
      <w:r>
        <w:rPr>
          <w:rFonts w:ascii="宋体" w:hAnsi="宋体" w:eastAsia="宋体" w:cs="宋体"/>
          <w:spacing w:val="-1"/>
          <w:sz w:val="24"/>
          <w:szCs w:val="24"/>
        </w:rPr>
        <w:t>保证甲方能够正常操作和维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护，同时乙方根据设备的使用特性做好售后服务。</w:t>
      </w:r>
    </w:p>
    <w:tbl>
      <w:tblPr>
        <w:tblStyle w:val="7"/>
        <w:tblW w:w="7977" w:type="dxa"/>
        <w:tblInd w:w="7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799"/>
        <w:gridCol w:w="1286"/>
        <w:gridCol w:w="1576"/>
        <w:gridCol w:w="1169"/>
        <w:gridCol w:w="1166"/>
        <w:gridCol w:w="1177"/>
      </w:tblGrid>
      <w:tr w14:paraId="0979DF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0C3061A4">
            <w:pPr>
              <w:spacing w:line="273" w:lineRule="auto"/>
              <w:rPr>
                <w:rFonts w:ascii="Arial"/>
                <w:sz w:val="21"/>
              </w:rPr>
            </w:pPr>
          </w:p>
          <w:p w14:paraId="02BE23D2">
            <w:pPr>
              <w:pStyle w:val="8"/>
              <w:spacing w:before="78" w:line="221" w:lineRule="auto"/>
              <w:ind w:left="166"/>
            </w:pPr>
            <w:r>
              <w:rPr>
                <w:b/>
                <w:bCs/>
                <w:spacing w:val="-7"/>
              </w:rPr>
              <w:t>序号</w:t>
            </w:r>
          </w:p>
        </w:tc>
        <w:tc>
          <w:tcPr>
            <w:tcW w:w="799" w:type="dxa"/>
            <w:vAlign w:val="top"/>
          </w:tcPr>
          <w:p w14:paraId="158D7F3B">
            <w:pPr>
              <w:spacing w:line="274" w:lineRule="auto"/>
              <w:rPr>
                <w:rFonts w:ascii="Arial"/>
                <w:sz w:val="21"/>
              </w:rPr>
            </w:pPr>
          </w:p>
          <w:p w14:paraId="5F33A6EC">
            <w:pPr>
              <w:pStyle w:val="8"/>
              <w:spacing w:before="78" w:line="221" w:lineRule="auto"/>
              <w:ind w:left="162"/>
            </w:pPr>
            <w:r>
              <w:rPr>
                <w:b/>
                <w:bCs/>
                <w:spacing w:val="-9"/>
              </w:rPr>
              <w:t>名称</w:t>
            </w:r>
          </w:p>
        </w:tc>
        <w:tc>
          <w:tcPr>
            <w:tcW w:w="1286" w:type="dxa"/>
            <w:vAlign w:val="top"/>
          </w:tcPr>
          <w:p w14:paraId="6646EB4B">
            <w:pPr>
              <w:spacing w:line="274" w:lineRule="auto"/>
              <w:rPr>
                <w:rFonts w:ascii="Arial"/>
                <w:sz w:val="21"/>
              </w:rPr>
            </w:pPr>
          </w:p>
          <w:p w14:paraId="02152A64">
            <w:pPr>
              <w:pStyle w:val="8"/>
              <w:spacing w:before="78" w:line="219" w:lineRule="auto"/>
              <w:ind w:left="122"/>
            </w:pPr>
            <w:r>
              <w:rPr>
                <w:b/>
                <w:bCs/>
                <w:spacing w:val="-8"/>
              </w:rPr>
              <w:t>品牌/型号</w:t>
            </w:r>
          </w:p>
        </w:tc>
        <w:tc>
          <w:tcPr>
            <w:tcW w:w="1576" w:type="dxa"/>
            <w:vAlign w:val="top"/>
          </w:tcPr>
          <w:p w14:paraId="293A6F6B">
            <w:pPr>
              <w:spacing w:line="274" w:lineRule="auto"/>
              <w:rPr>
                <w:rFonts w:ascii="Arial"/>
                <w:sz w:val="21"/>
              </w:rPr>
            </w:pPr>
          </w:p>
          <w:p w14:paraId="7CB631B2">
            <w:pPr>
              <w:pStyle w:val="8"/>
              <w:spacing w:before="78" w:line="219" w:lineRule="auto"/>
              <w:ind w:left="551"/>
            </w:pPr>
            <w:r>
              <w:rPr>
                <w:b/>
                <w:bCs/>
                <w:spacing w:val="-8"/>
              </w:rPr>
              <w:t>产地</w:t>
            </w:r>
          </w:p>
        </w:tc>
        <w:tc>
          <w:tcPr>
            <w:tcW w:w="1169" w:type="dxa"/>
            <w:vAlign w:val="top"/>
          </w:tcPr>
          <w:p w14:paraId="53FA6E2F">
            <w:pPr>
              <w:spacing w:line="274" w:lineRule="auto"/>
              <w:rPr>
                <w:rFonts w:ascii="Arial"/>
                <w:sz w:val="21"/>
              </w:rPr>
            </w:pPr>
          </w:p>
          <w:p w14:paraId="698EF469">
            <w:pPr>
              <w:pStyle w:val="8"/>
              <w:spacing w:before="78" w:line="219" w:lineRule="auto"/>
              <w:ind w:left="350"/>
            </w:pPr>
            <w:r>
              <w:rPr>
                <w:b/>
                <w:bCs/>
                <w:spacing w:val="-9"/>
              </w:rPr>
              <w:t>数量</w:t>
            </w:r>
          </w:p>
        </w:tc>
        <w:tc>
          <w:tcPr>
            <w:tcW w:w="1166" w:type="dxa"/>
            <w:vAlign w:val="top"/>
          </w:tcPr>
          <w:p w14:paraId="0587EC0D">
            <w:pPr>
              <w:pStyle w:val="8"/>
              <w:spacing w:before="119" w:line="314" w:lineRule="auto"/>
              <w:ind w:left="242" w:right="233" w:firstLine="110"/>
            </w:pPr>
            <w:r>
              <w:rPr>
                <w:b/>
                <w:bCs/>
                <w:spacing w:val="-9"/>
              </w:rPr>
              <w:t>单价</w:t>
            </w:r>
            <w:r>
              <w:t xml:space="preserve">  </w:t>
            </w:r>
            <w:r>
              <w:rPr>
                <w:b/>
                <w:bCs/>
                <w:spacing w:val="-16"/>
              </w:rPr>
              <w:t>（元）</w:t>
            </w:r>
          </w:p>
        </w:tc>
        <w:tc>
          <w:tcPr>
            <w:tcW w:w="1177" w:type="dxa"/>
            <w:vAlign w:val="top"/>
          </w:tcPr>
          <w:p w14:paraId="644BD369">
            <w:pPr>
              <w:pStyle w:val="8"/>
              <w:spacing w:before="119" w:line="314" w:lineRule="auto"/>
              <w:ind w:left="244" w:right="241" w:firstLine="115"/>
            </w:pPr>
            <w:r>
              <w:rPr>
                <w:b/>
                <w:bCs/>
                <w:spacing w:val="-11"/>
              </w:rPr>
              <w:t>总价</w:t>
            </w:r>
            <w:r>
              <w:t xml:space="preserve">  </w:t>
            </w:r>
            <w:r>
              <w:rPr>
                <w:b/>
                <w:bCs/>
                <w:spacing w:val="-16"/>
              </w:rPr>
              <w:t>（元）</w:t>
            </w:r>
          </w:p>
        </w:tc>
      </w:tr>
      <w:tr w14:paraId="69AD4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04" w:type="dxa"/>
            <w:tcBorders>
              <w:left w:val="single" w:color="000000" w:sz="2" w:space="0"/>
              <w:bottom w:val="single" w:color="000000" w:sz="2" w:space="0"/>
            </w:tcBorders>
            <w:vAlign w:val="top"/>
          </w:tcPr>
          <w:p w14:paraId="20A1ADC4">
            <w:pPr>
              <w:pStyle w:val="8"/>
              <w:spacing w:before="151" w:line="184" w:lineRule="auto"/>
              <w:ind w:left="364"/>
            </w:pPr>
            <w:r>
              <w:t>1</w:t>
            </w:r>
          </w:p>
        </w:tc>
        <w:tc>
          <w:tcPr>
            <w:tcW w:w="799" w:type="dxa"/>
            <w:tcBorders>
              <w:bottom w:val="single" w:color="000000" w:sz="2" w:space="0"/>
            </w:tcBorders>
            <w:vAlign w:val="top"/>
          </w:tcPr>
          <w:p w14:paraId="5EA2C37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bottom w:val="single" w:color="000000" w:sz="2" w:space="0"/>
            </w:tcBorders>
            <w:vAlign w:val="top"/>
          </w:tcPr>
          <w:p w14:paraId="18DE02C1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tcBorders>
              <w:bottom w:val="single" w:color="000000" w:sz="2" w:space="0"/>
            </w:tcBorders>
            <w:vAlign w:val="top"/>
          </w:tcPr>
          <w:p w14:paraId="5B5A9EDF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tcBorders>
              <w:bottom w:val="single" w:color="000000" w:sz="2" w:space="0"/>
            </w:tcBorders>
            <w:vAlign w:val="top"/>
          </w:tcPr>
          <w:p w14:paraId="5C88AFBE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tcBorders>
              <w:bottom w:val="single" w:color="000000" w:sz="2" w:space="0"/>
            </w:tcBorders>
            <w:vAlign w:val="top"/>
          </w:tcPr>
          <w:p w14:paraId="16168031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tcBorders>
              <w:bottom w:val="single" w:color="000000" w:sz="2" w:space="0"/>
            </w:tcBorders>
            <w:vAlign w:val="top"/>
          </w:tcPr>
          <w:p w14:paraId="7D815D92">
            <w:pPr>
              <w:rPr>
                <w:rFonts w:ascii="Arial"/>
                <w:sz w:val="21"/>
              </w:rPr>
            </w:pPr>
          </w:p>
        </w:tc>
      </w:tr>
      <w:tr w14:paraId="33E8E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804" w:type="dxa"/>
            <w:tcBorders>
              <w:top w:val="single" w:color="000000" w:sz="2" w:space="0"/>
              <w:left w:val="single" w:color="000000" w:sz="2" w:space="0"/>
            </w:tcBorders>
            <w:vAlign w:val="top"/>
          </w:tcPr>
          <w:p w14:paraId="6A7BBE99">
            <w:pPr>
              <w:pStyle w:val="8"/>
              <w:spacing w:before="155" w:line="183" w:lineRule="auto"/>
              <w:ind w:left="349"/>
            </w:pPr>
            <w:r>
              <w:t>2</w:t>
            </w:r>
          </w:p>
        </w:tc>
        <w:tc>
          <w:tcPr>
            <w:tcW w:w="799" w:type="dxa"/>
            <w:tcBorders>
              <w:top w:val="single" w:color="000000" w:sz="2" w:space="0"/>
            </w:tcBorders>
            <w:vAlign w:val="top"/>
          </w:tcPr>
          <w:p w14:paraId="0A1EE333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tcBorders>
              <w:top w:val="single" w:color="000000" w:sz="2" w:space="0"/>
            </w:tcBorders>
            <w:vAlign w:val="top"/>
          </w:tcPr>
          <w:p w14:paraId="1C2870E3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tcBorders>
              <w:top w:val="single" w:color="000000" w:sz="2" w:space="0"/>
            </w:tcBorders>
            <w:vAlign w:val="top"/>
          </w:tcPr>
          <w:p w14:paraId="5FB324E9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tcBorders>
              <w:top w:val="single" w:color="000000" w:sz="2" w:space="0"/>
            </w:tcBorders>
            <w:vAlign w:val="top"/>
          </w:tcPr>
          <w:p w14:paraId="66CD121C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tcBorders>
              <w:top w:val="single" w:color="000000" w:sz="2" w:space="0"/>
            </w:tcBorders>
            <w:vAlign w:val="top"/>
          </w:tcPr>
          <w:p w14:paraId="2952B9BE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tcBorders>
              <w:top w:val="single" w:color="000000" w:sz="2" w:space="0"/>
            </w:tcBorders>
            <w:vAlign w:val="top"/>
          </w:tcPr>
          <w:p w14:paraId="34A45170">
            <w:pPr>
              <w:rPr>
                <w:rFonts w:ascii="Arial"/>
                <w:sz w:val="21"/>
              </w:rPr>
            </w:pPr>
          </w:p>
        </w:tc>
      </w:tr>
      <w:tr w14:paraId="2F048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02DE8FE">
            <w:pPr>
              <w:pStyle w:val="8"/>
              <w:spacing w:before="153" w:line="183" w:lineRule="auto"/>
              <w:ind w:left="351"/>
            </w:pPr>
            <w:r>
              <w:t>3</w:t>
            </w:r>
          </w:p>
        </w:tc>
        <w:tc>
          <w:tcPr>
            <w:tcW w:w="799" w:type="dxa"/>
            <w:vAlign w:val="top"/>
          </w:tcPr>
          <w:p w14:paraId="39CD969D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6C717965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3615484A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0A698C65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05355A30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251ABCEC">
            <w:pPr>
              <w:rPr>
                <w:rFonts w:ascii="Arial"/>
                <w:sz w:val="21"/>
              </w:rPr>
            </w:pPr>
          </w:p>
        </w:tc>
      </w:tr>
      <w:tr w14:paraId="01903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BFBBD77">
            <w:pPr>
              <w:pStyle w:val="8"/>
              <w:spacing w:before="153" w:line="183" w:lineRule="auto"/>
              <w:ind w:left="346"/>
            </w:pPr>
            <w:r>
              <w:t>4</w:t>
            </w:r>
          </w:p>
        </w:tc>
        <w:tc>
          <w:tcPr>
            <w:tcW w:w="799" w:type="dxa"/>
            <w:vAlign w:val="top"/>
          </w:tcPr>
          <w:p w14:paraId="24911E1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329D8119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25A215C4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7F87C2A8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46214959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82B9DA4">
            <w:pPr>
              <w:rPr>
                <w:rFonts w:ascii="Arial"/>
                <w:sz w:val="21"/>
              </w:rPr>
            </w:pPr>
          </w:p>
        </w:tc>
      </w:tr>
      <w:tr w14:paraId="6DF42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76ED67B1">
            <w:pPr>
              <w:pStyle w:val="8"/>
              <w:spacing w:before="157" w:line="182" w:lineRule="auto"/>
              <w:ind w:left="351"/>
            </w:pPr>
            <w:r>
              <w:t>5</w:t>
            </w:r>
          </w:p>
        </w:tc>
        <w:tc>
          <w:tcPr>
            <w:tcW w:w="799" w:type="dxa"/>
            <w:vAlign w:val="top"/>
          </w:tcPr>
          <w:p w14:paraId="7C4A9AD1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0FD3DCD0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69BE65D2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1186F4E9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082DC720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09F7FD7">
            <w:pPr>
              <w:rPr>
                <w:rFonts w:ascii="Arial"/>
                <w:sz w:val="21"/>
              </w:rPr>
            </w:pPr>
          </w:p>
        </w:tc>
      </w:tr>
      <w:tr w14:paraId="6E462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04" w:type="dxa"/>
            <w:tcBorders>
              <w:left w:val="single" w:color="000000" w:sz="2" w:space="0"/>
            </w:tcBorders>
            <w:vAlign w:val="top"/>
          </w:tcPr>
          <w:p w14:paraId="1F91FC8E">
            <w:pPr>
              <w:pStyle w:val="8"/>
              <w:spacing w:before="295" w:line="99" w:lineRule="exact"/>
              <w:ind w:left="233"/>
            </w:pPr>
            <w:r>
              <w:rPr>
                <w:position w:val="1"/>
              </w:rPr>
              <w:t>...</w:t>
            </w:r>
          </w:p>
        </w:tc>
        <w:tc>
          <w:tcPr>
            <w:tcW w:w="799" w:type="dxa"/>
            <w:vAlign w:val="top"/>
          </w:tcPr>
          <w:p w14:paraId="46370BEC">
            <w:pPr>
              <w:rPr>
                <w:rFonts w:ascii="Arial"/>
                <w:sz w:val="21"/>
              </w:rPr>
            </w:pPr>
          </w:p>
        </w:tc>
        <w:tc>
          <w:tcPr>
            <w:tcW w:w="1286" w:type="dxa"/>
            <w:vAlign w:val="top"/>
          </w:tcPr>
          <w:p w14:paraId="4914DD16">
            <w:pPr>
              <w:rPr>
                <w:rFonts w:ascii="Arial"/>
                <w:sz w:val="21"/>
              </w:rPr>
            </w:pPr>
          </w:p>
        </w:tc>
        <w:tc>
          <w:tcPr>
            <w:tcW w:w="1576" w:type="dxa"/>
            <w:vAlign w:val="top"/>
          </w:tcPr>
          <w:p w14:paraId="79052F97">
            <w:pPr>
              <w:rPr>
                <w:rFonts w:ascii="Arial"/>
                <w:sz w:val="21"/>
              </w:rPr>
            </w:pPr>
          </w:p>
        </w:tc>
        <w:tc>
          <w:tcPr>
            <w:tcW w:w="1169" w:type="dxa"/>
            <w:vAlign w:val="top"/>
          </w:tcPr>
          <w:p w14:paraId="1A48487C">
            <w:pPr>
              <w:rPr>
                <w:rFonts w:ascii="Arial"/>
                <w:sz w:val="21"/>
              </w:rPr>
            </w:pPr>
          </w:p>
        </w:tc>
        <w:tc>
          <w:tcPr>
            <w:tcW w:w="1166" w:type="dxa"/>
            <w:vAlign w:val="top"/>
          </w:tcPr>
          <w:p w14:paraId="7D9FED28">
            <w:pPr>
              <w:rPr>
                <w:rFonts w:ascii="Arial"/>
                <w:sz w:val="21"/>
              </w:rPr>
            </w:pPr>
          </w:p>
        </w:tc>
        <w:tc>
          <w:tcPr>
            <w:tcW w:w="1177" w:type="dxa"/>
            <w:vAlign w:val="top"/>
          </w:tcPr>
          <w:p w14:paraId="061DE65F">
            <w:pPr>
              <w:rPr>
                <w:rFonts w:ascii="Arial"/>
                <w:sz w:val="21"/>
              </w:rPr>
            </w:pPr>
          </w:p>
        </w:tc>
      </w:tr>
      <w:tr w14:paraId="6BA1B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77" w:type="dxa"/>
            <w:gridSpan w:val="7"/>
            <w:vAlign w:val="top"/>
          </w:tcPr>
          <w:p w14:paraId="074B396C">
            <w:pPr>
              <w:pStyle w:val="8"/>
              <w:spacing w:before="119" w:line="343" w:lineRule="exact"/>
              <w:ind w:left="3767"/>
            </w:pPr>
            <w:r>
              <w:rPr>
                <w:spacing w:val="-13"/>
                <w:position w:val="2"/>
              </w:rPr>
              <w:t>……</w:t>
            </w:r>
          </w:p>
        </w:tc>
      </w:tr>
      <w:tr w14:paraId="4D9EB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77" w:type="dxa"/>
            <w:gridSpan w:val="7"/>
            <w:vAlign w:val="top"/>
          </w:tcPr>
          <w:p w14:paraId="30873D4E">
            <w:pPr>
              <w:pStyle w:val="8"/>
              <w:spacing w:before="119" w:line="220" w:lineRule="auto"/>
              <w:ind w:left="16"/>
            </w:pPr>
            <w:r>
              <w:rPr>
                <w:spacing w:val="-5"/>
              </w:rPr>
              <w:t>大写：</w:t>
            </w:r>
            <w:r>
              <w:t xml:space="preserve">                           </w:t>
            </w:r>
            <w:r>
              <w:rPr>
                <w:spacing w:val="-5"/>
              </w:rPr>
              <w:t>小写：</w:t>
            </w:r>
          </w:p>
        </w:tc>
      </w:tr>
      <w:tr w14:paraId="7800DF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977" w:type="dxa"/>
            <w:gridSpan w:val="7"/>
            <w:vAlign w:val="top"/>
          </w:tcPr>
          <w:p w14:paraId="66F70094">
            <w:pPr>
              <w:pStyle w:val="8"/>
              <w:spacing w:before="122" w:line="219" w:lineRule="auto"/>
              <w:ind w:left="14"/>
            </w:pPr>
            <w:r>
              <w:rPr>
                <w:spacing w:val="-11"/>
              </w:rPr>
              <w:t>保留小数点后两位。</w:t>
            </w:r>
          </w:p>
        </w:tc>
      </w:tr>
    </w:tbl>
    <w:p w14:paraId="53D69194">
      <w:pPr>
        <w:pStyle w:val="2"/>
        <w:spacing w:line="466" w:lineRule="auto"/>
      </w:pPr>
    </w:p>
    <w:p w14:paraId="259E1458">
      <w:pPr>
        <w:spacing w:before="79" w:line="218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二、合同价格</w:t>
      </w:r>
    </w:p>
    <w:p w14:paraId="7D7DDA4A">
      <w:pPr>
        <w:spacing w:before="183" w:line="347" w:lineRule="auto"/>
        <w:ind w:left="13" w:right="3651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合同总价：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人民币       元整</w:t>
      </w:r>
      <w:r>
        <w:rPr>
          <w:rFonts w:ascii="宋体" w:hAnsi="宋体" w:eastAsia="宋体" w:cs="宋体"/>
          <w:spacing w:val="21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(¥</w:t>
      </w:r>
      <w:r>
        <w:rPr>
          <w:rFonts w:ascii="宋体" w:hAnsi="宋体" w:eastAsia="宋体" w:cs="宋体"/>
          <w:spacing w:val="1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元） 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说明：</w:t>
      </w:r>
    </w:p>
    <w:p w14:paraId="55888778">
      <w:pPr>
        <w:spacing w:before="34" w:line="290" w:lineRule="auto"/>
        <w:ind w:left="13" w:right="51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（一）合同总价包含设备费、设备到达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交货地点的运杂费（含保险）、设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备安装调试费、设备强制计量检测费及应缴纳的全部税款等费用。</w:t>
      </w:r>
    </w:p>
    <w:p w14:paraId="5DE1E7E5">
      <w:pPr>
        <w:spacing w:before="183" w:line="218" w:lineRule="auto"/>
        <w:ind w:left="5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（二）合同总价一次包死，不受市场价格变化的影响，并作为结算的唯一依据。</w:t>
      </w:r>
    </w:p>
    <w:p w14:paraId="5B9CB40D">
      <w:pPr>
        <w:spacing w:before="185" w:line="219" w:lineRule="auto"/>
        <w:ind w:left="1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三、合同款项支付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  <w:lang w:eastAsia="zh-CN"/>
        </w:rPr>
        <w:t>（以甲乙双方签订合同时，具体情况为准）</w:t>
      </w:r>
    </w:p>
    <w:p w14:paraId="4B6B5DFA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400" w:right="1246" w:bottom="1166" w:left="1246" w:header="0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45A5D6BA">
      <w:pPr>
        <w:spacing w:before="11" w:line="219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支付方式：银行转账</w:t>
      </w:r>
    </w:p>
    <w:p w14:paraId="1F7FC62B">
      <w:pPr>
        <w:spacing w:before="11" w:line="219" w:lineRule="auto"/>
        <w:ind w:left="491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</w:rPr>
        <w:t>结算要求：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合同签订后 ，达到付款条件起3日内，支付合同总金额的 30.00%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 xml:space="preserve">验收合格后 ，达到付款条件起 3 日内，支付合同总金额的 70.00%。 </w:t>
      </w:r>
      <w:r>
        <w:rPr>
          <w:rFonts w:ascii="宋体" w:hAnsi="宋体" w:eastAsia="宋体" w:cs="宋体"/>
          <w:spacing w:val="-2"/>
          <w:sz w:val="24"/>
          <w:szCs w:val="24"/>
        </w:rPr>
        <w:t>开具合同全款发票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6847D6B8">
      <w:pPr>
        <w:spacing w:before="33" w:line="219" w:lineRule="auto"/>
        <w:ind w:left="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四、包装、运输、安装要求及人员培训</w:t>
      </w:r>
    </w:p>
    <w:p w14:paraId="658F712A">
      <w:pPr>
        <w:spacing w:before="183" w:line="313" w:lineRule="auto"/>
        <w:ind w:left="9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1、包装：应采取防潮、防晒、防腐蚀、防震动及防止其它损坏的必要措施。防雨、防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潮、各种符号、标识清楚，中标单位应承担由于其包装或防护措施不妥而引起的货物锈蚀、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损坏和丢失等任何损失造成的责任或费用。</w:t>
      </w:r>
    </w:p>
    <w:p w14:paraId="2C194AFE">
      <w:pPr>
        <w:spacing w:before="184" w:line="313" w:lineRule="auto"/>
        <w:ind w:left="10" w:right="69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2、运输：选择运输风险小、运费低、距离短的运输路线。运杂费一次包死在总价内，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包括生产厂到施工现场所需的装卸、运输（含保险费）、现场保</w:t>
      </w:r>
      <w:r>
        <w:rPr>
          <w:rFonts w:ascii="宋体" w:hAnsi="宋体" w:eastAsia="宋体" w:cs="宋体"/>
          <w:spacing w:val="-1"/>
          <w:sz w:val="24"/>
          <w:szCs w:val="24"/>
        </w:rPr>
        <w:t>管费、二次倒运费、吊装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费等费用。</w:t>
      </w:r>
    </w:p>
    <w:p w14:paraId="65867439">
      <w:pPr>
        <w:spacing w:before="182" w:line="218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3、安装：中标单位负责所有设备的安装工作，所有费用一次包死在总价内。</w:t>
      </w:r>
    </w:p>
    <w:p w14:paraId="01A65AA6">
      <w:pPr>
        <w:spacing w:before="183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>、服务承诺：投标人应遵照国家规范规定的</w:t>
      </w:r>
      <w:r>
        <w:rPr>
          <w:rFonts w:ascii="宋体" w:hAnsi="宋体" w:eastAsia="宋体" w:cs="宋体"/>
          <w:spacing w:val="-1"/>
          <w:sz w:val="24"/>
          <w:szCs w:val="24"/>
        </w:rPr>
        <w:t>技术服务内容及要求作出明确承诺。</w:t>
      </w:r>
    </w:p>
    <w:p w14:paraId="73215C6D">
      <w:pPr>
        <w:spacing w:before="182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五、交货及验收要求</w:t>
      </w:r>
    </w:p>
    <w:p w14:paraId="2DAC24D7">
      <w:pPr>
        <w:spacing w:before="184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交货期：合同签订之日起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30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个日历日内供货安装完毕。</w:t>
      </w:r>
    </w:p>
    <w:p w14:paraId="2B8E2355">
      <w:pPr>
        <w:spacing w:before="184" w:line="219" w:lineRule="auto"/>
        <w:ind w:left="495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</w:rPr>
        <w:t>安装地点：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采购人指定地点。</w:t>
      </w:r>
    </w:p>
    <w:p w14:paraId="10CDFD61">
      <w:pPr>
        <w:spacing w:before="183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安装标准：符合国家有关安全技术标准</w:t>
      </w:r>
    </w:p>
    <w:p w14:paraId="34D4BD2B">
      <w:pPr>
        <w:spacing w:before="184" w:line="346" w:lineRule="auto"/>
        <w:ind w:left="493" w:right="3650" w:firstLine="14"/>
        <w:rPr>
          <w:rFonts w:ascii="宋体" w:hAnsi="宋体" w:eastAsia="宋体" w:cs="宋体"/>
          <w:spacing w:val="1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1、中标单位对最终的产品质量及安全负完全责任。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</w:p>
    <w:p w14:paraId="3BE4725B">
      <w:pPr>
        <w:spacing w:before="184" w:line="346" w:lineRule="auto"/>
        <w:ind w:left="493" w:right="3650" w:firstLine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2、验收依据：</w:t>
      </w:r>
    </w:p>
    <w:p w14:paraId="750BA5F8">
      <w:pPr>
        <w:spacing w:before="36" w:line="221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2.1、合同；</w:t>
      </w:r>
    </w:p>
    <w:p w14:paraId="4AEFFDF6">
      <w:pPr>
        <w:spacing w:before="179" w:line="347" w:lineRule="auto"/>
        <w:ind w:left="493" w:right="53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2.2、国家有关的验收标准及规范；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2.3、生产厂家的生产标准；</w:t>
      </w:r>
    </w:p>
    <w:p w14:paraId="3398A943">
      <w:pPr>
        <w:spacing w:before="35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2.4、招标文件、投标文件；</w:t>
      </w:r>
    </w:p>
    <w:p w14:paraId="34024BE1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9" w:type="default"/>
          <w:footerReference r:id="rId10" w:type="default"/>
          <w:pgSz w:w="11906" w:h="16839"/>
          <w:pgMar w:top="1297" w:right="1167" w:bottom="1166" w:left="1246" w:header="398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6735524F">
      <w:pPr>
        <w:spacing w:before="136" w:line="220" w:lineRule="auto"/>
        <w:ind w:left="12"/>
        <w:rPr>
          <w:rFonts w:ascii="宋体" w:hAnsi="宋体" w:eastAsia="宋体" w:cs="宋体"/>
          <w:sz w:val="24"/>
          <w:szCs w:val="24"/>
        </w:rPr>
      </w:pPr>
      <w:bookmarkStart w:id="0" w:name="bookmark9"/>
      <w:bookmarkEnd w:id="0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六、质量保证</w:t>
      </w:r>
    </w:p>
    <w:p w14:paraId="27174115">
      <w:pPr>
        <w:spacing w:before="181" w:line="290" w:lineRule="auto"/>
        <w:ind w:left="11" w:right="80" w:firstLine="496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pacing w:val="-3"/>
          <w:sz w:val="24"/>
          <w:szCs w:val="24"/>
        </w:rPr>
        <w:t>1、产品必须为原装、全新产品，渠道合法，质保期为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color w:val="auto"/>
          <w:spacing w:val="-3"/>
          <w:sz w:val="24"/>
          <w:szCs w:val="24"/>
        </w:rPr>
        <w:t>年中标单位承诺的质保时间超</w:t>
      </w:r>
      <w:r>
        <w:rPr>
          <w:rFonts w:ascii="宋体" w:hAnsi="宋体" w:eastAsia="宋体" w:cs="宋体"/>
          <w:color w:val="auto"/>
          <w:spacing w:val="-1"/>
          <w:sz w:val="24"/>
          <w:szCs w:val="24"/>
        </w:rPr>
        <w:t>过招标文件要求的，按其承诺时间质保。</w:t>
      </w:r>
    </w:p>
    <w:p w14:paraId="29F8581C">
      <w:pPr>
        <w:spacing w:before="183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2、中标单位承诺的质保期起始时间为终验合格之日。</w:t>
      </w:r>
    </w:p>
    <w:p w14:paraId="6F8E55AC">
      <w:pPr>
        <w:spacing w:before="183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3、中标单位应遵照国家规范规定的设备质量标准及要求作出明确承诺。</w:t>
      </w:r>
    </w:p>
    <w:p w14:paraId="39820726">
      <w:pPr>
        <w:spacing w:before="183" w:line="21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4、在质量保证期内，中标单位应具有良好、</w:t>
      </w:r>
      <w:r>
        <w:rPr>
          <w:rFonts w:ascii="宋体" w:hAnsi="宋体" w:eastAsia="宋体" w:cs="宋体"/>
          <w:spacing w:val="-1"/>
          <w:sz w:val="24"/>
          <w:szCs w:val="24"/>
        </w:rPr>
        <w:t>迅速的售后服务能力。</w:t>
      </w:r>
    </w:p>
    <w:p w14:paraId="35C4A1C1">
      <w:pPr>
        <w:spacing w:before="184" w:line="219" w:lineRule="auto"/>
        <w:ind w:left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七、技术服务</w:t>
      </w:r>
    </w:p>
    <w:p w14:paraId="2ABFEB18">
      <w:pPr>
        <w:spacing w:before="183" w:line="219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供货时提供以下技术资料</w:t>
      </w:r>
    </w:p>
    <w:p w14:paraId="4CC5ED5C">
      <w:pPr>
        <w:spacing w:before="184" w:line="220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1、装箱清单；</w:t>
      </w:r>
    </w:p>
    <w:p w14:paraId="31C0E113">
      <w:pPr>
        <w:spacing w:before="182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2、产品合格证；</w:t>
      </w:r>
    </w:p>
    <w:p w14:paraId="6CE5232A">
      <w:pPr>
        <w:spacing w:before="182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3、其他资料按照技术参数要求提供；</w:t>
      </w:r>
    </w:p>
    <w:p w14:paraId="5C009A2D">
      <w:pPr>
        <w:spacing w:before="184" w:line="21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4、提供中文操作手册、维修手册、使用说明书；</w:t>
      </w:r>
    </w:p>
    <w:p w14:paraId="74C32264">
      <w:pPr>
        <w:spacing w:before="184" w:line="219" w:lineRule="auto"/>
        <w:ind w:left="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八、售后服务</w:t>
      </w:r>
    </w:p>
    <w:p w14:paraId="03123096">
      <w:pPr>
        <w:spacing w:before="182" w:line="290" w:lineRule="auto"/>
        <w:ind w:left="29" w:right="80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1、设备验收合格后，所有设备（包含附件、低值易耗品）原厂免</w:t>
      </w:r>
      <w:r>
        <w:rPr>
          <w:rFonts w:ascii="宋体" w:hAnsi="宋体" w:eastAsia="宋体" w:cs="宋体"/>
          <w:spacing w:val="-4"/>
          <w:sz w:val="24"/>
          <w:szCs w:val="24"/>
        </w:rPr>
        <w:t>费</w:t>
      </w:r>
      <w:r>
        <w:rPr>
          <w:rFonts w:ascii="宋体" w:hAnsi="宋体" w:eastAsia="宋体" w:cs="宋体"/>
          <w:spacing w:val="-3"/>
          <w:sz w:val="24"/>
          <w:szCs w:val="24"/>
        </w:rPr>
        <w:t>保修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年（保修期</w:t>
      </w:r>
      <w:r>
        <w:rPr>
          <w:rFonts w:ascii="宋体" w:hAnsi="宋体" w:eastAsia="宋体" w:cs="宋体"/>
          <w:spacing w:val="-1"/>
          <w:sz w:val="24"/>
          <w:szCs w:val="24"/>
        </w:rPr>
        <w:t>间由生产厂家工程师负责维修，所更换配件为原厂全新配件</w:t>
      </w:r>
      <w:r>
        <w:rPr>
          <w:rFonts w:ascii="宋体" w:hAnsi="宋体" w:eastAsia="宋体" w:cs="宋体"/>
          <w:spacing w:val="-2"/>
          <w:sz w:val="24"/>
          <w:szCs w:val="24"/>
        </w:rPr>
        <w:t>）。</w:t>
      </w:r>
    </w:p>
    <w:p w14:paraId="4E580C6B">
      <w:pPr>
        <w:spacing w:before="182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2、保修期开机率≥98</w:t>
      </w:r>
      <w:r>
        <w:rPr>
          <w:rFonts w:ascii="宋体" w:hAnsi="宋体" w:eastAsia="宋体" w:cs="宋体"/>
          <w:spacing w:val="-19"/>
          <w:sz w:val="24"/>
          <w:szCs w:val="24"/>
        </w:rPr>
        <w:t>％，</w:t>
      </w:r>
      <w:r>
        <w:rPr>
          <w:rFonts w:ascii="宋体" w:hAnsi="宋体" w:eastAsia="宋体" w:cs="宋体"/>
          <w:spacing w:val="-2"/>
          <w:sz w:val="24"/>
          <w:szCs w:val="24"/>
        </w:rPr>
        <w:t>停机每延长一天，保修期顺延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5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个工作日。</w:t>
      </w:r>
    </w:p>
    <w:p w14:paraId="6AF5A3F6">
      <w:pPr>
        <w:spacing w:before="185" w:line="289" w:lineRule="auto"/>
        <w:ind w:right="455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九、供货配置</w:t>
      </w:r>
      <w:r>
        <w:rPr>
          <w:rFonts w:ascii="宋体" w:hAnsi="宋体" w:eastAsia="宋体" w:cs="宋体"/>
          <w:b/>
          <w:bCs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pacing w:val="-15"/>
          <w:sz w:val="24"/>
          <w:szCs w:val="24"/>
        </w:rPr>
        <w:t>（</w:t>
      </w:r>
      <w:r>
        <w:rPr>
          <w:rFonts w:ascii="宋体" w:hAnsi="宋体" w:eastAsia="宋体" w:cs="宋体"/>
          <w:sz w:val="24"/>
          <w:szCs w:val="24"/>
        </w:rPr>
        <w:t>主机及全套附件）</w:t>
      </w:r>
    </w:p>
    <w:p w14:paraId="1AD7AA7F">
      <w:pPr>
        <w:spacing w:before="183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详细列出供货配置清单（见投标文件）</w:t>
      </w:r>
    </w:p>
    <w:p w14:paraId="16B4EBD5">
      <w:pPr>
        <w:spacing w:before="184" w:line="218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详细列出选配件配购价、列出消耗品供货价。</w:t>
      </w:r>
    </w:p>
    <w:p w14:paraId="7D2B19AC">
      <w:pPr>
        <w:spacing w:before="184" w:line="220" w:lineRule="auto"/>
        <w:ind w:left="11"/>
        <w:rPr>
          <w:rFonts w:ascii="宋体" w:hAnsi="宋体" w:eastAsia="宋体" w:cs="宋体"/>
          <w:sz w:val="24"/>
          <w:szCs w:val="24"/>
        </w:rPr>
      </w:pPr>
      <w:bookmarkStart w:id="1" w:name="_GoBack"/>
      <w:bookmarkEnd w:id="1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十、合同实施</w:t>
      </w:r>
    </w:p>
    <w:p w14:paraId="4D45CC66">
      <w:pPr>
        <w:spacing w:before="181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1、中标单位应在合同签订后安排人员与使用单位就送货、安装等工作进行安排、部署。</w:t>
      </w:r>
    </w:p>
    <w:p w14:paraId="5A2A9DE0">
      <w:pPr>
        <w:spacing w:before="183" w:line="290" w:lineRule="auto"/>
        <w:ind w:left="11" w:right="80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2、若因中标单位原因未能在供货期内完成合同规定的义务，由此对采</w:t>
      </w:r>
      <w:r>
        <w:rPr>
          <w:rFonts w:ascii="宋体" w:hAnsi="宋体" w:eastAsia="宋体" w:cs="宋体"/>
          <w:spacing w:val="-3"/>
          <w:sz w:val="24"/>
          <w:szCs w:val="24"/>
        </w:rPr>
        <w:t>购人造成的延误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和一切损失，由中标单位人承担和赔偿。</w:t>
      </w:r>
    </w:p>
    <w:p w14:paraId="4E61FF3B">
      <w:pPr>
        <w:spacing w:line="290" w:lineRule="auto"/>
        <w:rPr>
          <w:rFonts w:ascii="宋体" w:hAnsi="宋体" w:eastAsia="宋体" w:cs="宋体"/>
          <w:sz w:val="24"/>
          <w:szCs w:val="24"/>
        </w:rPr>
        <w:sectPr>
          <w:footerReference r:id="rId11" w:type="default"/>
          <w:pgSz w:w="11906" w:h="16839"/>
          <w:pgMar w:top="1297" w:right="1167" w:bottom="1166" w:left="1246" w:header="398" w:footer="95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</w:p>
    <w:p w14:paraId="14A10ED9">
      <w:pPr>
        <w:spacing w:before="136" w:line="290" w:lineRule="auto"/>
        <w:ind w:left="15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3、由卖方负责设备的搬运、安装、连接和调试以及废弃物的处</w:t>
      </w:r>
      <w:r>
        <w:rPr>
          <w:rFonts w:ascii="宋体" w:hAnsi="宋体" w:eastAsia="宋体" w:cs="宋体"/>
          <w:spacing w:val="-7"/>
          <w:sz w:val="24"/>
          <w:szCs w:val="24"/>
        </w:rPr>
        <w:t>理。卖方对设备的搬运、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安装、连接和调试以及废弃物的处理应符合我国有关规范和技术标准。</w:t>
      </w:r>
    </w:p>
    <w:p w14:paraId="299E7ABF">
      <w:pPr>
        <w:spacing w:before="182" w:line="21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4、所有供应设备如需接入医院信息系统，供应商负责与信</w:t>
      </w:r>
      <w:r>
        <w:rPr>
          <w:rFonts w:ascii="宋体" w:hAnsi="宋体" w:eastAsia="宋体" w:cs="宋体"/>
          <w:spacing w:val="-1"/>
          <w:sz w:val="24"/>
          <w:szCs w:val="24"/>
        </w:rPr>
        <w:t>息系统接口所需费用。</w:t>
      </w:r>
    </w:p>
    <w:p w14:paraId="434D4D39">
      <w:pPr>
        <w:spacing w:before="184" w:line="219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十一、违约责任</w:t>
      </w:r>
    </w:p>
    <w:p w14:paraId="3F5D65AE">
      <w:pPr>
        <w:spacing w:before="183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1、按《中华人民共和国民法典》中的相关</w:t>
      </w:r>
      <w:r>
        <w:rPr>
          <w:rFonts w:ascii="宋体" w:hAnsi="宋体" w:eastAsia="宋体" w:cs="宋体"/>
          <w:spacing w:val="-2"/>
          <w:sz w:val="24"/>
          <w:szCs w:val="24"/>
        </w:rPr>
        <w:t>条款执行。</w:t>
      </w:r>
    </w:p>
    <w:p w14:paraId="65693F32">
      <w:pPr>
        <w:spacing w:before="183" w:line="289" w:lineRule="auto"/>
        <w:ind w:left="10" w:right="80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2、未按合同要求提供产品或产品质量不能满足技术要求，采购人有权</w:t>
      </w:r>
      <w:r>
        <w:rPr>
          <w:rFonts w:ascii="宋体" w:hAnsi="宋体" w:eastAsia="宋体" w:cs="宋体"/>
          <w:spacing w:val="-3"/>
          <w:sz w:val="24"/>
          <w:szCs w:val="24"/>
        </w:rPr>
        <w:t>终止合同，并对</w:t>
      </w:r>
      <w:r>
        <w:rPr>
          <w:rFonts w:ascii="宋体" w:hAnsi="宋体" w:eastAsia="宋体" w:cs="宋体"/>
          <w:sz w:val="24"/>
          <w:szCs w:val="24"/>
        </w:rPr>
        <w:t xml:space="preserve"> 供方违约行为进行追究，同时按《中华人民共和国政府采购法</w:t>
      </w:r>
      <w:r>
        <w:rPr>
          <w:rFonts w:ascii="宋体" w:hAnsi="宋体" w:eastAsia="宋体" w:cs="宋体"/>
          <w:spacing w:val="-1"/>
          <w:sz w:val="24"/>
          <w:szCs w:val="24"/>
        </w:rPr>
        <w:t>》的有关规定进行处罚。</w:t>
      </w:r>
    </w:p>
    <w:p w14:paraId="5BB74961">
      <w:pPr>
        <w:spacing w:before="183" w:line="220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十二、其他事项</w:t>
      </w:r>
    </w:p>
    <w:p w14:paraId="0454FFB3">
      <w:pPr>
        <w:spacing w:before="183" w:line="289" w:lineRule="auto"/>
        <w:ind w:left="9" w:right="130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（一）在合同的履行期间以及履行期后，监管部门可以随时检查项目的执行情况，对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采购标准、采购内容进行调查核实，并对发现的问题进行处理。</w:t>
      </w:r>
    </w:p>
    <w:p w14:paraId="3B5485BC">
      <w:pPr>
        <w:spacing w:before="184" w:line="289" w:lineRule="auto"/>
        <w:ind w:left="133" w:right="80" w:firstLine="36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（二）本合同一式六份，甲方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</w:t>
      </w:r>
      <w:r>
        <w:rPr>
          <w:rFonts w:ascii="宋体" w:hAnsi="宋体" w:eastAsia="宋体" w:cs="宋体"/>
          <w:spacing w:val="-7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四份，乙方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10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一份，采购代理机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构一份，甲乙双方签字盖章后生效。</w:t>
      </w:r>
    </w:p>
    <w:p w14:paraId="135BE726">
      <w:pPr>
        <w:spacing w:before="183" w:line="290" w:lineRule="auto"/>
        <w:ind w:left="12" w:right="130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（三）招标文件、投标文件也是合同的组成部分，合同中未约定的以招标文件、投标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文件为准。</w:t>
      </w:r>
    </w:p>
    <w:p w14:paraId="748F892A">
      <w:pPr>
        <w:spacing w:before="184" w:line="221" w:lineRule="auto"/>
        <w:ind w:left="6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合同签订地点：</w:t>
      </w:r>
    </w:p>
    <w:p w14:paraId="7FF37A20">
      <w:pPr>
        <w:spacing w:before="180" w:line="219" w:lineRule="auto"/>
        <w:ind w:left="6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合同签订时间：    年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"/>
          <w:sz w:val="24"/>
          <w:szCs w:val="24"/>
        </w:rPr>
        <w:t>日</w:t>
      </w:r>
    </w:p>
    <w:p w14:paraId="44F3CE56">
      <w:pPr>
        <w:pStyle w:val="2"/>
        <w:spacing w:line="258" w:lineRule="auto"/>
      </w:pPr>
    </w:p>
    <w:p w14:paraId="2837A8E8">
      <w:pPr>
        <w:pStyle w:val="2"/>
        <w:spacing w:line="258" w:lineRule="auto"/>
      </w:pPr>
    </w:p>
    <w:p w14:paraId="0C1CFAF3">
      <w:pPr>
        <w:pStyle w:val="2"/>
        <w:spacing w:line="259" w:lineRule="auto"/>
      </w:pPr>
    </w:p>
    <w:p w14:paraId="74BA4A1D">
      <w:pPr>
        <w:pStyle w:val="2"/>
        <w:spacing w:line="259" w:lineRule="auto"/>
      </w:pPr>
    </w:p>
    <w:p w14:paraId="1F634BB5">
      <w:pPr>
        <w:spacing w:before="78" w:line="221" w:lineRule="auto"/>
        <w:ind w:left="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1"/>
          <w:sz w:val="24"/>
          <w:szCs w:val="24"/>
        </w:rPr>
        <w:t>甲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方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                          </w:t>
      </w:r>
      <w:r>
        <w:rPr>
          <w:rFonts w:ascii="宋体" w:hAnsi="宋体" w:eastAsia="宋体" w:cs="宋体"/>
          <w:spacing w:val="-21"/>
          <w:sz w:val="24"/>
          <w:szCs w:val="24"/>
        </w:rPr>
        <w:t>乙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方</w:t>
      </w:r>
    </w:p>
    <w:p w14:paraId="2C621F64">
      <w:pPr>
        <w:spacing w:before="181" w:line="220" w:lineRule="auto"/>
        <w:ind w:left="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单位名称：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               </w:t>
      </w:r>
      <w:r>
        <w:rPr>
          <w:rFonts w:ascii="宋体" w:hAnsi="宋体" w:eastAsia="宋体" w:cs="宋体"/>
          <w:spacing w:val="-3"/>
          <w:sz w:val="24"/>
          <w:szCs w:val="24"/>
        </w:rPr>
        <w:t>单位名称：</w:t>
      </w:r>
    </w:p>
    <w:p w14:paraId="421DCE92">
      <w:pPr>
        <w:spacing w:before="182" w:line="229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2"/>
          <w:sz w:val="24"/>
          <w:szCs w:val="24"/>
        </w:rPr>
        <w:t>地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12"/>
          <w:sz w:val="24"/>
          <w:szCs w:val="24"/>
        </w:rPr>
        <w:t>址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2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 </w:t>
      </w:r>
      <w:r>
        <w:rPr>
          <w:rFonts w:ascii="宋体" w:hAnsi="宋体" w:eastAsia="宋体" w:cs="宋体"/>
          <w:spacing w:val="-12"/>
          <w:sz w:val="24"/>
          <w:szCs w:val="24"/>
        </w:rPr>
        <w:t>地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2"/>
          <w:sz w:val="24"/>
          <w:szCs w:val="24"/>
        </w:rPr>
        <w:t>址：</w:t>
      </w:r>
    </w:p>
    <w:p w14:paraId="656C5549">
      <w:pPr>
        <w:pStyle w:val="2"/>
        <w:spacing w:line="255" w:lineRule="auto"/>
      </w:pPr>
    </w:p>
    <w:p w14:paraId="1E003699">
      <w:pPr>
        <w:pStyle w:val="2"/>
        <w:spacing w:line="255" w:lineRule="auto"/>
      </w:pPr>
    </w:p>
    <w:p w14:paraId="341ED5E1">
      <w:pPr>
        <w:pStyle w:val="2"/>
        <w:spacing w:line="256" w:lineRule="auto"/>
      </w:pPr>
    </w:p>
    <w:p w14:paraId="7A781D79">
      <w:pPr>
        <w:pStyle w:val="2"/>
        <w:spacing w:line="256" w:lineRule="auto"/>
      </w:pPr>
    </w:p>
    <w:p w14:paraId="0D2174F3">
      <w:pPr>
        <w:spacing w:before="79" w:line="219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法人代表：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法人代表：</w:t>
      </w:r>
    </w:p>
    <w:p w14:paraId="6A78C9E4">
      <w:pPr>
        <w:pStyle w:val="2"/>
        <w:spacing w:line="284" w:lineRule="auto"/>
      </w:pPr>
    </w:p>
    <w:p w14:paraId="29FAEE9A">
      <w:pPr>
        <w:pStyle w:val="2"/>
        <w:spacing w:line="285" w:lineRule="auto"/>
      </w:pPr>
    </w:p>
    <w:p w14:paraId="4FDD4E53">
      <w:pPr>
        <w:spacing w:before="79" w:line="221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联系电话：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 联系电话：</w:t>
      </w:r>
    </w:p>
    <w:p w14:paraId="42F78FB4">
      <w:pPr>
        <w:spacing w:before="180" w:line="220" w:lineRule="auto"/>
        <w:ind w:left="1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开 户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行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10"/>
          <w:sz w:val="24"/>
          <w:szCs w:val="24"/>
        </w:rPr>
        <w:t>开</w:t>
      </w:r>
      <w:r>
        <w:rPr>
          <w:rFonts w:ascii="宋体" w:hAnsi="宋体" w:eastAsia="宋体" w:cs="宋体"/>
          <w:spacing w:val="2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户</w:t>
      </w:r>
      <w:r>
        <w:rPr>
          <w:rFonts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行：</w:t>
      </w:r>
    </w:p>
    <w:p w14:paraId="0638863F">
      <w:r>
        <w:rPr>
          <w:rFonts w:ascii="宋体" w:hAnsi="宋体" w:eastAsia="宋体" w:cs="宋体"/>
          <w:spacing w:val="-15"/>
          <w:sz w:val="24"/>
          <w:szCs w:val="24"/>
        </w:rPr>
        <w:t>账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5"/>
          <w:sz w:val="24"/>
          <w:szCs w:val="24"/>
        </w:rPr>
        <w:t>号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5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15"/>
          <w:sz w:val="24"/>
          <w:szCs w:val="24"/>
        </w:rPr>
        <w:t>账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5"/>
          <w:sz w:val="24"/>
          <w:szCs w:val="24"/>
        </w:rPr>
        <w:t>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A722F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9" name="文本框 1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0228F9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BkwTKY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0228F9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1D508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0" name="文本框 1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7F828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ZyGFIz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BZyGFI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7F828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75D1B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1" name="文本框 1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DA290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H3Ohs4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DA290B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D3DA2">
    <w:pPr>
      <w:spacing w:line="209" w:lineRule="auto"/>
      <w:ind w:left="399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2" name="文本框 1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E396D1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EMVLA0AgAAZQ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NJWO7QAAAABQEAAA8AAAAAAAAAAQAgAAAAIgAAAGRycy9kb3ducmV2LnhtbFBLAQIU&#10;ABQAAAAIAIdO4kCBDFSwNAIAAGUEAAAOAAAAAAAAAAEAIAAAAB8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BE396D1">
                    <w:pPr>
                      <w:pStyle w:val="3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D72EF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7505E">
    <w:pPr>
      <w:pStyle w:val="2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CF9D6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34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2026-05-06T06:48:35Z</dcterms:created>
  <dc:creator>Administrator</dc:creator>
  <cp:lastModifiedBy>游憩</cp:lastModifiedBy>
  <dcterms:modified xsi:type="dcterms:W3CDTF">2026-05-06T06:53:30Z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eyJoZGlkIjoiMDAyMzkzZmU1MzYwZWZiYWFhNDU4ZGY0YTg3NDgwYmYiLCJ1c2VySWQiOiI0MDI0NzI1NzMifQ==</vt:lpwstr>
  </property>
  <property fmtid="{D5CDD505-2E9C-101B-9397-08002B2CF9AE}" pid="4" name="ICV">
    <vt:lpwstr>C20864EA550449F5912BC17D4C19D016_12</vt:lpwstr>
  </property>
</Properties>
</file>