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版本号：ZKZB-2026-04020260805002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留坝县火烧店中心小学改造项目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ZKZB-2026-040</w:t>
      </w:r>
      <w:r>
        <w:br/>
      </w:r>
      <w:r>
        <w:br/>
      </w:r>
      <w:r>
        <w:br/>
      </w:r>
    </w:p>
    <w:p>
      <w:pPr>
        <w:pStyle w:val="null3"/>
        <w:jc w:val="center"/>
        <w:outlineLvl w:val="2"/>
      </w:pPr>
      <w:r>
        <w:rPr>
          <w:rFonts w:ascii="仿宋_GB2312" w:hAnsi="仿宋_GB2312" w:cs="仿宋_GB2312" w:eastAsia="仿宋_GB2312"/>
          <w:sz w:val="28"/>
          <w:b/>
        </w:rPr>
        <w:t>留坝县火烧店镇中心小学</w:t>
      </w:r>
    </w:p>
    <w:p>
      <w:pPr>
        <w:pStyle w:val="null3"/>
        <w:jc w:val="center"/>
        <w:outlineLvl w:val="2"/>
      </w:pPr>
      <w:r>
        <w:rPr>
          <w:rFonts w:ascii="仿宋_GB2312" w:hAnsi="仿宋_GB2312" w:cs="仿宋_GB2312" w:eastAsia="仿宋_GB2312"/>
          <w:sz w:val="28"/>
          <w:b/>
        </w:rPr>
        <w:t>中科融创（陕西）项目咨询有限公司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中科融创（陕西）项目咨询有限公司</w:t>
      </w:r>
      <w:r>
        <w:rPr>
          <w:rFonts w:ascii="仿宋_GB2312" w:hAnsi="仿宋_GB2312" w:cs="仿宋_GB2312" w:eastAsia="仿宋_GB2312"/>
        </w:rPr>
        <w:t>（以下简称“代理机构”）受</w:t>
      </w:r>
      <w:r>
        <w:rPr>
          <w:rFonts w:ascii="仿宋_GB2312" w:hAnsi="仿宋_GB2312" w:cs="仿宋_GB2312" w:eastAsia="仿宋_GB2312"/>
        </w:rPr>
        <w:t>留坝县火烧店镇中心小学</w:t>
      </w:r>
      <w:r>
        <w:rPr>
          <w:rFonts w:ascii="仿宋_GB2312" w:hAnsi="仿宋_GB2312" w:cs="仿宋_GB2312" w:eastAsia="仿宋_GB2312"/>
        </w:rPr>
        <w:t>委托，拟对</w:t>
      </w:r>
      <w:r>
        <w:rPr>
          <w:rFonts w:ascii="仿宋_GB2312" w:hAnsi="仿宋_GB2312" w:cs="仿宋_GB2312" w:eastAsia="仿宋_GB2312"/>
        </w:rPr>
        <w:t>留坝县火烧店中心小学改造项目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ZKZB-2026-040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留坝县火烧店中心小学改造项目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本项目位于汉中市留坝镇火烧店镇中心小学，主要建设内容：新建钢结构厨房46.08㎡，对育才楼外墙面涂料装饰翻新改造，对原有操作间、原有锅炉房、原有杂物区、原有库房、门窗洞口、电气、排水进行改造。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采购包1（留坝县火烧店中心小学改造项目）：属于专门面向中小企业采购。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1、供应商提供营业执照或其他相关证明文件并加盖电子章：供应商为具有独立承担民事责任能力的法人或其他组织或自然人，并出具合法有效的营业执 照或事业法人证书等国家规定的相关证明，自然人参与的提供其身份证明</w:t>
      </w:r>
    </w:p>
    <w:p>
      <w:pPr>
        <w:pStyle w:val="null3"/>
      </w:pPr>
      <w:r>
        <w:rPr>
          <w:rFonts w:ascii="仿宋_GB2312" w:hAnsi="仿宋_GB2312" w:cs="仿宋_GB2312" w:eastAsia="仿宋_GB2312"/>
        </w:rPr>
        <w:t>2、提供相关证明材料并加盖电子章：法定代表人直接参加磋商的，须出具法定代表人身份证明(附法定代表人身份证复印件); 法定代表人授权代表参加磋商的，须出具法定代表人身份证明及法定代表人授权书(附法定代表人身份证复印件及被授权人身份证复印件)（格式后附）</w:t>
      </w:r>
    </w:p>
    <w:p>
      <w:pPr>
        <w:pStyle w:val="null3"/>
      </w:pPr>
      <w:r>
        <w:rPr>
          <w:rFonts w:ascii="仿宋_GB2312" w:hAnsi="仿宋_GB2312" w:cs="仿宋_GB2312" w:eastAsia="仿宋_GB2312"/>
        </w:rPr>
        <w:t>3、供应商提供相关证明材料并加盖电子章。：供应商应具备建设行政主管部门核发的建筑工程施工总承包三级（含三级）及其以上资质，且具有有效的安全生产许可证；供应商基本信息及项目负责人的基本信息应在“陕西省住房和城乡建设厅”或“全国建筑市场监管公共服务平台（四库一平台）”可查询。</w:t>
      </w:r>
    </w:p>
    <w:p>
      <w:pPr>
        <w:pStyle w:val="null3"/>
      </w:pPr>
      <w:r>
        <w:rPr>
          <w:rFonts w:ascii="仿宋_GB2312" w:hAnsi="仿宋_GB2312" w:cs="仿宋_GB2312" w:eastAsia="仿宋_GB2312"/>
        </w:rPr>
        <w:t>4、供应商提供相关证明材料并加盖电子章：拟派项目经理应具备【注册建造师二级】及以上执业资格（建筑工程专业），具备有效的安全生产考核合格证书（建安 B 证），无在建工程（提供承诺书）</w:t>
      </w:r>
    </w:p>
    <w:p>
      <w:pPr>
        <w:pStyle w:val="null3"/>
      </w:pPr>
      <w:r>
        <w:rPr>
          <w:rFonts w:ascii="仿宋_GB2312" w:hAnsi="仿宋_GB2312" w:cs="仿宋_GB2312" w:eastAsia="仿宋_GB2312"/>
        </w:rPr>
        <w:t>5、后附格式，供应商加盖电子章：供应商须提供《汉中市政府采购供应商资格承诺函》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留坝县火烧店镇中心小学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汉中市留坝县火烧店镇武火路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留坝县火烧店镇中心小学经办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18291693032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中科融创（陕西）项目咨询有限公司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陕西省汉中市汉台区北关街道办事处滨江西路与西二环交汇处陕刚集团创新研究院516号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谢婷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15591675669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留坝县政府采购管理股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谭小玲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13892639992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采购包1：523,298.79元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开户名称：中科融创（陕西）项目咨询有限公司</w:t>
            </w:r>
          </w:p>
          <w:p>
            <w:pPr>
              <w:pStyle w:val="null3"/>
            </w:pPr>
            <w:r>
              <w:rPr>
                <w:rFonts w:ascii="仿宋_GB2312" w:hAnsi="仿宋_GB2312" w:cs="仿宋_GB2312" w:eastAsia="仿宋_GB2312"/>
              </w:rPr>
              <w:t>开户银行：中国银行汉中劳动西路支行</w:t>
            </w:r>
          </w:p>
          <w:p>
            <w:pPr>
              <w:pStyle w:val="null3"/>
            </w:pPr>
            <w:r>
              <w:rPr>
                <w:rFonts w:ascii="仿宋_GB2312" w:hAnsi="仿宋_GB2312" w:cs="仿宋_GB2312" w:eastAsia="仿宋_GB2312"/>
              </w:rPr>
              <w:t>银行账号：102504125152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参照《国家计委关于印发招标代理服务收费管理暂行办法的通知》（计价格〔2002〕1980号）和国家发改委办公厅颁发的《关于招标代理服务收费有关问题的通知》（发改办价格〔2003〕857号）文件规定标准和采购代理合同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留坝县火烧店镇中心小学</w:t>
      </w:r>
      <w:r>
        <w:rPr>
          <w:rFonts w:ascii="仿宋_GB2312" w:hAnsi="仿宋_GB2312" w:cs="仿宋_GB2312" w:eastAsia="仿宋_GB2312"/>
        </w:rPr>
        <w:t>和</w:t>
      </w:r>
      <w:r>
        <w:rPr>
          <w:rFonts w:ascii="仿宋_GB2312" w:hAnsi="仿宋_GB2312" w:cs="仿宋_GB2312" w:eastAsia="仿宋_GB2312"/>
        </w:rPr>
        <w:t>中科融创（陕西）项目咨询有限公司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留坝县火烧店镇中心小学</w:t>
      </w:r>
      <w:r>
        <w:rPr>
          <w:rFonts w:ascii="仿宋_GB2312" w:hAnsi="仿宋_GB2312" w:cs="仿宋_GB2312" w:eastAsia="仿宋_GB2312"/>
        </w:rPr>
        <w:t>负责解释。除上述磋商文件内容，其他内容由</w:t>
      </w:r>
      <w:r>
        <w:rPr>
          <w:rFonts w:ascii="仿宋_GB2312" w:hAnsi="仿宋_GB2312" w:cs="仿宋_GB2312" w:eastAsia="仿宋_GB2312"/>
        </w:rPr>
        <w:t>中科融创（陕西）项目咨询有限公司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留坝县火烧店镇中心小学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中科融创（陕西）项目咨询有限公司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中科融创（陕西）项目咨询有限公司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中科融创（陕西）项目咨询有限公司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中科融创（陕西）项目咨询有限公司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联系人：陈程</w:t>
      </w:r>
    </w:p>
    <w:p>
      <w:pPr>
        <w:pStyle w:val="null3"/>
      </w:pPr>
      <w:r>
        <w:rPr>
          <w:rFonts w:ascii="仿宋_GB2312" w:hAnsi="仿宋_GB2312" w:cs="仿宋_GB2312" w:eastAsia="仿宋_GB2312"/>
        </w:rPr>
        <w:t>联系电话：15591675669</w:t>
      </w:r>
    </w:p>
    <w:p>
      <w:pPr>
        <w:pStyle w:val="null3"/>
      </w:pPr>
      <w:r>
        <w:rPr>
          <w:rFonts w:ascii="仿宋_GB2312" w:hAnsi="仿宋_GB2312" w:cs="仿宋_GB2312" w:eastAsia="仿宋_GB2312"/>
        </w:rPr>
        <w:t>地址：陕西省汉中市汉台区滨江西路天汉文化公园E区4号楼120、121、128b</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523,298.79</w:t>
      </w:r>
    </w:p>
    <w:p>
      <w:pPr>
        <w:pStyle w:val="null3"/>
      </w:pPr>
      <w:r>
        <w:rPr>
          <w:rFonts w:ascii="仿宋_GB2312" w:hAnsi="仿宋_GB2312" w:cs="仿宋_GB2312" w:eastAsia="仿宋_GB2312"/>
        </w:rPr>
        <w:t>采购包最高限价（元）: 523,298.79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留坝县火烧店中心小学改造项目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523,298.79</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标的名称：留坝县火烧店中心小学改造项目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rPr>
              <w:t>一、工程概况</w:t>
            </w:r>
            <w:r>
              <w:rPr>
                <w:rFonts w:ascii="仿宋_GB2312" w:hAnsi="仿宋_GB2312" w:cs="仿宋_GB2312" w:eastAsia="仿宋_GB2312"/>
                <w:sz w:val="28"/>
                <w:b/>
              </w:rPr>
              <w:t>：</w:t>
            </w:r>
          </w:p>
          <w:p>
            <w:pPr>
              <w:pStyle w:val="null3"/>
              <w:ind w:firstLine="652"/>
              <w:jc w:val="left"/>
            </w:pPr>
            <w:r>
              <w:rPr>
                <w:rFonts w:ascii="仿宋_GB2312" w:hAnsi="仿宋_GB2312" w:cs="仿宋_GB2312" w:eastAsia="仿宋_GB2312"/>
                <w:sz w:val="31"/>
              </w:rPr>
              <w:t>该项目主要内容为：本项目位于汉中市留坝镇火烧店镇中心小学，主要建设内容：新建钢结构厨房</w:t>
            </w:r>
            <w:r>
              <w:rPr>
                <w:rFonts w:ascii="仿宋_GB2312" w:hAnsi="仿宋_GB2312" w:cs="仿宋_GB2312" w:eastAsia="仿宋_GB2312"/>
                <w:sz w:val="31"/>
              </w:rPr>
              <w:t>46.08㎡，对育才楼外墙面涂料装饰翻新改造，对原有操作间、原有锅炉房、原有杂物区、原有库房、门窗洞口、电气、排水进行改造。</w:t>
            </w:r>
          </w:p>
          <w:p>
            <w:pPr>
              <w:pStyle w:val="null3"/>
              <w:jc w:val="both"/>
            </w:pPr>
            <w:r>
              <w:rPr>
                <w:rFonts w:ascii="仿宋_GB2312" w:hAnsi="仿宋_GB2312" w:cs="仿宋_GB2312" w:eastAsia="仿宋_GB2312"/>
                <w:sz w:val="28"/>
                <w:b/>
              </w:rPr>
              <w:t>二</w:t>
            </w:r>
            <w:r>
              <w:rPr>
                <w:rFonts w:ascii="仿宋_GB2312" w:hAnsi="仿宋_GB2312" w:cs="仿宋_GB2312" w:eastAsia="仿宋_GB2312"/>
                <w:sz w:val="28"/>
                <w:b/>
              </w:rPr>
              <w:t>、编制依据：</w:t>
            </w:r>
          </w:p>
          <w:p>
            <w:pPr>
              <w:pStyle w:val="null3"/>
              <w:numPr>
                <w:ilvl w:val="0"/>
                <w:numId w:val="1"/>
              </w:numPr>
              <w:spacing w:before="180"/>
              <w:ind w:right="405"/>
              <w:jc w:val="left"/>
            </w:pPr>
            <w:r>
              <w:rPr>
                <w:rFonts w:ascii="仿宋_GB2312" w:hAnsi="仿宋_GB2312" w:cs="仿宋_GB2312" w:eastAsia="仿宋_GB2312"/>
                <w:sz w:val="31"/>
              </w:rPr>
              <w:t>甲方相关要求和设计图纸</w:t>
            </w:r>
            <w:r>
              <w:rPr>
                <w:rFonts w:ascii="仿宋_GB2312" w:hAnsi="仿宋_GB2312" w:cs="仿宋_GB2312" w:eastAsia="仿宋_GB2312"/>
                <w:sz w:val="31"/>
              </w:rPr>
              <w:t>；</w:t>
            </w:r>
          </w:p>
          <w:p>
            <w:pPr>
              <w:pStyle w:val="null3"/>
              <w:spacing w:before="180"/>
              <w:ind w:left="15" w:right="405" w:firstLine="640"/>
              <w:jc w:val="left"/>
            </w:pPr>
            <w:r>
              <w:rPr>
                <w:rFonts w:ascii="仿宋_GB2312" w:hAnsi="仿宋_GB2312" w:cs="仿宋_GB2312" w:eastAsia="仿宋_GB2312"/>
                <w:sz w:val="31"/>
              </w:rPr>
              <w:t>2.《陕西省住房和城乡建设厅关于印发 2025陕西省建设 工程费用规则等计价依据的通知》（陕建管发〔2025〕1</w:t>
            </w:r>
            <w:r>
              <w:rPr>
                <w:rFonts w:ascii="仿宋_GB2312" w:hAnsi="仿宋_GB2312" w:cs="仿宋_GB2312" w:eastAsia="仿宋_GB2312"/>
                <w:sz w:val="31"/>
              </w:rPr>
              <w:t>0</w:t>
            </w:r>
            <w:r>
              <w:rPr>
                <w:rFonts w:ascii="仿宋_GB2312" w:hAnsi="仿宋_GB2312" w:cs="仿宋_GB2312" w:eastAsia="仿宋_GB2312"/>
                <w:sz w:val="31"/>
              </w:rPr>
              <w:t>号）；</w:t>
            </w:r>
          </w:p>
          <w:p>
            <w:pPr>
              <w:pStyle w:val="null3"/>
              <w:spacing w:before="180"/>
              <w:ind w:left="15" w:right="405" w:firstLine="640"/>
              <w:jc w:val="left"/>
            </w:pPr>
            <w:r>
              <w:rPr>
                <w:rFonts w:ascii="仿宋_GB2312" w:hAnsi="仿宋_GB2312" w:cs="仿宋_GB2312" w:eastAsia="仿宋_GB2312"/>
                <w:sz w:val="31"/>
              </w:rPr>
              <w:t>3.《陕西省建设工程费用规则（2025）》、《建设工程工程量清单计价标准（2025）》、《房屋建筑与装饰工程工程量计算标准》、《通用安装工程工程量计算标准》及配套文件；</w:t>
            </w:r>
          </w:p>
          <w:p>
            <w:pPr>
              <w:pStyle w:val="null3"/>
              <w:spacing w:before="180"/>
              <w:ind w:left="15" w:right="405" w:firstLine="640"/>
              <w:jc w:val="left"/>
            </w:pPr>
            <w:r>
              <w:rPr>
                <w:rFonts w:ascii="仿宋_GB2312" w:hAnsi="仿宋_GB2312" w:cs="仿宋_GB2312" w:eastAsia="仿宋_GB2312"/>
                <w:sz w:val="31"/>
              </w:rPr>
              <w:t>4.《陕西省房屋建筑与装饰工程消耗量定额（2025）》、 《陕西省通用安装工程消耗量定额（2025）》、《陕西省建设工程施工机械台班费用定额（2025）》；</w:t>
            </w:r>
          </w:p>
          <w:p>
            <w:pPr>
              <w:pStyle w:val="null3"/>
              <w:spacing w:before="180"/>
              <w:ind w:left="15" w:right="405" w:firstLine="640"/>
              <w:jc w:val="left"/>
            </w:pPr>
            <w:r>
              <w:rPr>
                <w:rFonts w:ascii="仿宋_GB2312" w:hAnsi="仿宋_GB2312" w:cs="仿宋_GB2312" w:eastAsia="仿宋_GB2312"/>
                <w:sz w:val="31"/>
              </w:rPr>
              <w:t>5.《陕西省房屋建筑与装饰工程基价表（2025）》、《陕西省通用安装工程基价表（2025）》；</w:t>
            </w:r>
          </w:p>
          <w:p>
            <w:pPr>
              <w:pStyle w:val="null3"/>
              <w:spacing w:before="180"/>
              <w:ind w:left="15" w:right="405" w:firstLine="640"/>
              <w:jc w:val="left"/>
            </w:pPr>
            <w:r>
              <w:rPr>
                <w:rFonts w:ascii="仿宋_GB2312" w:hAnsi="仿宋_GB2312" w:cs="仿宋_GB2312" w:eastAsia="仿宋_GB2312"/>
                <w:sz w:val="31"/>
              </w:rPr>
              <w:t>6.《汉中建设工程造价信息（202</w:t>
            </w:r>
            <w:r>
              <w:rPr>
                <w:rFonts w:ascii="仿宋_GB2312" w:hAnsi="仿宋_GB2312" w:cs="仿宋_GB2312" w:eastAsia="仿宋_GB2312"/>
                <w:sz w:val="31"/>
              </w:rPr>
              <w:t>6</w:t>
            </w:r>
            <w:r>
              <w:rPr>
                <w:rFonts w:ascii="仿宋_GB2312" w:hAnsi="仿宋_GB2312" w:cs="仿宋_GB2312" w:eastAsia="仿宋_GB2312"/>
                <w:sz w:val="31"/>
              </w:rPr>
              <w:t>）》第</w:t>
            </w:r>
            <w:r>
              <w:rPr>
                <w:rFonts w:ascii="仿宋_GB2312" w:hAnsi="仿宋_GB2312" w:cs="仿宋_GB2312" w:eastAsia="仿宋_GB2312"/>
                <w:sz w:val="31"/>
              </w:rPr>
              <w:t>5</w:t>
            </w:r>
            <w:r>
              <w:rPr>
                <w:rFonts w:ascii="仿宋_GB2312" w:hAnsi="仿宋_GB2312" w:cs="仿宋_GB2312" w:eastAsia="仿宋_GB2312"/>
                <w:sz w:val="31"/>
              </w:rPr>
              <w:t>期官方材料信息价，缺项材料结合本地同期市场询价综合取定；</w:t>
            </w:r>
          </w:p>
          <w:p>
            <w:pPr>
              <w:pStyle w:val="null3"/>
              <w:ind w:firstLine="652"/>
              <w:jc w:val="left"/>
            </w:pPr>
            <w:r>
              <w:rPr>
                <w:rFonts w:ascii="仿宋_GB2312" w:hAnsi="仿宋_GB2312" w:cs="仿宋_GB2312" w:eastAsia="仿宋_GB2312"/>
                <w:sz w:val="31"/>
              </w:rPr>
              <w:t>7.国家、陕西省现行建设工程预算、造价管理相关法律法</w:t>
            </w:r>
          </w:p>
          <w:p>
            <w:pPr>
              <w:pStyle w:val="null3"/>
              <w:jc w:val="left"/>
            </w:pPr>
            <w:r>
              <w:rPr>
                <w:rFonts w:ascii="仿宋_GB2312" w:hAnsi="仿宋_GB2312" w:cs="仿宋_GB2312" w:eastAsia="仿宋_GB2312"/>
                <w:sz w:val="31"/>
              </w:rPr>
              <w:t>规及配套文件。</w:t>
            </w:r>
          </w:p>
          <w:p>
            <w:pPr>
              <w:pStyle w:val="null3"/>
              <w:ind w:firstLine="652"/>
              <w:jc w:val="left"/>
            </w:pPr>
            <w:r>
              <w:rPr>
                <w:rFonts w:ascii="仿宋_GB2312" w:hAnsi="仿宋_GB2312" w:cs="仿宋_GB2312" w:eastAsia="仿宋_GB2312"/>
                <w:sz w:val="31"/>
              </w:rPr>
              <w:t>8.工期：20个日历天</w:t>
            </w:r>
          </w:p>
          <w:p>
            <w:pPr>
              <w:pStyle w:val="null3"/>
              <w:jc w:val="left"/>
            </w:pPr>
            <w:r>
              <w:rPr>
                <w:rFonts w:ascii="仿宋_GB2312" w:hAnsi="仿宋_GB2312" w:cs="仿宋_GB2312" w:eastAsia="仿宋_GB2312"/>
                <w:sz w:val="28"/>
                <w:b/>
              </w:rPr>
              <w:t>三</w:t>
            </w:r>
            <w:r>
              <w:rPr>
                <w:rFonts w:ascii="仿宋_GB2312" w:hAnsi="仿宋_GB2312" w:cs="仿宋_GB2312" w:eastAsia="仿宋_GB2312"/>
                <w:sz w:val="28"/>
                <w:b/>
              </w:rPr>
              <w:t>、有关情况说明</w:t>
            </w:r>
            <w:r>
              <w:rPr>
                <w:rFonts w:ascii="仿宋_GB2312" w:hAnsi="仿宋_GB2312" w:cs="仿宋_GB2312" w:eastAsia="仿宋_GB2312"/>
                <w:sz w:val="28"/>
                <w:b/>
              </w:rPr>
              <w:t>：</w:t>
            </w:r>
            <w:r>
              <w:rPr>
                <w:rFonts w:ascii="仿宋_GB2312" w:hAnsi="仿宋_GB2312" w:cs="仿宋_GB2312" w:eastAsia="仿宋_GB2312"/>
                <w:sz w:val="31"/>
              </w:rPr>
              <w:t>暂列金</w:t>
            </w:r>
            <w:r>
              <w:rPr>
                <w:rFonts w:ascii="仿宋_GB2312" w:hAnsi="仿宋_GB2312" w:cs="仿宋_GB2312" w:eastAsia="仿宋_GB2312"/>
                <w:sz w:val="31"/>
              </w:rPr>
              <w:t>10000元。</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满足磋商文件、工程量清单要求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供应商应根据“陕西省财政厅陕财办采函[2023]14号文”《陕西省财政厅关于省级预算单位全面推行政府采购项目电子化交易的通知》、“陕西省财政厅陕财办采[2022]9号文”《政府采购项目电子化交易规则》等文件的要求，做好人员配备、设施设备、系统操作的相应准备，熟悉并正确实施相关操作流程，承担由于操作或其他因素造成的不利后果。2、成交供应商领取成交通知书时，提交纸质响应文件正本壹份、副本壹份、电子版壹份（U盘壹份注明单位名称），内容和通过电子化交易平台实施的政府采购项目提交的响应文件一致。纸质响应文件正副本分别胶装（响应文件建议采用双面打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供应商提供营业执照或其他相关证明文件并加盖电子章</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 照或事业法人证书等国家规定的相关证明，自然人参与的提供其身份证明</w:t>
            </w:r>
          </w:p>
        </w:tc>
        <w:tc>
          <w:tcPr>
            <w:tcW w:type="dxa" w:w="1661"/>
          </w:tcPr>
          <w:p>
            <w:pPr>
              <w:pStyle w:val="null3"/>
            </w:pPr>
            <w:r>
              <w:rPr>
                <w:rFonts w:ascii="仿宋_GB2312" w:hAnsi="仿宋_GB2312" w:cs="仿宋_GB2312" w:eastAsia="仿宋_GB2312"/>
              </w:rPr>
              <w:t>相关资格证明文件.pdf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提供相关证明材料并加盖电子章</w:t>
            </w:r>
          </w:p>
        </w:tc>
        <w:tc>
          <w:tcPr>
            <w:tcW w:type="dxa" w:w="3322"/>
          </w:tcPr>
          <w:p>
            <w:pPr>
              <w:pStyle w:val="null3"/>
            </w:pPr>
            <w:r>
              <w:rPr>
                <w:rFonts w:ascii="仿宋_GB2312" w:hAnsi="仿宋_GB2312" w:cs="仿宋_GB2312" w:eastAsia="仿宋_GB2312"/>
              </w:rPr>
              <w:t>法定代表人直接参加磋商的，须出具法定代表人身份证明(附法定代表人身份证复印件); 法定代表人授权代表参加磋商的，须出具法定代表人身份证明及法定代表人授权书(附法定代表人身份证复印件及被授权人身份证复印件)（格式后附）</w:t>
            </w:r>
          </w:p>
        </w:tc>
        <w:tc>
          <w:tcPr>
            <w:tcW w:type="dxa" w:w="1661"/>
          </w:tcPr>
          <w:p>
            <w:pPr>
              <w:pStyle w:val="null3"/>
            </w:pPr>
            <w:r>
              <w:rPr>
                <w:rFonts w:ascii="仿宋_GB2312" w:hAnsi="仿宋_GB2312" w:cs="仿宋_GB2312" w:eastAsia="仿宋_GB2312"/>
              </w:rPr>
              <w:t>相关资格证明文件.pdf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供应商提供相关证明材料并加盖电子章。</w:t>
            </w:r>
          </w:p>
        </w:tc>
        <w:tc>
          <w:tcPr>
            <w:tcW w:type="dxa" w:w="3322"/>
          </w:tcPr>
          <w:p>
            <w:pPr>
              <w:pStyle w:val="null3"/>
            </w:pPr>
            <w:r>
              <w:rPr>
                <w:rFonts w:ascii="仿宋_GB2312" w:hAnsi="仿宋_GB2312" w:cs="仿宋_GB2312" w:eastAsia="仿宋_GB2312"/>
              </w:rPr>
              <w:t>供应商应具备建设行政主管部门核发的建筑工程施工总承包三级（含三级）及其以上资质，且具有有效的安全生产许可证；供应商基本信息及项目负责人的基本信息应在“陕西省住房和城乡建设厅”或“全国建筑市场监管公共服务平台（四库一平台）”可查询。</w:t>
            </w:r>
          </w:p>
        </w:tc>
        <w:tc>
          <w:tcPr>
            <w:tcW w:type="dxa" w:w="1661"/>
          </w:tcPr>
          <w:p>
            <w:pPr>
              <w:pStyle w:val="null3"/>
            </w:pPr>
            <w:r>
              <w:rPr>
                <w:rFonts w:ascii="仿宋_GB2312" w:hAnsi="仿宋_GB2312" w:cs="仿宋_GB2312" w:eastAsia="仿宋_GB2312"/>
              </w:rPr>
              <w:t>相关资格证明文件.pdf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供应商提供相关证明材料并加盖电子章</w:t>
            </w:r>
          </w:p>
        </w:tc>
        <w:tc>
          <w:tcPr>
            <w:tcW w:type="dxa" w:w="3322"/>
          </w:tcPr>
          <w:p>
            <w:pPr>
              <w:pStyle w:val="null3"/>
            </w:pPr>
            <w:r>
              <w:rPr>
                <w:rFonts w:ascii="仿宋_GB2312" w:hAnsi="仿宋_GB2312" w:cs="仿宋_GB2312" w:eastAsia="仿宋_GB2312"/>
              </w:rPr>
              <w:t>拟派项目经理应具备【注册建造师二级】及以上执业资格（建筑工程专业），具备有效的安全生产考核合格证书（建安 B 证），无在建工程（提供承诺书）</w:t>
            </w:r>
          </w:p>
        </w:tc>
        <w:tc>
          <w:tcPr>
            <w:tcW w:type="dxa" w:w="1661"/>
          </w:tcPr>
          <w:p>
            <w:pPr>
              <w:pStyle w:val="null3"/>
            </w:pPr>
            <w:r>
              <w:rPr>
                <w:rFonts w:ascii="仿宋_GB2312" w:hAnsi="仿宋_GB2312" w:cs="仿宋_GB2312" w:eastAsia="仿宋_GB2312"/>
              </w:rPr>
              <w:t>相关资格证明文件.pdf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后附格式，供应商加盖电子章</w:t>
            </w:r>
          </w:p>
        </w:tc>
        <w:tc>
          <w:tcPr>
            <w:tcW w:type="dxa" w:w="3322"/>
          </w:tcPr>
          <w:p>
            <w:pPr>
              <w:pStyle w:val="null3"/>
            </w:pPr>
            <w:r>
              <w:rPr>
                <w:rFonts w:ascii="仿宋_GB2312" w:hAnsi="仿宋_GB2312" w:cs="仿宋_GB2312" w:eastAsia="仿宋_GB2312"/>
              </w:rPr>
              <w:t>供应商须提供《汉中市政府采购供应商资格承诺函》</w:t>
            </w:r>
          </w:p>
        </w:tc>
        <w:tc>
          <w:tcPr>
            <w:tcW w:type="dxa" w:w="1661"/>
          </w:tcPr>
          <w:p>
            <w:pPr>
              <w:pStyle w:val="null3"/>
            </w:pPr>
            <w:r>
              <w:rPr>
                <w:rFonts w:ascii="仿宋_GB2312" w:hAnsi="仿宋_GB2312" w:cs="仿宋_GB2312" w:eastAsia="仿宋_GB2312"/>
              </w:rPr>
              <w:t>相关资格证明文件.pdf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已标价工程量清单.docx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评审内容: 内容至少包括①施工准备;②施工方法及相关技术措施;③重点难点工程分析及解决措施。评审标准: 1.完整性:响应全面，对评审内容中的各项要求有详细描述:2.可实施性:内容科学，步骤清晰、合理，可实施性强;3.针对性:能够紧扣项目实际情况，满足具体要求。 赋分标准(12分): ①每一项评审内容完全满足评审标准得4分; ②每一项评审内容，若存在不明确、不合理、不完整、针对性不强等方面，扣0.5分; ③每一项评审内容不提供或完全背离评审标准得0分。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技术部分.pdf</w:t>
            </w:r>
          </w:p>
        </w:tc>
      </w:tr>
      <w:tr>
        <w:tc>
          <w:tcPr>
            <w:tcW w:type="dxa" w:w="831"/>
            <w:vMerge/>
          </w:tcP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评审内容: 内容至少包括①施工目标:安全目标、工期目标、质量目标;②资源配备计划:主要施工机械设备、劳动力等配备计划;评审标准: 1.完整性:响应全面，对评审内容中的各项要求有详细描述:2.可实施性:内容科学，步骤清晰、合理，可实施性强:3.针对性:能够紧扣项目实际情况，满足具体要求。 赋分标准(8分): ①每一项评审内容完全满足评审标准得4分; ②每一项评审内容，若存在不明确、不合理、不完整、针对性不强等方面，扣0.5分; ③每一项评审内容不提供或完全背离评审标准得0分。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技术部分.pdf</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评审内容： 内容至少包括①施工进度计划；②工期保障措施。 评审标准： 1.完整性：响应全面，对评审内容中的各项要求有详细描述； 2.可实施性：内容科学，步骤清晰、合理，可实施性强； 3.针对性：能够紧扣项目实际情况，满足具体要求。 赋分标准（8分）： ①每一项评审内容完全满足评审标准得4分； ②每一项评审内容，若存在不明确、不合理、不完整、针对性不强等方面，扣0.5分； ③每一项评审内容不提供或完全背离评审标准得0分。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技术部分.pdf</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评审内容： 内容至少包括①质量管理体系；②施工质量保障措施。 评审标准： 1.完整性：响应全面，对评审内容中的各项要求有详细描述； 2.可实施性：内容科学，步骤清晰、合理，可实施性强； 3.针对性：能够紧扣项目实际情况，满足具体要求。 赋分标准（8分）： ①每一项评审内容完全满足评审标准得4分； ②每一项评审内容，若存在不明确、不合理、不完整、针对性不强等方面，扣0.5分； ③每一项评审内容不提供或完全背离评审标准得0分。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技术部分.pdf</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评审内容： 内容至少包括①安全生产管理制度②安全施工措施③安全应急预案④安全生产教育。 评审标准： 1.完整性：响应全面，对评审内容中的各项要求有详细描述； 2.可实施性：内容科学，步骤清晰、合理，可实施性强； 3.针对性：能够紧扣项目实际情况，满足具体要求。 赋分标准（8分）： ①每一项评审内容完全满足评审标准得2分； ②每一项评审内容，若存在不明确、不合理、不完整、针对性不强等方面，扣0.5分； ③每一项评审内容不提供或完全背离评审标准得0分。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技术部分.pdf</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评审内容： 内容至少包括①文明施工管理及保障措施；②防尘降噪措施；③环境保护管理及保障措施。 评审标准： 1.完整性：响应全面，对评审内容中的各项要求有详细描述； 2.可实施性：内容科学，步骤清晰、合理，可实施性强； 3.针对性：能够紧扣项目实际情况，满足具体要求。 赋分标准（ 6分）： ①每一项评审内容完全满足评审标准得2分； ②每一项评审内容，若存在不明确、不合理、不完整、针对性不强等方面，扣0.5分； ③每一项评审内容不提供或完全背离评审标准得0分。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技术部分.pdf</w:t>
            </w:r>
          </w:p>
        </w:tc>
      </w:tr>
      <w:tr>
        <w:tc>
          <w:tcPr>
            <w:tcW w:type="dxa" w:w="831"/>
            <w:vMerge/>
          </w:tcPr>
          <w:p/>
        </w:tc>
        <w:tc>
          <w:tcPr>
            <w:tcW w:type="dxa" w:w="1661"/>
          </w:tcPr>
          <w:p>
            <w:pPr>
              <w:pStyle w:val="null3"/>
            </w:pPr>
            <w:r>
              <w:rPr>
                <w:rFonts w:ascii="仿宋_GB2312" w:hAnsi="仿宋_GB2312" w:cs="仿宋_GB2312" w:eastAsia="仿宋_GB2312"/>
              </w:rPr>
              <w:t>主要技术及管理人员配置</w:t>
            </w:r>
          </w:p>
        </w:tc>
        <w:tc>
          <w:tcPr>
            <w:tcW w:type="dxa" w:w="2492"/>
          </w:tcPr>
          <w:p>
            <w:pPr>
              <w:pStyle w:val="null3"/>
            </w:pPr>
            <w:r>
              <w:rPr>
                <w:rFonts w:ascii="仿宋_GB2312" w:hAnsi="仿宋_GB2312" w:cs="仿宋_GB2312" w:eastAsia="仿宋_GB2312"/>
              </w:rPr>
              <w:t>项目部配备施工员、质量员、安全员、材料员、资料员。以上人员配备齐全、岗位职责分工明确、资料齐全的得满分15分，人员配备少1人或该人员未提供相关资料扣3分，扣完为止；（需提供拟派人员身份证、执业资格证书扫描件以及近三个月社保缴纳证明，且应加盖投标供应商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技术、服务、商务及其他要求.docx</w:t>
            </w:r>
          </w:p>
          <w:p>
            <w:pPr>
              <w:pStyle w:val="null3"/>
            </w:pPr>
            <w:r>
              <w:rPr>
                <w:rFonts w:ascii="仿宋_GB2312" w:hAnsi="仿宋_GB2312" w:cs="仿宋_GB2312" w:eastAsia="仿宋_GB2312"/>
              </w:rPr>
              <w:t>商务部分.pdf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提供2023年1月1日至投标截止时间前（以合同签订时间为准）类似工程业绩；每提供一个业绩得2.5分，本项最高得5分。（业绩证明需提供施工合同和中标通知书复印件并加盖投标供应商公章。)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商务部分.pdf</w:t>
            </w:r>
          </w:p>
          <w:p>
            <w:pPr>
              <w:pStyle w:val="null3"/>
            </w:pPr>
            <w:r>
              <w:rPr>
                <w:rFonts w:ascii="仿宋_GB2312" w:hAnsi="仿宋_GB2312" w:cs="仿宋_GB2312" w:eastAsia="仿宋_GB2312"/>
              </w:rPr>
              <w:t>技术、服务、商务及其他要求.docx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已标价工程量清单.docx</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价格分应当采用低价优先法计算，即满足磋商文件要求且磋商报价最低的报价为评标基准价，其价格分为满分。其他供应商的价格分统一按照下列公式计算： 磋商报价得分=(评标基准价／有效磋商报价)×价格权值×100 注：1.计算分数时四舍五入取小数点后两位。 2.因本项目为专门面向中小企业采购的项目，故不再执行价格评审优惠的扶持政策。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已标价工程量清单.docx</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详见附件：已标价工程量清单.docx</w:t>
      </w:r>
    </w:p>
    <w:p>
      <w:pPr>
        <w:pStyle w:val="null3"/>
        <w:ind w:firstLine="960"/>
      </w:pPr>
      <w:r>
        <w:rPr>
          <w:rFonts w:ascii="仿宋_GB2312" w:hAnsi="仿宋_GB2312" w:cs="仿宋_GB2312" w:eastAsia="仿宋_GB2312"/>
        </w:rPr>
        <w:t>详见附件：技术、服务、商务及其他要求.docx</w:t>
      </w:r>
    </w:p>
    <w:p>
      <w:pPr>
        <w:pStyle w:val="null3"/>
        <w:ind w:firstLine="960"/>
      </w:pPr>
      <w:r>
        <w:rPr>
          <w:rFonts w:ascii="仿宋_GB2312" w:hAnsi="仿宋_GB2312" w:cs="仿宋_GB2312" w:eastAsia="仿宋_GB2312"/>
        </w:rPr>
        <w:t>详见附件：相关资格证明文件.pdf</w:t>
      </w:r>
    </w:p>
    <w:p>
      <w:pPr>
        <w:pStyle w:val="null3"/>
        <w:ind w:firstLine="960"/>
      </w:pPr>
      <w:r>
        <w:rPr>
          <w:rFonts w:ascii="仿宋_GB2312" w:hAnsi="仿宋_GB2312" w:cs="仿宋_GB2312" w:eastAsia="仿宋_GB2312"/>
        </w:rPr>
        <w:t>详见附件：商务部分.pdf</w:t>
      </w:r>
    </w:p>
    <w:p>
      <w:pPr>
        <w:pStyle w:val="null3"/>
        <w:ind w:firstLine="960"/>
      </w:pPr>
      <w:r>
        <w:rPr>
          <w:rFonts w:ascii="仿宋_GB2312" w:hAnsi="仿宋_GB2312" w:cs="仿宋_GB2312" w:eastAsia="仿宋_GB2312"/>
        </w:rPr>
        <w:t>详见附件：技术部分.pdf</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