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5A204">
      <w:pPr>
        <w:ind w:firstLine="640"/>
        <w:rPr>
          <w:rFonts w:hint="eastAsia" w:ascii="宋体" w:hAnsi="宋体" w:cs="仿宋"/>
          <w:color w:val="auto"/>
          <w:sz w:val="24"/>
          <w:szCs w:val="24"/>
          <w:highlight w:val="none"/>
        </w:rPr>
      </w:pPr>
      <w:r>
        <w:rPr>
          <w:rFonts w:hint="eastAsia" w:ascii="宋体" w:hAnsi="宋体" w:cs="仿宋"/>
          <w:color w:val="auto"/>
          <w:sz w:val="24"/>
          <w:szCs w:val="24"/>
          <w:highlight w:val="none"/>
          <w:lang w:val="zh-CN"/>
        </w:rPr>
        <w:t>本合同条款使用建设部、国家工商行政管理局2017年09月22日印发的《建设工程施工合同(示范文本)》(GF-2017-0201)格式填写。（本章合同条款中已填写的内容仅供参考具体以双方最终签订合同为准！）</w:t>
      </w:r>
    </w:p>
    <w:p w14:paraId="054489A3">
      <w:pPr>
        <w:ind w:firstLine="640"/>
        <w:rPr>
          <w:rFonts w:hint="eastAsia" w:ascii="宋体" w:hAnsi="宋体" w:cs="仿宋"/>
          <w:color w:val="auto"/>
          <w:sz w:val="28"/>
          <w:szCs w:val="28"/>
          <w:highlight w:val="none"/>
        </w:rPr>
      </w:pPr>
    </w:p>
    <w:p w14:paraId="7CE94D56">
      <w:pPr>
        <w:bidi w:val="0"/>
        <w:rPr>
          <w:rFonts w:hint="eastAsia"/>
          <w:color w:val="auto"/>
          <w:highlight w:val="none"/>
        </w:rPr>
      </w:pPr>
    </w:p>
    <w:p w14:paraId="6D538B71">
      <w:pPr>
        <w:bidi w:val="0"/>
        <w:rPr>
          <w:rFonts w:hint="eastAsia"/>
          <w:color w:val="auto"/>
          <w:highlight w:val="none"/>
        </w:rPr>
      </w:pPr>
    </w:p>
    <w:p w14:paraId="638B5B09">
      <w:pPr>
        <w:bidi w:val="0"/>
        <w:rPr>
          <w:rFonts w:hint="eastAsia"/>
          <w:color w:val="auto"/>
          <w:highlight w:val="none"/>
        </w:rPr>
      </w:pPr>
    </w:p>
    <w:p w14:paraId="3298F4EC">
      <w:pPr>
        <w:bidi w:val="0"/>
        <w:rPr>
          <w:rFonts w:hint="eastAsia"/>
          <w:color w:val="auto"/>
          <w:highlight w:val="none"/>
        </w:rPr>
      </w:pPr>
    </w:p>
    <w:p w14:paraId="7A54B23E">
      <w:pPr>
        <w:bidi w:val="0"/>
        <w:rPr>
          <w:rFonts w:hint="eastAsia"/>
          <w:color w:val="auto"/>
          <w:highlight w:val="none"/>
        </w:rPr>
      </w:pPr>
    </w:p>
    <w:p w14:paraId="0A960188">
      <w:pPr>
        <w:bidi w:val="0"/>
        <w:rPr>
          <w:rFonts w:hint="eastAsia" w:ascii="宋体" w:hAnsi="宋体" w:cs="仿宋"/>
          <w:color w:val="auto"/>
          <w:sz w:val="28"/>
          <w:szCs w:val="28"/>
          <w:highlight w:val="none"/>
        </w:rPr>
      </w:pPr>
      <w:r>
        <w:rPr>
          <w:rFonts w:hint="eastAsia"/>
          <w:color w:val="auto"/>
          <w:highlight w:val="none"/>
        </w:rPr>
        <w:br w:type="page"/>
      </w:r>
      <w:bookmarkStart w:id="494" w:name="_GoBack"/>
      <w:bookmarkEnd w:id="494"/>
    </w:p>
    <w:p w14:paraId="601C0BED">
      <w:pPr>
        <w:ind w:firstLine="640"/>
        <w:rPr>
          <w:rFonts w:hint="eastAsia" w:ascii="宋体" w:hAnsi="宋体" w:cs="仿宋"/>
          <w:color w:val="auto"/>
          <w:sz w:val="28"/>
          <w:szCs w:val="28"/>
          <w:highlight w:val="none"/>
        </w:rPr>
      </w:pPr>
      <w:r>
        <w:rPr>
          <w:rFonts w:hint="eastAsia" w:ascii="宋体" w:hAnsi="宋体" w:cs="仿宋"/>
          <w:color w:val="auto"/>
          <w:sz w:val="28"/>
          <w:szCs w:val="28"/>
          <w:highlight w:val="none"/>
        </w:rPr>
        <w:t>GF—2017—0201</w:t>
      </w:r>
    </w:p>
    <w:p w14:paraId="53247D41">
      <w:pPr>
        <w:ind w:firstLine="562"/>
        <w:rPr>
          <w:rFonts w:hint="eastAsia" w:ascii="宋体" w:hAnsi="宋体" w:cs="仿宋"/>
          <w:b/>
          <w:bCs/>
          <w:color w:val="auto"/>
          <w:sz w:val="28"/>
          <w:highlight w:val="none"/>
        </w:rPr>
      </w:pPr>
    </w:p>
    <w:p w14:paraId="40EBEB2C">
      <w:pPr>
        <w:ind w:firstLine="482"/>
        <w:rPr>
          <w:rFonts w:hint="eastAsia" w:ascii="宋体" w:hAnsi="宋体" w:cs="仿宋"/>
          <w:b/>
          <w:bCs/>
          <w:color w:val="auto"/>
          <w:highlight w:val="none"/>
        </w:rPr>
      </w:pPr>
    </w:p>
    <w:p w14:paraId="36238D16">
      <w:pPr>
        <w:ind w:firstLine="482"/>
        <w:rPr>
          <w:rFonts w:hint="eastAsia" w:ascii="宋体" w:hAnsi="宋体" w:cs="仿宋"/>
          <w:b/>
          <w:bCs/>
          <w:color w:val="auto"/>
          <w:highlight w:val="none"/>
        </w:rPr>
      </w:pPr>
    </w:p>
    <w:p w14:paraId="79D56F1E">
      <w:pPr>
        <w:bidi w:val="0"/>
        <w:rPr>
          <w:rFonts w:hint="eastAsia"/>
          <w:color w:val="auto"/>
          <w:highlight w:val="none"/>
        </w:rPr>
      </w:pPr>
    </w:p>
    <w:p w14:paraId="5625B521">
      <w:pPr>
        <w:bidi w:val="0"/>
        <w:rPr>
          <w:rFonts w:hint="eastAsia"/>
          <w:color w:val="auto"/>
          <w:highlight w:val="none"/>
        </w:rPr>
      </w:pPr>
    </w:p>
    <w:p w14:paraId="34C85FAC">
      <w:pPr>
        <w:rPr>
          <w:rFonts w:hint="eastAsia"/>
          <w:color w:val="auto"/>
          <w:highlight w:val="none"/>
        </w:rPr>
      </w:pPr>
    </w:p>
    <w:p w14:paraId="7E569C33">
      <w:pPr>
        <w:bidi w:val="0"/>
        <w:rPr>
          <w:rFonts w:hint="eastAsia"/>
          <w:color w:val="auto"/>
          <w:highlight w:val="none"/>
        </w:rPr>
      </w:pPr>
    </w:p>
    <w:p w14:paraId="1C6F8B0C">
      <w:pPr>
        <w:rPr>
          <w:rFonts w:hint="eastAsia"/>
          <w:color w:val="auto"/>
          <w:highlight w:val="none"/>
        </w:rPr>
      </w:pPr>
    </w:p>
    <w:p w14:paraId="5885285B">
      <w:pPr>
        <w:pStyle w:val="2"/>
        <w:rPr>
          <w:rFonts w:hint="eastAsia"/>
        </w:rPr>
      </w:pPr>
    </w:p>
    <w:p w14:paraId="4C1D6DBC">
      <w:pPr>
        <w:spacing w:line="240" w:lineRule="auto"/>
        <w:ind w:firstLine="0" w:firstLineChars="0"/>
        <w:jc w:val="center"/>
        <w:rPr>
          <w:rFonts w:hint="eastAsia" w:ascii="宋体" w:hAnsi="宋体" w:cs="仿宋"/>
          <w:b/>
          <w:bCs/>
          <w:color w:val="auto"/>
          <w:spacing w:val="80"/>
          <w:sz w:val="44"/>
          <w:szCs w:val="44"/>
          <w:highlight w:val="none"/>
        </w:rPr>
      </w:pPr>
    </w:p>
    <w:p w14:paraId="6B4D6FEE">
      <w:pPr>
        <w:spacing w:line="240" w:lineRule="auto"/>
        <w:ind w:firstLine="0" w:firstLineChars="0"/>
        <w:jc w:val="center"/>
        <w:rPr>
          <w:rFonts w:hint="eastAsia" w:ascii="宋体" w:hAnsi="宋体" w:cs="仿宋"/>
          <w:b/>
          <w:bCs/>
          <w:color w:val="auto"/>
          <w:spacing w:val="80"/>
          <w:sz w:val="52"/>
          <w:szCs w:val="52"/>
          <w:highlight w:val="none"/>
        </w:rPr>
      </w:pPr>
      <w:r>
        <w:rPr>
          <w:rFonts w:hint="eastAsia" w:ascii="宋体" w:hAnsi="宋体" w:cs="仿宋"/>
          <w:b/>
          <w:bCs/>
          <w:color w:val="auto"/>
          <w:spacing w:val="80"/>
          <w:sz w:val="44"/>
          <w:szCs w:val="44"/>
          <w:highlight w:val="none"/>
        </w:rPr>
        <w:t>建设工程施工合同</w:t>
      </w:r>
    </w:p>
    <w:p w14:paraId="17E9C5AF">
      <w:pPr>
        <w:spacing w:line="240" w:lineRule="atLeast"/>
        <w:ind w:firstLine="198" w:firstLineChars="62"/>
        <w:jc w:val="center"/>
        <w:rPr>
          <w:rFonts w:hint="eastAsia" w:ascii="宋体" w:hAnsi="宋体" w:cs="仿宋"/>
          <w:color w:val="auto"/>
          <w:sz w:val="32"/>
          <w:szCs w:val="32"/>
          <w:highlight w:val="none"/>
        </w:rPr>
      </w:pPr>
    </w:p>
    <w:p w14:paraId="17EB5DC4">
      <w:pPr>
        <w:spacing w:line="240" w:lineRule="atLeast"/>
        <w:ind w:firstLine="198" w:firstLineChars="62"/>
        <w:jc w:val="center"/>
        <w:rPr>
          <w:rFonts w:hint="eastAsia" w:ascii="宋体" w:hAnsi="宋体" w:cs="仿宋"/>
          <w:color w:val="auto"/>
          <w:sz w:val="32"/>
          <w:szCs w:val="32"/>
          <w:highlight w:val="none"/>
        </w:rPr>
      </w:pPr>
    </w:p>
    <w:p w14:paraId="6EFE5247">
      <w:pPr>
        <w:spacing w:line="240" w:lineRule="atLeast"/>
        <w:ind w:firstLine="198" w:firstLineChars="62"/>
        <w:jc w:val="center"/>
        <w:rPr>
          <w:rFonts w:hint="eastAsia" w:ascii="宋体" w:hAnsi="宋体" w:cs="仿宋"/>
          <w:color w:val="auto"/>
          <w:sz w:val="32"/>
          <w:szCs w:val="32"/>
          <w:highlight w:val="none"/>
        </w:rPr>
      </w:pPr>
    </w:p>
    <w:p w14:paraId="691855E8">
      <w:pPr>
        <w:spacing w:line="240" w:lineRule="atLeast"/>
        <w:ind w:firstLine="197" w:firstLineChars="49"/>
        <w:jc w:val="center"/>
        <w:rPr>
          <w:rFonts w:hint="eastAsia" w:ascii="宋体" w:hAnsi="宋体" w:cs="仿宋"/>
          <w:b/>
          <w:bCs/>
          <w:color w:val="auto"/>
          <w:spacing w:val="20"/>
          <w:sz w:val="36"/>
          <w:highlight w:val="none"/>
        </w:rPr>
      </w:pPr>
    </w:p>
    <w:p w14:paraId="3BFF43B8">
      <w:pPr>
        <w:spacing w:line="240" w:lineRule="atLeast"/>
        <w:ind w:firstLine="197" w:firstLineChars="49"/>
        <w:jc w:val="center"/>
        <w:rPr>
          <w:rFonts w:hint="eastAsia" w:ascii="宋体" w:hAnsi="宋体" w:cs="仿宋"/>
          <w:b/>
          <w:bCs/>
          <w:color w:val="auto"/>
          <w:spacing w:val="20"/>
          <w:sz w:val="36"/>
          <w:highlight w:val="none"/>
        </w:rPr>
      </w:pPr>
    </w:p>
    <w:p w14:paraId="300DC398">
      <w:pPr>
        <w:spacing w:line="240" w:lineRule="atLeast"/>
        <w:ind w:firstLine="197" w:firstLineChars="49"/>
        <w:jc w:val="center"/>
        <w:rPr>
          <w:rFonts w:hint="eastAsia" w:ascii="宋体" w:hAnsi="宋体" w:cs="仿宋"/>
          <w:b/>
          <w:bCs/>
          <w:color w:val="auto"/>
          <w:spacing w:val="20"/>
          <w:sz w:val="36"/>
          <w:highlight w:val="none"/>
        </w:rPr>
      </w:pPr>
    </w:p>
    <w:p w14:paraId="2E266F87">
      <w:pPr>
        <w:spacing w:line="240" w:lineRule="atLeast"/>
        <w:ind w:firstLine="197" w:firstLineChars="49"/>
        <w:jc w:val="center"/>
        <w:rPr>
          <w:rFonts w:hint="eastAsia" w:ascii="宋体" w:hAnsi="宋体" w:cs="仿宋"/>
          <w:b/>
          <w:bCs/>
          <w:color w:val="auto"/>
          <w:spacing w:val="20"/>
          <w:sz w:val="36"/>
          <w:highlight w:val="none"/>
        </w:rPr>
      </w:pPr>
    </w:p>
    <w:p w14:paraId="5828CF49">
      <w:pPr>
        <w:spacing w:line="240" w:lineRule="atLeast"/>
        <w:ind w:firstLine="197" w:firstLineChars="49"/>
        <w:jc w:val="center"/>
        <w:rPr>
          <w:rFonts w:hint="eastAsia" w:ascii="宋体" w:hAnsi="宋体" w:cs="仿宋"/>
          <w:b/>
          <w:bCs/>
          <w:color w:val="auto"/>
          <w:spacing w:val="20"/>
          <w:sz w:val="36"/>
          <w:highlight w:val="none"/>
        </w:rPr>
      </w:pPr>
    </w:p>
    <w:p w14:paraId="3BA012E7">
      <w:pPr>
        <w:pStyle w:val="2"/>
        <w:rPr>
          <w:rFonts w:hint="eastAsia" w:ascii="宋体" w:hAnsi="宋体" w:cs="仿宋"/>
          <w:b/>
          <w:bCs/>
          <w:color w:val="auto"/>
          <w:spacing w:val="20"/>
          <w:sz w:val="36"/>
          <w:highlight w:val="none"/>
        </w:rPr>
      </w:pPr>
    </w:p>
    <w:p w14:paraId="78D3A478">
      <w:pPr>
        <w:rPr>
          <w:rFonts w:hint="eastAsia"/>
        </w:rPr>
      </w:pPr>
    </w:p>
    <w:p w14:paraId="6B69E91D">
      <w:pPr>
        <w:spacing w:line="240" w:lineRule="atLeast"/>
        <w:ind w:firstLine="197" w:firstLineChars="49"/>
        <w:jc w:val="center"/>
        <w:rPr>
          <w:rFonts w:hint="eastAsia" w:ascii="宋体" w:hAnsi="宋体" w:cs="仿宋"/>
          <w:b/>
          <w:bCs/>
          <w:color w:val="auto"/>
          <w:spacing w:val="20"/>
          <w:sz w:val="36"/>
          <w:highlight w:val="none"/>
        </w:rPr>
      </w:pPr>
    </w:p>
    <w:p w14:paraId="7BE60E49">
      <w:pPr>
        <w:spacing w:line="240" w:lineRule="atLeast"/>
        <w:ind w:left="1681" w:hanging="2685" w:hangingChars="465"/>
        <w:jc w:val="center"/>
        <w:rPr>
          <w:rFonts w:hint="eastAsia" w:ascii="宋体" w:hAnsi="宋体" w:cs="仿宋"/>
          <w:b/>
          <w:bCs/>
          <w:color w:val="auto"/>
          <w:spacing w:val="108"/>
          <w:sz w:val="36"/>
          <w:highlight w:val="none"/>
        </w:rPr>
      </w:pPr>
      <w:r>
        <w:rPr>
          <w:rFonts w:hint="eastAsia" w:ascii="宋体" w:hAnsi="宋体" w:cs="仿宋"/>
          <w:b/>
          <w:bCs/>
          <w:color w:val="auto"/>
          <w:spacing w:val="108"/>
          <w:sz w:val="36"/>
          <w:highlight w:val="none"/>
        </w:rPr>
        <mc:AlternateContent>
          <mc:Choice Requires="wps">
            <w:drawing>
              <wp:anchor distT="0" distB="0" distL="114300" distR="114300" simplePos="0" relativeHeight="251659264" behindDoc="0" locked="0" layoutInCell="1" allowOverlap="1">
                <wp:simplePos x="0" y="0"/>
                <wp:positionH relativeFrom="column">
                  <wp:posOffset>4594225</wp:posOffset>
                </wp:positionH>
                <wp:positionV relativeFrom="paragraph">
                  <wp:posOffset>120015</wp:posOffset>
                </wp:positionV>
                <wp:extent cx="847725" cy="590550"/>
                <wp:effectExtent l="0" t="0" r="9525" b="0"/>
                <wp:wrapNone/>
                <wp:docPr id="2" name="文本框 2"/>
                <wp:cNvGraphicFramePr/>
                <a:graphic xmlns:a="http://schemas.openxmlformats.org/drawingml/2006/main">
                  <a:graphicData uri="http://schemas.microsoft.com/office/word/2010/wordprocessingShape">
                    <wps:wsp>
                      <wps:cNvSpPr txBox="1"/>
                      <wps:spPr>
                        <a:xfrm>
                          <a:off x="0" y="0"/>
                          <a:ext cx="847725" cy="590550"/>
                        </a:xfrm>
                        <a:prstGeom prst="rect">
                          <a:avLst/>
                        </a:prstGeom>
                        <a:solidFill>
                          <a:srgbClr val="FFFFFF"/>
                        </a:solidFill>
                        <a:ln>
                          <a:noFill/>
                        </a:ln>
                        <a:effectLst/>
                      </wps:spPr>
                      <wps:txbx>
                        <w:txbxContent>
                          <w:p w14:paraId="2F80EDED">
                            <w:pPr>
                              <w:ind w:firstLine="0" w:firstLineChars="0"/>
                              <w:rPr>
                                <w:rFonts w:ascii="宋体"/>
                              </w:rPr>
                            </w:pPr>
                            <w:r>
                              <w:rPr>
                                <w:rFonts w:hint="eastAsia" w:ascii="宋体"/>
                                <w:b/>
                                <w:bCs/>
                                <w:sz w:val="36"/>
                              </w:rPr>
                              <w:t>制定</w:t>
                            </w:r>
                          </w:p>
                        </w:txbxContent>
                      </wps:txbx>
                      <wps:bodyPr upright="1"/>
                    </wps:wsp>
                  </a:graphicData>
                </a:graphic>
              </wp:anchor>
            </w:drawing>
          </mc:Choice>
          <mc:Fallback>
            <w:pict>
              <v:shape id="_x0000_s1026" o:spid="_x0000_s1026" o:spt="202" type="#_x0000_t202" style="position:absolute;left:0pt;margin-left:361.75pt;margin-top:9.45pt;height:46.5pt;width:66.75pt;z-index:251659264;mso-width-relative:page;mso-height-relative:page;" fillcolor="#FFFFFF" filled="t" stroked="f" coordsize="21600,21600" o:gfxdata="UEsDBAoAAAAAAIdO4kAAAAAAAAAAAAAAAAAEAAAAZHJzL1BLAwQUAAAACACHTuJAxfnQrdcAAAAK&#10;AQAADwAAAGRycy9kb3ducmV2LnhtbE2PzU7DQAyE70i8w8pIXBDdpJDmh2wqgQTi2tIHcBI3ich6&#10;o+y2ad8ec4KjZz6NZ8rtxY7qTLMfHBuIVxEo4sa1A3cGDl/vjxkoH5BbHB2TgSt52Fa3NyUWrVt4&#10;R+d96JSEsC/QQB/CVGjtm54s+pWbiMU7utlikHPudDvjIuF21Oso2miLA8uHHid666n53p+sgePn&#10;8pDkS/0RDunuefOKQ1q7qzH3d3H0AirQJfzB8FtfqkMlnWp34tar0UC6fkoEFSPLQQmQJamMq0WI&#10;4xx0Ver/E6ofUEsDBBQAAAAIAIdO4kAdA0COxwEAAIQDAAAOAAAAZHJzL2Uyb0RvYy54bWytU8GO&#10;0zAQvSPxD5bvNNmIskvUdCWoygUB0sIHuI6TWLI9lsdt0x+AP+DEhTvf1e9g7GTLslz2QA7OeGb8&#10;Zt4be3U7WsMOKqAG1/CrRcmZchJa7fqGf/m8fXHDGUbhWmHAqYafFPLb9fNnq6OvVQUDmFYFRiAO&#10;66Nv+BCjr4sC5aCswAV45SjYQbAi0jb0RRvEkdCtKaqyfFUcIbQ+gFSI5N1MQT4jhqcAQtdpqTYg&#10;91a5OKEGZUQkSjhoj3ydu+06JePHrkMVmWk4MY15pSJk79JarFei7oPwg5ZzC+IpLTziZIV2VPQC&#10;tRFRsH3Q/0BZLQMgdHEhwRYTkawIsbgqH2lzNwivMheSGv1FdPx/sPLD4VNgum14xZkTlgZ+/v7t&#10;/OPX+edXViV5jh5ryrrzlBfHNzDSpbn3IzkT67ELNv2JD6M4iXu6iKvGyCQ5b15eX1dLziSFlq/L&#10;5TKLX/w57APGdwosS0bDA80uSyoO7zFSI5R6n5JqIRjdbrUxeRP63VsT2EHQnLf5Sz3Skb/SjEvJ&#10;DtKxKTx5VL4pc5lEeCKWrDjuxlmFHbQnEmHvg+4H6jDLUKQkGk4uNl+kNP2He7IfPp71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X50K3XAAAACgEAAA8AAAAAAAAAAQAgAAAAIgAAAGRycy9kb3du&#10;cmV2LnhtbFBLAQIUABQAAAAIAIdO4kAdA0COxwEAAIQDAAAOAAAAAAAAAAEAIAAAACYBAABkcnMv&#10;ZTJvRG9jLnhtbFBLBQYAAAAABgAGAFkBAABfBQAAAAA=&#10;">
                <v:path/>
                <v:fill on="t" focussize="0,0"/>
                <v:stroke on="f"/>
                <v:imagedata o:title=""/>
                <o:lock v:ext="edit" aspectratio="f"/>
                <v:textbox>
                  <w:txbxContent>
                    <w:p w14:paraId="2F80EDED">
                      <w:pPr>
                        <w:ind w:firstLine="0" w:firstLineChars="0"/>
                        <w:rPr>
                          <w:rFonts w:ascii="宋体"/>
                        </w:rPr>
                      </w:pPr>
                      <w:r>
                        <w:rPr>
                          <w:rFonts w:hint="eastAsia" w:ascii="宋体"/>
                          <w:b/>
                          <w:bCs/>
                          <w:sz w:val="36"/>
                        </w:rPr>
                        <w:t>制定</w:t>
                      </w:r>
                    </w:p>
                  </w:txbxContent>
                </v:textbox>
              </v:shape>
            </w:pict>
          </mc:Fallback>
        </mc:AlternateContent>
      </w:r>
      <w:r>
        <w:rPr>
          <w:rFonts w:hint="eastAsia" w:ascii="宋体" w:hAnsi="宋体" w:cs="仿宋"/>
          <w:b/>
          <w:bCs/>
          <w:color w:val="auto"/>
          <w:spacing w:val="108"/>
          <w:sz w:val="36"/>
          <w:highlight w:val="none"/>
        </w:rPr>
        <w:t>住房城乡建设部</w:t>
      </w:r>
    </w:p>
    <w:p w14:paraId="4ED37FCB">
      <w:pPr>
        <w:spacing w:line="240" w:lineRule="atLeast"/>
        <w:ind w:left="1867" w:hanging="1867" w:hangingChars="465"/>
        <w:jc w:val="center"/>
        <w:rPr>
          <w:rFonts w:hint="eastAsia" w:ascii="宋体" w:hAnsi="宋体" w:cs="仿宋"/>
          <w:b/>
          <w:bCs/>
          <w:color w:val="auto"/>
          <w:spacing w:val="20"/>
          <w:sz w:val="36"/>
          <w:highlight w:val="none"/>
        </w:rPr>
      </w:pPr>
      <w:r>
        <w:rPr>
          <w:rFonts w:hint="eastAsia" w:ascii="宋体" w:hAnsi="宋体" w:cs="仿宋"/>
          <w:b/>
          <w:bCs/>
          <w:color w:val="auto"/>
          <w:spacing w:val="20"/>
          <w:sz w:val="36"/>
          <w:highlight w:val="none"/>
        </w:rPr>
        <w:t>国家工商行政管理</w:t>
      </w:r>
      <w:r>
        <w:rPr>
          <w:rFonts w:hint="eastAsia" w:ascii="宋体" w:hAnsi="宋体" w:cs="仿宋"/>
          <w:b/>
          <w:bCs/>
          <w:color w:val="auto"/>
          <w:spacing w:val="20"/>
          <w:sz w:val="36"/>
          <w:highlight w:val="none"/>
          <w:lang w:eastAsia="zh-CN"/>
        </w:rPr>
        <w:t>总</w:t>
      </w:r>
      <w:r>
        <w:rPr>
          <w:rFonts w:hint="eastAsia" w:ascii="宋体" w:hAnsi="宋体" w:cs="仿宋"/>
          <w:b/>
          <w:bCs/>
          <w:color w:val="auto"/>
          <w:spacing w:val="20"/>
          <w:sz w:val="36"/>
          <w:highlight w:val="none"/>
        </w:rPr>
        <w:t>局</w:t>
      </w:r>
    </w:p>
    <w:p w14:paraId="7DF5845B">
      <w:pPr>
        <w:keepNext w:val="0"/>
        <w:keepLines w:val="0"/>
        <w:pageBreakBefore w:val="0"/>
        <w:widowControl w:val="0"/>
        <w:kinsoku/>
        <w:wordWrap/>
        <w:overflowPunct/>
        <w:topLinePunct w:val="0"/>
        <w:autoSpaceDE w:val="0"/>
        <w:autoSpaceDN w:val="0"/>
        <w:bidi w:val="0"/>
        <w:adjustRightInd/>
        <w:snapToGrid/>
        <w:spacing w:line="460" w:lineRule="exact"/>
        <w:ind w:firstLine="561"/>
        <w:textAlignment w:val="auto"/>
        <w:rPr>
          <w:rFonts w:hint="eastAsia" w:ascii="宋体" w:hAnsi="宋体" w:cs="仿宋"/>
          <w:color w:val="auto"/>
          <w:sz w:val="24"/>
          <w:szCs w:val="24"/>
          <w:highlight w:val="none"/>
          <w:lang w:val="zh-CN"/>
        </w:rPr>
      </w:pPr>
      <w:r>
        <w:rPr>
          <w:rFonts w:ascii="宋体" w:hAnsi="宋体" w:cs="仿宋"/>
          <w:color w:val="auto"/>
          <w:sz w:val="28"/>
          <w:szCs w:val="28"/>
          <w:highlight w:val="none"/>
        </w:rPr>
        <w:br w:type="page"/>
      </w:r>
    </w:p>
    <w:p w14:paraId="74C928E9">
      <w:pPr>
        <w:ind w:firstLine="643"/>
        <w:jc w:val="center"/>
        <w:rPr>
          <w:b/>
          <w:color w:val="auto"/>
          <w:sz w:val="30"/>
          <w:szCs w:val="30"/>
          <w:highlight w:val="none"/>
        </w:rPr>
      </w:pPr>
      <w:bookmarkStart w:id="0" w:name="_Toc452468062"/>
      <w:r>
        <w:rPr>
          <w:b/>
          <w:color w:val="auto"/>
          <w:sz w:val="30"/>
          <w:szCs w:val="30"/>
          <w:highlight w:val="none"/>
        </w:rPr>
        <w:t>第一部分 合同协议书</w:t>
      </w:r>
    </w:p>
    <w:p w14:paraId="083ADD9C">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color w:val="auto"/>
          <w:sz w:val="24"/>
          <w:szCs w:val="24"/>
          <w:highlight w:val="none"/>
        </w:rPr>
      </w:pPr>
    </w:p>
    <w:p w14:paraId="275BD816">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发包人（全称）：</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p>
    <w:p w14:paraId="4A92B538">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p>
    <w:p w14:paraId="60FED2E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》、《中华人民共和国建筑法》及有关法律规定，遵循平等、自愿、公平和诚实信用的原则，双方就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工程施工及有关事项协商一致，共同达成如下协议：</w:t>
      </w:r>
    </w:p>
    <w:p w14:paraId="4352FFDA">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bookmarkStart w:id="1" w:name="_Toc351203481"/>
      <w:r>
        <w:rPr>
          <w:rFonts w:hint="eastAsia" w:ascii="宋体" w:hAnsi="宋体" w:eastAsia="宋体" w:cs="宋体"/>
          <w:b/>
          <w:bCs/>
          <w:color w:val="auto"/>
          <w:sz w:val="24"/>
          <w:szCs w:val="24"/>
          <w:highlight w:val="none"/>
        </w:rPr>
        <w:t>一、工程概况</w:t>
      </w:r>
      <w:bookmarkEnd w:id="1"/>
    </w:p>
    <w:p w14:paraId="765216E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1.工程名称：</w:t>
      </w:r>
      <w:r>
        <w:rPr>
          <w:rFonts w:hint="eastAsia" w:ascii="宋体" w:hAnsi="宋体" w:cs="宋体"/>
          <w:color w:val="auto"/>
          <w:sz w:val="24"/>
          <w:szCs w:val="24"/>
          <w:highlight w:val="none"/>
          <w:u w:val="single"/>
          <w:lang w:val="en-US" w:eastAsia="zh-CN"/>
        </w:rPr>
        <w:t xml:space="preserve">                 </w:t>
      </w:r>
    </w:p>
    <w:p w14:paraId="4662765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2.工程地点：</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10CF79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3.工程立项批准文号：</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p>
    <w:p w14:paraId="44050FE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4.资金来源：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p>
    <w:p w14:paraId="4E6382E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5.工程内容：</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p>
    <w:p w14:paraId="2676997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6.工程承包范围：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p>
    <w:p w14:paraId="471C93F1">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bookmarkStart w:id="2" w:name="_Toc351203482"/>
      <w:r>
        <w:rPr>
          <w:rFonts w:hint="eastAsia" w:ascii="宋体" w:hAnsi="宋体" w:eastAsia="宋体" w:cs="宋体"/>
          <w:b/>
          <w:bCs/>
          <w:color w:val="auto"/>
          <w:sz w:val="24"/>
          <w:szCs w:val="24"/>
          <w:highlight w:val="none"/>
        </w:rPr>
        <w:t>二、合同工期</w:t>
      </w:r>
      <w:bookmarkEnd w:id="2"/>
    </w:p>
    <w:p w14:paraId="7090BCA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日。</w:t>
      </w:r>
    </w:p>
    <w:p w14:paraId="3970504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日。</w:t>
      </w:r>
    </w:p>
    <w:p w14:paraId="656CB31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工期总日历天数：</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天。工期总日历天数与根据前述计划开竣工日期计算的工期天数不一致的，以工期总日历天数为准。</w:t>
      </w:r>
    </w:p>
    <w:p w14:paraId="063BBC55">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bookmarkStart w:id="3" w:name="_Toc351203483"/>
      <w:r>
        <w:rPr>
          <w:rFonts w:hint="eastAsia" w:ascii="宋体" w:hAnsi="宋体" w:eastAsia="宋体" w:cs="宋体"/>
          <w:b/>
          <w:bCs/>
          <w:color w:val="auto"/>
          <w:sz w:val="24"/>
          <w:szCs w:val="24"/>
          <w:highlight w:val="none"/>
        </w:rPr>
        <w:t>三、质量标准</w:t>
      </w:r>
      <w:bookmarkEnd w:id="3"/>
    </w:p>
    <w:p w14:paraId="13D4474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highlight w:val="none"/>
          <w:u w:val="single"/>
        </w:rPr>
        <w:t>符合国家及行业规定的“合格”标准。</w:t>
      </w:r>
    </w:p>
    <w:p w14:paraId="1155354A">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bookmarkStart w:id="4" w:name="_Toc351203484"/>
      <w:r>
        <w:rPr>
          <w:rFonts w:hint="eastAsia" w:ascii="宋体" w:hAnsi="宋体" w:eastAsia="宋体" w:cs="宋体"/>
          <w:b/>
          <w:bCs/>
          <w:color w:val="auto"/>
          <w:sz w:val="24"/>
          <w:szCs w:val="24"/>
          <w:highlight w:val="none"/>
        </w:rPr>
        <w:t>四、签约合同价与合同价格形式</w:t>
      </w:r>
      <w:bookmarkEnd w:id="4"/>
    </w:p>
    <w:p w14:paraId="4E24F28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1.签约合同价为：</w:t>
      </w:r>
    </w:p>
    <w:p w14:paraId="016311D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            元)</w:t>
      </w:r>
      <w:r>
        <w:rPr>
          <w:rFonts w:hint="eastAsia" w:ascii="宋体" w:hAnsi="宋体" w:eastAsia="宋体" w:cs="宋体"/>
          <w:color w:val="auto"/>
          <w:sz w:val="24"/>
          <w:szCs w:val="24"/>
          <w:highlight w:val="none"/>
        </w:rPr>
        <w:t>；</w:t>
      </w:r>
    </w:p>
    <w:p w14:paraId="79B25E5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p w14:paraId="41E2105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安全文明施工费：</w:t>
      </w:r>
    </w:p>
    <w:p w14:paraId="25FD328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          元)</w:t>
      </w:r>
      <w:r>
        <w:rPr>
          <w:rFonts w:hint="eastAsia" w:ascii="宋体" w:hAnsi="宋体" w:eastAsia="宋体" w:cs="宋体"/>
          <w:color w:val="auto"/>
          <w:sz w:val="24"/>
          <w:szCs w:val="24"/>
          <w:highlight w:val="none"/>
        </w:rPr>
        <w:t>；</w:t>
      </w:r>
    </w:p>
    <w:p w14:paraId="02DEC15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固定单价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CA485B">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bookmarkStart w:id="5" w:name="_Toc351203485"/>
      <w:r>
        <w:rPr>
          <w:rFonts w:hint="eastAsia" w:ascii="宋体" w:hAnsi="宋体" w:eastAsia="宋体" w:cs="宋体"/>
          <w:b/>
          <w:bCs/>
          <w:color w:val="auto"/>
          <w:sz w:val="24"/>
          <w:szCs w:val="24"/>
          <w:highlight w:val="none"/>
        </w:rPr>
        <w:t>五、</w:t>
      </w:r>
      <w:bookmarkEnd w:id="5"/>
      <w:r>
        <w:rPr>
          <w:rFonts w:hint="eastAsia" w:ascii="宋体" w:hAnsi="宋体" w:eastAsia="宋体" w:cs="宋体"/>
          <w:b/>
          <w:bCs/>
          <w:color w:val="auto"/>
          <w:sz w:val="24"/>
          <w:szCs w:val="24"/>
          <w:highlight w:val="none"/>
        </w:rPr>
        <w:t>项目经理</w:t>
      </w:r>
    </w:p>
    <w:p w14:paraId="67A3DD1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330DC9E0">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bookmarkStart w:id="6" w:name="_Toc351203486"/>
      <w:r>
        <w:rPr>
          <w:rFonts w:hint="eastAsia" w:ascii="宋体" w:hAnsi="宋体" w:eastAsia="宋体" w:cs="宋体"/>
          <w:b/>
          <w:bCs/>
          <w:color w:val="auto"/>
          <w:sz w:val="24"/>
          <w:szCs w:val="24"/>
          <w:highlight w:val="none"/>
        </w:rPr>
        <w:t>六、合同文件构成</w:t>
      </w:r>
      <w:bookmarkEnd w:id="6"/>
    </w:p>
    <w:p w14:paraId="1578FDA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本协议书与下列文件一起构成合同文件：</w:t>
      </w:r>
    </w:p>
    <w:p w14:paraId="5A7AC71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通知书（如果有）；</w:t>
      </w:r>
    </w:p>
    <w:p w14:paraId="28F6584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 xml:space="preserve">函及其附录（如果有）； </w:t>
      </w:r>
    </w:p>
    <w:p w14:paraId="6E4141F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（3）专用合同条款及其附件；</w:t>
      </w:r>
    </w:p>
    <w:p w14:paraId="6B311C1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（4）通用合同条款；</w:t>
      </w:r>
    </w:p>
    <w:p w14:paraId="436B684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（5）技术标准和要求；</w:t>
      </w:r>
    </w:p>
    <w:p w14:paraId="45230D1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14:paraId="6B7817E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（7）已标价工程量清单或预算书；</w:t>
      </w:r>
    </w:p>
    <w:p w14:paraId="7723EBD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14:paraId="33C9605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343B2D6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6FBE4AE3">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bookmarkStart w:id="7" w:name="_Toc351203487"/>
      <w:r>
        <w:rPr>
          <w:rFonts w:hint="eastAsia" w:ascii="宋体" w:hAnsi="宋体" w:eastAsia="宋体" w:cs="宋体"/>
          <w:b/>
          <w:bCs/>
          <w:color w:val="auto"/>
          <w:sz w:val="24"/>
          <w:szCs w:val="24"/>
          <w:highlight w:val="none"/>
        </w:rPr>
        <w:t>七、承诺</w:t>
      </w:r>
      <w:bookmarkEnd w:id="7"/>
    </w:p>
    <w:p w14:paraId="0CB2CF3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1.发包人承诺按照法律规定履行项目审批手续、筹集工程建设资金并按照合同约定的期限和方式支付合同价款。</w:t>
      </w:r>
    </w:p>
    <w:p w14:paraId="54F3119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66CE238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3.发包人和承包人通过招投标形式签订合同的，双方理解并承诺不再就同一工程另行签订与合同实质性内容相背离的协议。</w:t>
      </w:r>
    </w:p>
    <w:p w14:paraId="7E7C395C">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bookmarkStart w:id="8" w:name="_Toc351203488"/>
      <w:r>
        <w:rPr>
          <w:rFonts w:hint="eastAsia" w:ascii="宋体" w:hAnsi="宋体" w:eastAsia="宋体" w:cs="宋体"/>
          <w:b/>
          <w:bCs/>
          <w:color w:val="auto"/>
          <w:sz w:val="24"/>
          <w:szCs w:val="24"/>
          <w:highlight w:val="none"/>
        </w:rPr>
        <w:t>八、词语含义</w:t>
      </w:r>
      <w:bookmarkEnd w:id="8"/>
    </w:p>
    <w:p w14:paraId="79E4365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本协议书中词语含义与第二部分通用合同条款中赋予的含义相同。</w:t>
      </w:r>
    </w:p>
    <w:p w14:paraId="2909A9D6">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bookmarkStart w:id="9" w:name="_Toc351203489"/>
      <w:r>
        <w:rPr>
          <w:rFonts w:hint="eastAsia" w:ascii="宋体" w:hAnsi="宋体" w:eastAsia="宋体" w:cs="宋体"/>
          <w:b/>
          <w:bCs/>
          <w:color w:val="auto"/>
          <w:sz w:val="24"/>
          <w:szCs w:val="24"/>
          <w:highlight w:val="none"/>
        </w:rPr>
        <w:t>九、签订时间</w:t>
      </w:r>
      <w:bookmarkEnd w:id="9"/>
    </w:p>
    <w:p w14:paraId="1E3B1EF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日签订。</w:t>
      </w:r>
    </w:p>
    <w:p w14:paraId="6FD33793">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bookmarkStart w:id="10" w:name="_Toc351203490"/>
      <w:r>
        <w:rPr>
          <w:rFonts w:hint="eastAsia" w:ascii="宋体" w:hAnsi="宋体" w:eastAsia="宋体" w:cs="宋体"/>
          <w:b/>
          <w:bCs/>
          <w:color w:val="auto"/>
          <w:sz w:val="24"/>
          <w:szCs w:val="24"/>
          <w:highlight w:val="none"/>
        </w:rPr>
        <w:t>十、签订地点</w:t>
      </w:r>
      <w:bookmarkEnd w:id="10"/>
    </w:p>
    <w:p w14:paraId="0C0218F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签订。</w:t>
      </w:r>
    </w:p>
    <w:p w14:paraId="7A1D9FC3">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bookmarkStart w:id="11" w:name="_Toc351203491"/>
      <w:r>
        <w:rPr>
          <w:rFonts w:hint="eastAsia" w:ascii="宋体" w:hAnsi="宋体" w:eastAsia="宋体" w:cs="宋体"/>
          <w:b/>
          <w:bCs/>
          <w:color w:val="auto"/>
          <w:sz w:val="24"/>
          <w:szCs w:val="24"/>
          <w:highlight w:val="none"/>
        </w:rPr>
        <w:t>十一、补充协议</w:t>
      </w:r>
      <w:bookmarkEnd w:id="11"/>
    </w:p>
    <w:p w14:paraId="129ED89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合同未尽事宜，合同当事人另行签订补充协议，补充协议是合同的组成部分。</w:t>
      </w:r>
    </w:p>
    <w:p w14:paraId="04BEFC82">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bookmarkStart w:id="12" w:name="_Toc351203492"/>
      <w:r>
        <w:rPr>
          <w:rFonts w:hint="eastAsia" w:ascii="宋体" w:hAnsi="宋体" w:eastAsia="宋体" w:cs="宋体"/>
          <w:b/>
          <w:bCs/>
          <w:color w:val="auto"/>
          <w:sz w:val="24"/>
          <w:szCs w:val="24"/>
          <w:highlight w:val="none"/>
        </w:rPr>
        <w:t>十二、合同生效</w:t>
      </w:r>
      <w:bookmarkEnd w:id="12"/>
    </w:p>
    <w:p w14:paraId="3B7F098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生效。</w:t>
      </w:r>
    </w:p>
    <w:p w14:paraId="0855F096">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bookmarkStart w:id="13" w:name="_Toc351203493"/>
      <w:r>
        <w:rPr>
          <w:rFonts w:hint="eastAsia" w:ascii="宋体" w:hAnsi="宋体" w:eastAsia="宋体" w:cs="宋体"/>
          <w:b/>
          <w:bCs/>
          <w:color w:val="auto"/>
          <w:sz w:val="24"/>
          <w:szCs w:val="24"/>
          <w:highlight w:val="none"/>
        </w:rPr>
        <w:t>十三、合同份数</w:t>
      </w:r>
      <w:bookmarkEnd w:id="13"/>
    </w:p>
    <w:p w14:paraId="0E8AA4F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份，均具有同等法律效力，发包人执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份，承包人执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p>
    <w:p w14:paraId="2937872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p>
    <w:p w14:paraId="299988F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发包人：(公章)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承包人：(公章)</w:t>
      </w:r>
    </w:p>
    <w:p w14:paraId="3A50C75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法定代表人或其委托代理人：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法定代表人或其委托代理人：</w:t>
      </w:r>
    </w:p>
    <w:p w14:paraId="7624D39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（签字）</w:t>
      </w:r>
    </w:p>
    <w:p w14:paraId="5C7BB16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p>
    <w:p w14:paraId="4AB9048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      </w:t>
      </w:r>
    </w:p>
    <w:p w14:paraId="0824EBC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p>
    <w:p w14:paraId="3C95B71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       </w:t>
      </w:r>
    </w:p>
    <w:p w14:paraId="1BC62DA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p>
    <w:p w14:paraId="4B95BAF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6F0EA02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   </w:t>
      </w:r>
    </w:p>
    <w:p w14:paraId="611E8BF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p>
    <w:p w14:paraId="5A9A5AB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p>
    <w:p w14:paraId="334DBCA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w:t>
      </w:r>
    </w:p>
    <w:p w14:paraId="0B0041AB">
      <w:pPr>
        <w:keepNext w:val="0"/>
        <w:keepLines w:val="0"/>
        <w:pageBreakBefore w:val="0"/>
        <w:widowControl w:val="0"/>
        <w:kinsoku/>
        <w:wordWrap/>
        <w:overflowPunct/>
        <w:topLinePunct w:val="0"/>
        <w:autoSpaceDE/>
        <w:autoSpaceDN/>
        <w:bidi w:val="0"/>
        <w:adjustRightInd/>
        <w:snapToGrid/>
        <w:spacing w:line="460" w:lineRule="exact"/>
        <w:ind w:firstLine="420"/>
        <w:jc w:val="center"/>
        <w:textAlignment w:val="auto"/>
        <w:rPr>
          <w:rFonts w:hint="eastAsia" w:ascii="宋体" w:hAnsi="宋体" w:eastAsia="宋体" w:cs="宋体"/>
          <w:b/>
          <w:color w:val="auto"/>
          <w:sz w:val="30"/>
          <w:szCs w:val="30"/>
          <w:highlight w:val="none"/>
        </w:rPr>
      </w:pPr>
      <w:r>
        <w:rPr>
          <w:rFonts w:ascii="Calibri" w:hAnsi="Calibri" w:eastAsia="仿宋_GB2312"/>
          <w:color w:val="auto"/>
          <w:sz w:val="21"/>
          <w:szCs w:val="22"/>
          <w:highlight w:val="none"/>
        </w:rPr>
        <w:br w:type="page"/>
      </w:r>
      <w:r>
        <w:rPr>
          <w:rFonts w:hint="eastAsia" w:ascii="宋体" w:hAnsi="宋体" w:eastAsia="宋体" w:cs="宋体"/>
          <w:b/>
          <w:color w:val="auto"/>
          <w:sz w:val="30"/>
          <w:szCs w:val="30"/>
          <w:highlight w:val="none"/>
        </w:rPr>
        <w:t>第二部分  通用条款</w:t>
      </w:r>
      <w:bookmarkEnd w:id="0"/>
    </w:p>
    <w:p w14:paraId="760CE34F">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本部分同GF-2017-0201建设部、国家工商行政管理局共同制定的《建设工程施工合同》示范文本中的通用条款。</w:t>
      </w:r>
    </w:p>
    <w:p w14:paraId="64BB31BB">
      <w:pPr>
        <w:ind w:firstLine="723"/>
        <w:jc w:val="center"/>
        <w:rPr>
          <w:b/>
          <w:color w:val="auto"/>
          <w:sz w:val="36"/>
          <w:szCs w:val="36"/>
          <w:highlight w:val="none"/>
        </w:rPr>
      </w:pPr>
      <w:bookmarkStart w:id="14" w:name="_Toc525726170"/>
      <w:r>
        <w:rPr>
          <w:b/>
          <w:color w:val="auto"/>
          <w:sz w:val="30"/>
          <w:szCs w:val="30"/>
          <w:highlight w:val="none"/>
        </w:rPr>
        <w:t xml:space="preserve">第三部分 </w:t>
      </w:r>
      <w:r>
        <w:rPr>
          <w:rFonts w:hint="eastAsia"/>
          <w:b/>
          <w:color w:val="auto"/>
          <w:sz w:val="30"/>
          <w:szCs w:val="30"/>
          <w:highlight w:val="none"/>
        </w:rPr>
        <w:t>专用合同条款</w:t>
      </w:r>
      <w:bookmarkEnd w:id="14"/>
    </w:p>
    <w:p w14:paraId="51E388B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5" w:name="_Toc525726171"/>
      <w:r>
        <w:rPr>
          <w:rFonts w:hint="eastAsia" w:ascii="宋体" w:hAnsi="宋体" w:eastAsia="宋体" w:cs="宋体"/>
          <w:color w:val="auto"/>
          <w:sz w:val="24"/>
          <w:szCs w:val="24"/>
          <w:highlight w:val="none"/>
        </w:rPr>
        <w:t>1</w:t>
      </w:r>
      <w:bookmarkStart w:id="16" w:name="_Toc292559866"/>
      <w:bookmarkStart w:id="17" w:name="_Toc296346657"/>
      <w:bookmarkStart w:id="18" w:name="_Toc297048342"/>
      <w:bookmarkStart w:id="19" w:name="_Toc297120456"/>
      <w:bookmarkStart w:id="20" w:name="_Toc296347155"/>
      <w:bookmarkStart w:id="21" w:name="_Toc296890984"/>
      <w:bookmarkStart w:id="22" w:name="_Toc296944495"/>
      <w:bookmarkStart w:id="23" w:name="_Toc296891196"/>
      <w:bookmarkStart w:id="24" w:name="_Toc292559361"/>
      <w:bookmarkStart w:id="25" w:name="_Toc296503156"/>
      <w:r>
        <w:rPr>
          <w:rFonts w:hint="eastAsia" w:ascii="宋体" w:hAnsi="宋体" w:eastAsia="宋体" w:cs="宋体"/>
          <w:color w:val="auto"/>
          <w:sz w:val="24"/>
          <w:szCs w:val="24"/>
          <w:highlight w:val="none"/>
        </w:rPr>
        <w:t>.一般约定</w:t>
      </w:r>
      <w:bookmarkEnd w:id="15"/>
    </w:p>
    <w:bookmarkEnd w:id="16"/>
    <w:bookmarkEnd w:id="17"/>
    <w:bookmarkEnd w:id="18"/>
    <w:bookmarkEnd w:id="19"/>
    <w:bookmarkEnd w:id="20"/>
    <w:bookmarkEnd w:id="21"/>
    <w:bookmarkEnd w:id="22"/>
    <w:bookmarkEnd w:id="23"/>
    <w:bookmarkEnd w:id="24"/>
    <w:bookmarkEnd w:id="25"/>
    <w:p w14:paraId="5BC7E85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26" w:name="_Toc525726172"/>
      <w:r>
        <w:rPr>
          <w:rFonts w:hint="eastAsia" w:ascii="宋体" w:hAnsi="宋体" w:eastAsia="宋体" w:cs="宋体"/>
          <w:color w:val="auto"/>
          <w:sz w:val="24"/>
          <w:szCs w:val="24"/>
          <w:highlight w:val="none"/>
        </w:rPr>
        <w:t>1.1词语定义</w:t>
      </w:r>
      <w:bookmarkEnd w:id="26"/>
    </w:p>
    <w:p w14:paraId="124A0A2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14:paraId="3C61661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1.1.1.10其他合同文件包括：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7AB462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1.1.2合同当事人及其他相关方</w:t>
      </w:r>
    </w:p>
    <w:p w14:paraId="23A31BD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1.1.2.4监理人：</w:t>
      </w:r>
    </w:p>
    <w:p w14:paraId="078F63C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B1D3F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89C80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7EA2AB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42B52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28B021A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1.1.2.5设计人：</w:t>
      </w:r>
    </w:p>
    <w:p w14:paraId="38C07B0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0367E2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7634A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E86DA8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电子信箱：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p>
    <w:p w14:paraId="26C8754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AEB6E6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1.1.3工程和设备</w:t>
      </w:r>
    </w:p>
    <w:p w14:paraId="4DF9FB0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1.1.3.7作为施工现场组成部分的其他场所包括：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9702E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1.1.3.9永久占地包括：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eastAsia="zh-CN"/>
        </w:rPr>
        <w:t>。</w:t>
      </w:r>
    </w:p>
    <w:p w14:paraId="4A07E0C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1.1.3.10临时占地包括：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23D8A98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1.3法律 </w:t>
      </w:r>
    </w:p>
    <w:p w14:paraId="3425D70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szCs w:val="24"/>
          <w:highlight w:val="none"/>
          <w:u w:val="single"/>
        </w:rPr>
        <w:t>《中华人民共和国</w:t>
      </w:r>
      <w:r>
        <w:rPr>
          <w:rFonts w:hint="eastAsia" w:ascii="宋体" w:hAnsi="宋体" w:eastAsia="宋体" w:cs="宋体"/>
          <w:color w:val="auto"/>
          <w:sz w:val="24"/>
          <w:szCs w:val="24"/>
          <w:highlight w:val="none"/>
          <w:u w:val="single"/>
          <w:lang w:eastAsia="zh-CN"/>
        </w:rPr>
        <w:t>民法典</w:t>
      </w:r>
      <w:r>
        <w:rPr>
          <w:rFonts w:hint="eastAsia" w:ascii="宋体" w:hAnsi="宋体" w:eastAsia="宋体" w:cs="宋体"/>
          <w:color w:val="auto"/>
          <w:sz w:val="24"/>
          <w:szCs w:val="24"/>
          <w:highlight w:val="none"/>
          <w:u w:val="single"/>
        </w:rPr>
        <w:t>》、《中华人民共和国建筑法》、《建筑工程质量管理条例》</w:t>
      </w:r>
      <w:r>
        <w:rPr>
          <w:rFonts w:hint="eastAsia" w:ascii="宋体" w:hAnsi="宋体" w:cs="宋体"/>
          <w:color w:val="auto"/>
          <w:sz w:val="24"/>
          <w:szCs w:val="24"/>
          <w:highlight w:val="none"/>
          <w:u w:val="single"/>
          <w:lang w:eastAsia="zh-CN"/>
        </w:rPr>
        <w:t>、《建筑工程安全生产管理条例》</w:t>
      </w:r>
      <w:r>
        <w:rPr>
          <w:rFonts w:hint="eastAsia" w:ascii="宋体" w:hAnsi="宋体" w:eastAsia="宋体" w:cs="宋体"/>
          <w:color w:val="auto"/>
          <w:sz w:val="24"/>
          <w:szCs w:val="24"/>
          <w:highlight w:val="none"/>
          <w:u w:val="single"/>
        </w:rPr>
        <w:t>。本合同同时适用国家与工程所在地的有关建筑质量安全、环境保护等方面的法律、法规、规章</w:t>
      </w:r>
      <w:r>
        <w:rPr>
          <w:rFonts w:hint="eastAsia" w:ascii="宋体" w:hAnsi="宋体" w:eastAsia="宋体" w:cs="宋体"/>
          <w:color w:val="auto"/>
          <w:sz w:val="24"/>
          <w:szCs w:val="24"/>
          <w:highlight w:val="none"/>
        </w:rPr>
        <w:t>。</w:t>
      </w:r>
    </w:p>
    <w:p w14:paraId="7F5C0A0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1.4标准和规范</w:t>
      </w:r>
    </w:p>
    <w:p w14:paraId="43CF738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1.4.1适用于工程的标准规范包括：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994D9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4771F4E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3E9485D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0A46686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1.4.3发包人对工程的技术标准和功能要求的特殊要求：</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1820C85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27" w:name="_Toc525726173"/>
      <w:r>
        <w:rPr>
          <w:rFonts w:hint="eastAsia" w:ascii="宋体" w:hAnsi="宋体" w:eastAsia="宋体" w:cs="宋体"/>
          <w:color w:val="auto"/>
          <w:sz w:val="24"/>
          <w:szCs w:val="24"/>
          <w:highlight w:val="none"/>
        </w:rPr>
        <w:t>1.5合同文件的优先顺序</w:t>
      </w:r>
      <w:bookmarkEnd w:id="27"/>
    </w:p>
    <w:p w14:paraId="6E8B203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sz w:val="24"/>
          <w:szCs w:val="24"/>
          <w:highlight w:val="none"/>
          <w:u w:val="single"/>
        </w:rPr>
        <w:t xml:space="preserve">   见通用条款1.5条   </w:t>
      </w:r>
      <w:r>
        <w:rPr>
          <w:rFonts w:hint="eastAsia" w:ascii="宋体" w:hAnsi="宋体" w:eastAsia="宋体" w:cs="宋体"/>
          <w:color w:val="auto"/>
          <w:sz w:val="24"/>
          <w:szCs w:val="24"/>
          <w:highlight w:val="none"/>
        </w:rPr>
        <w:t>。</w:t>
      </w:r>
    </w:p>
    <w:p w14:paraId="66C2F5C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28" w:name="_Toc525726174"/>
      <w:r>
        <w:rPr>
          <w:rFonts w:hint="eastAsia" w:ascii="宋体" w:hAnsi="宋体" w:eastAsia="宋体" w:cs="宋体"/>
          <w:color w:val="auto"/>
          <w:sz w:val="24"/>
          <w:szCs w:val="24"/>
          <w:highlight w:val="none"/>
        </w:rPr>
        <w:t>1.6图纸和承包人文件</w:t>
      </w:r>
      <w:bookmarkEnd w:id="28"/>
      <w:r>
        <w:rPr>
          <w:rFonts w:hint="eastAsia" w:ascii="宋体" w:hAnsi="宋体" w:eastAsia="宋体" w:cs="宋体"/>
          <w:color w:val="auto"/>
          <w:sz w:val="24"/>
          <w:szCs w:val="24"/>
          <w:highlight w:val="none"/>
        </w:rPr>
        <w:tab/>
      </w:r>
    </w:p>
    <w:p w14:paraId="1DC89D1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1.6.1图纸的提供</w:t>
      </w:r>
    </w:p>
    <w:p w14:paraId="1CA3159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B2D613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C95E63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后附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14AB0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1.6.4承包人文件</w:t>
      </w:r>
    </w:p>
    <w:p w14:paraId="5EFAA17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88C99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703830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E92016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5E825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73F33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1.6.5现场图纸准备</w:t>
      </w:r>
    </w:p>
    <w:p w14:paraId="42EB56D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0D3B9A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29" w:name="_Toc525726175"/>
      <w:r>
        <w:rPr>
          <w:rFonts w:hint="eastAsia" w:ascii="宋体" w:hAnsi="宋体" w:eastAsia="宋体" w:cs="宋体"/>
          <w:color w:val="auto"/>
          <w:sz w:val="24"/>
          <w:szCs w:val="24"/>
          <w:highlight w:val="none"/>
        </w:rPr>
        <w:t>1.7联络</w:t>
      </w:r>
      <w:bookmarkEnd w:id="29"/>
    </w:p>
    <w:p w14:paraId="1205032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729220D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1.7.2发包人接收文件的地点：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4742433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0E6A30D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08EA95A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6C07FCA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6A6B13D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06B6263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30" w:name="_Toc525726176"/>
      <w:r>
        <w:rPr>
          <w:rFonts w:hint="eastAsia" w:ascii="宋体" w:hAnsi="宋体" w:eastAsia="宋体" w:cs="宋体"/>
          <w:color w:val="auto"/>
          <w:sz w:val="24"/>
          <w:szCs w:val="24"/>
          <w:highlight w:val="none"/>
        </w:rPr>
        <w:t>1.10交通运输</w:t>
      </w:r>
      <w:bookmarkEnd w:id="30"/>
    </w:p>
    <w:p w14:paraId="454551B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31" w:name="_Toc303539100"/>
      <w:bookmarkStart w:id="32" w:name="_Toc300934943"/>
      <w:bookmarkStart w:id="33" w:name="_Toc318581155"/>
      <w:bookmarkStart w:id="34" w:name="_Toc312677986"/>
      <w:bookmarkStart w:id="35" w:name="_Toc304295521"/>
      <w:r>
        <w:rPr>
          <w:rFonts w:hint="eastAsia" w:ascii="宋体" w:hAnsi="宋体" w:eastAsia="宋体" w:cs="宋体"/>
          <w:color w:val="auto"/>
          <w:sz w:val="24"/>
          <w:szCs w:val="24"/>
          <w:highlight w:val="none"/>
        </w:rPr>
        <w:t>.10.1出入现场的权利</w:t>
      </w:r>
    </w:p>
    <w:p w14:paraId="59F4B2B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31"/>
    <w:bookmarkEnd w:id="32"/>
    <w:bookmarkEnd w:id="33"/>
    <w:bookmarkEnd w:id="34"/>
    <w:bookmarkEnd w:id="35"/>
    <w:p w14:paraId="7C151A7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36" w:name="_Toc318581156"/>
      <w:bookmarkStart w:id="37" w:name="_Toc312677987"/>
      <w:bookmarkStart w:id="38" w:name="_Toc304295522"/>
      <w:bookmarkStart w:id="39" w:name="_Toc303539101"/>
      <w:bookmarkStart w:id="40" w:name="_Toc300934944"/>
      <w:r>
        <w:rPr>
          <w:rFonts w:hint="eastAsia" w:ascii="宋体" w:hAnsi="宋体" w:eastAsia="宋体" w:cs="宋体"/>
          <w:color w:val="auto"/>
          <w:sz w:val="24"/>
          <w:szCs w:val="24"/>
          <w:highlight w:val="none"/>
        </w:rPr>
        <w:t>.10.3场内交通</w:t>
      </w:r>
    </w:p>
    <w:p w14:paraId="461F8A3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关于场外交通和场内交通的边界的约定：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28941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36"/>
      <w:bookmarkEnd w:id="37"/>
      <w:bookmarkEnd w:id="38"/>
      <w:bookmarkEnd w:id="39"/>
      <w:bookmarkEnd w:id="40"/>
      <w:bookmarkStart w:id="41" w:name="_Toc318581157"/>
    </w:p>
    <w:p w14:paraId="00DFF69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02ECDBB3">
      <w:pPr>
        <w:keepNext w:val="0"/>
        <w:keepLines w:val="0"/>
        <w:pageBreakBefore w:val="0"/>
        <w:widowControl w:val="0"/>
        <w:kinsoku/>
        <w:wordWrap/>
        <w:overflowPunct/>
        <w:topLinePunct w:val="0"/>
        <w:autoSpaceDE/>
        <w:autoSpaceDN/>
        <w:bidi w:val="0"/>
        <w:adjustRightInd/>
        <w:snapToGrid/>
        <w:spacing w:line="460" w:lineRule="exact"/>
        <w:ind w:firstLine="456" w:firstLineChars="200"/>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运输超大件或超重件所需的道路和桥梁临时加固改造费用和其他有关费用由</w:t>
      </w:r>
      <w:r>
        <w:rPr>
          <w:rFonts w:hint="eastAsia" w:ascii="宋体" w:hAnsi="宋体" w:eastAsia="宋体" w:cs="宋体"/>
          <w:color w:val="auto"/>
          <w:spacing w:val="-6"/>
          <w:sz w:val="24"/>
          <w:szCs w:val="24"/>
          <w:highlight w:val="none"/>
          <w:u w:val="single"/>
        </w:rPr>
        <w:t xml:space="preserve">       </w:t>
      </w:r>
      <w:r>
        <w:rPr>
          <w:rFonts w:hint="eastAsia" w:ascii="宋体" w:hAnsi="宋体" w:eastAsia="宋体" w:cs="宋体"/>
          <w:color w:val="auto"/>
          <w:spacing w:val="-6"/>
          <w:sz w:val="24"/>
          <w:szCs w:val="24"/>
          <w:highlight w:val="none"/>
        </w:rPr>
        <w:t>承担。</w:t>
      </w:r>
    </w:p>
    <w:bookmarkEnd w:id="41"/>
    <w:p w14:paraId="6F37097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42" w:name="_Toc525726177"/>
      <w:r>
        <w:rPr>
          <w:rFonts w:hint="eastAsia" w:ascii="宋体" w:hAnsi="宋体" w:eastAsia="宋体" w:cs="宋体"/>
          <w:color w:val="auto"/>
          <w:sz w:val="24"/>
          <w:szCs w:val="24"/>
          <w:highlight w:val="none"/>
        </w:rPr>
        <w:t>1.11知识产权</w:t>
      </w:r>
      <w:bookmarkEnd w:id="42"/>
    </w:p>
    <w:p w14:paraId="09E1A80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61D194">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447E6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1.11.2关于承包人为实施工程所编制文件的著作权的归属：</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A460B8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40BAC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1.11.4承包人在施工过程中所采用的专利、专有技术、技术秘密的使用费的承担方式：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0291FA2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1.13工程量清单错误的修正</w:t>
      </w:r>
    </w:p>
    <w:p w14:paraId="325781F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1622D00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2130E5E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43" w:name="_Toc525726178"/>
      <w:r>
        <w:rPr>
          <w:rFonts w:hint="eastAsia" w:ascii="宋体" w:hAnsi="宋体" w:eastAsia="宋体" w:cs="宋体"/>
          <w:color w:val="auto"/>
          <w:sz w:val="24"/>
          <w:szCs w:val="24"/>
          <w:highlight w:val="none"/>
        </w:rPr>
        <w:t>2</w:t>
      </w:r>
      <w:bookmarkStart w:id="44" w:name="_Toc296891197"/>
      <w:bookmarkStart w:id="45" w:name="_Toc297120457"/>
      <w:bookmarkStart w:id="46" w:name="_Toc296346658"/>
      <w:bookmarkStart w:id="47" w:name="_Toc292559867"/>
      <w:bookmarkStart w:id="48" w:name="_Toc296890985"/>
      <w:bookmarkStart w:id="49" w:name="_Toc297048343"/>
      <w:bookmarkStart w:id="50" w:name="_Toc292559362"/>
      <w:bookmarkStart w:id="51" w:name="_Toc296944496"/>
      <w:bookmarkStart w:id="52" w:name="_Toc296503157"/>
      <w:bookmarkStart w:id="53" w:name="_Toc296347156"/>
      <w:r>
        <w:rPr>
          <w:rFonts w:hint="eastAsia" w:ascii="宋体" w:hAnsi="宋体" w:eastAsia="宋体" w:cs="宋体"/>
          <w:color w:val="auto"/>
          <w:sz w:val="24"/>
          <w:szCs w:val="24"/>
          <w:highlight w:val="none"/>
        </w:rPr>
        <w:t>.发包人</w:t>
      </w:r>
      <w:bookmarkEnd w:id="43"/>
    </w:p>
    <w:bookmarkEnd w:id="44"/>
    <w:bookmarkEnd w:id="45"/>
    <w:bookmarkEnd w:id="46"/>
    <w:bookmarkEnd w:id="47"/>
    <w:bookmarkEnd w:id="48"/>
    <w:bookmarkEnd w:id="49"/>
    <w:bookmarkEnd w:id="50"/>
    <w:bookmarkEnd w:id="51"/>
    <w:bookmarkEnd w:id="52"/>
    <w:bookmarkEnd w:id="53"/>
    <w:p w14:paraId="4953A01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54" w:name="_Toc525726179"/>
      <w:r>
        <w:rPr>
          <w:rFonts w:hint="eastAsia" w:ascii="宋体" w:hAnsi="宋体" w:eastAsia="宋体" w:cs="宋体"/>
          <w:color w:val="auto"/>
          <w:sz w:val="24"/>
          <w:szCs w:val="24"/>
          <w:highlight w:val="none"/>
        </w:rPr>
        <w:t>2.2发包人代表</w:t>
      </w:r>
      <w:bookmarkEnd w:id="54"/>
    </w:p>
    <w:p w14:paraId="630E3C2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111A3C7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041BAF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24C5837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D7F1BA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5C6C5DC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375C6F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723AC2E">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3D4E14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55" w:name="_Toc525726180"/>
      <w:r>
        <w:rPr>
          <w:rFonts w:hint="eastAsia" w:ascii="宋体" w:hAnsi="宋体" w:eastAsia="宋体" w:cs="宋体"/>
          <w:color w:val="auto"/>
          <w:sz w:val="24"/>
          <w:szCs w:val="24"/>
          <w:highlight w:val="none"/>
        </w:rPr>
        <w:t>2.4施工现场、施工条件和基础资料的提供</w:t>
      </w:r>
      <w:bookmarkEnd w:id="55"/>
    </w:p>
    <w:p w14:paraId="5B5632D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2.4.1提供施工现场</w:t>
      </w:r>
    </w:p>
    <w:p w14:paraId="338CB67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76C34B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2.4.2提供施工条件</w:t>
      </w:r>
    </w:p>
    <w:p w14:paraId="0062E46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 xml:space="preserve">                </w:t>
      </w:r>
    </w:p>
    <w:p w14:paraId="3B3B9EC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56" w:name="_Toc525726181"/>
      <w:r>
        <w:rPr>
          <w:rFonts w:hint="eastAsia" w:ascii="宋体" w:hAnsi="宋体" w:eastAsia="宋体" w:cs="宋体"/>
          <w:color w:val="auto"/>
          <w:sz w:val="24"/>
          <w:szCs w:val="24"/>
          <w:highlight w:val="none"/>
        </w:rPr>
        <w:t>2.5资金来源证明及支付担保</w:t>
      </w:r>
      <w:bookmarkEnd w:id="56"/>
    </w:p>
    <w:p w14:paraId="3746C41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419CE1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0C3763E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2C1932B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57" w:name="_Toc525726182"/>
      <w:r>
        <w:rPr>
          <w:rFonts w:hint="eastAsia" w:ascii="宋体" w:hAnsi="宋体" w:eastAsia="宋体" w:cs="宋体"/>
          <w:color w:val="auto"/>
          <w:sz w:val="24"/>
          <w:szCs w:val="24"/>
          <w:highlight w:val="none"/>
        </w:rPr>
        <w:t>3</w:t>
      </w:r>
      <w:bookmarkStart w:id="58" w:name="_Toc296503158"/>
      <w:bookmarkStart w:id="59" w:name="_Toc292559868"/>
      <w:bookmarkStart w:id="60" w:name="_Toc296347157"/>
      <w:bookmarkStart w:id="61" w:name="_Toc296890986"/>
      <w:bookmarkStart w:id="62" w:name="_Toc292559363"/>
      <w:bookmarkStart w:id="63" w:name="_Toc297120458"/>
      <w:bookmarkStart w:id="64" w:name="_Toc297048344"/>
      <w:bookmarkStart w:id="65" w:name="_Toc296346659"/>
      <w:bookmarkStart w:id="66" w:name="_Toc296891198"/>
      <w:bookmarkStart w:id="67" w:name="_Toc296944497"/>
      <w:r>
        <w:rPr>
          <w:rFonts w:hint="eastAsia" w:ascii="宋体" w:hAnsi="宋体" w:eastAsia="宋体" w:cs="宋体"/>
          <w:color w:val="auto"/>
          <w:sz w:val="24"/>
          <w:szCs w:val="24"/>
          <w:highlight w:val="none"/>
        </w:rPr>
        <w:t>.承包人</w:t>
      </w:r>
      <w:bookmarkEnd w:id="57"/>
    </w:p>
    <w:bookmarkEnd w:id="58"/>
    <w:bookmarkEnd w:id="59"/>
    <w:bookmarkEnd w:id="60"/>
    <w:bookmarkEnd w:id="61"/>
    <w:bookmarkEnd w:id="62"/>
    <w:bookmarkEnd w:id="63"/>
    <w:bookmarkEnd w:id="64"/>
    <w:bookmarkEnd w:id="65"/>
    <w:bookmarkEnd w:id="66"/>
    <w:bookmarkEnd w:id="67"/>
    <w:p w14:paraId="3A9CFEC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68" w:name="_Toc525726183"/>
      <w:r>
        <w:rPr>
          <w:rFonts w:hint="eastAsia" w:ascii="宋体" w:hAnsi="宋体" w:eastAsia="宋体" w:cs="宋体"/>
          <w:color w:val="auto"/>
          <w:sz w:val="24"/>
          <w:szCs w:val="24"/>
          <w:highlight w:val="none"/>
        </w:rPr>
        <w:t>3.1承包人的一般义务</w:t>
      </w:r>
      <w:bookmarkEnd w:id="68"/>
    </w:p>
    <w:p w14:paraId="0A8FDB2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70B5C5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A5E2C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A8792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84BCAC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AE2126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AA959A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69" w:name="_Toc525726184"/>
      <w:r>
        <w:rPr>
          <w:rFonts w:hint="eastAsia" w:ascii="宋体" w:hAnsi="宋体" w:eastAsia="宋体" w:cs="宋体"/>
          <w:color w:val="auto"/>
          <w:sz w:val="24"/>
          <w:szCs w:val="24"/>
          <w:highlight w:val="none"/>
        </w:rPr>
        <w:t>3.2项目经理</w:t>
      </w:r>
      <w:bookmarkEnd w:id="69"/>
    </w:p>
    <w:p w14:paraId="38ACF42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3.2.1</w:t>
      </w:r>
      <w:r>
        <w:rPr>
          <w:rFonts w:hint="eastAsia" w:ascii="宋体" w:hAnsi="宋体" w:eastAsia="宋体" w:cs="宋体"/>
          <w:color w:val="auto"/>
          <w:sz w:val="24"/>
          <w:szCs w:val="24"/>
          <w:highlight w:val="none"/>
        </w:rPr>
        <w:t>项目经理：</w:t>
      </w:r>
    </w:p>
    <w:p w14:paraId="35C891D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7424782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398C1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DD5285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55746E3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EDCBE0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2437D8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20474BB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EB2DEF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2F7B9E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CE3D8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关于项目经理每月在施工现场的时间要求：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FE0369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4B804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223155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3.2.3承包人擅自更换项目经理的违约责任：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4F986C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3.2.4承包人无正当理由拒绝更换项目经理的违约责任：</w:t>
      </w:r>
      <w:r>
        <w:rPr>
          <w:rFonts w:hint="eastAsia" w:ascii="宋体" w:hAnsi="宋体" w:eastAsia="宋体" w:cs="宋体"/>
          <w:color w:val="auto"/>
          <w:sz w:val="24"/>
          <w:szCs w:val="24"/>
          <w:highlight w:val="none"/>
          <w:u w:val="single"/>
        </w:rPr>
        <w:t xml:space="preserve">         。</w:t>
      </w:r>
    </w:p>
    <w:p w14:paraId="540C4A0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70" w:name="_Toc525726185"/>
      <w:r>
        <w:rPr>
          <w:rFonts w:hint="eastAsia" w:ascii="宋体" w:hAnsi="宋体" w:eastAsia="宋体" w:cs="宋体"/>
          <w:color w:val="auto"/>
          <w:sz w:val="24"/>
          <w:szCs w:val="24"/>
          <w:highlight w:val="none"/>
        </w:rPr>
        <w:t>3.3承包人人员</w:t>
      </w:r>
      <w:bookmarkEnd w:id="70"/>
    </w:p>
    <w:p w14:paraId="3D900ED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3.3.1承包人提交项目管理机构及施工现场管理人员安排报告的期限：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4002AC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3.3.3承包人无正当理由拒绝撤换主要施工管理人员的违约责任：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B4BD68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3.3.4承包人主要施工管理人员离开施工现场的批准要求：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9D71D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3.3.5承包人擅自更换主要施工管理人员的违约责任：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76076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943CC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71" w:name="_Toc525726186"/>
      <w:r>
        <w:rPr>
          <w:rFonts w:hint="eastAsia" w:ascii="宋体" w:hAnsi="宋体" w:eastAsia="宋体" w:cs="宋体"/>
          <w:color w:val="auto"/>
          <w:sz w:val="24"/>
          <w:szCs w:val="24"/>
          <w:highlight w:val="none"/>
        </w:rPr>
        <w:t>3</w:t>
      </w:r>
      <w:bookmarkStart w:id="72" w:name="_Toc304295523"/>
      <w:bookmarkStart w:id="73" w:name="_Toc303539102"/>
      <w:bookmarkStart w:id="74" w:name="_Toc296346660"/>
      <w:bookmarkStart w:id="75" w:name="_Toc296944498"/>
      <w:bookmarkStart w:id="76" w:name="_Toc296503159"/>
      <w:bookmarkStart w:id="77" w:name="_Toc296890987"/>
      <w:bookmarkStart w:id="78" w:name="_Toc292559869"/>
      <w:bookmarkStart w:id="79" w:name="_Toc312677988"/>
      <w:bookmarkStart w:id="80" w:name="_Toc297048345"/>
      <w:bookmarkStart w:id="81" w:name="_Toc296891199"/>
      <w:bookmarkStart w:id="82" w:name="_Toc297123492"/>
      <w:bookmarkStart w:id="83" w:name="_Toc300934945"/>
      <w:bookmarkStart w:id="84" w:name="_Toc296347158"/>
      <w:bookmarkStart w:id="85" w:name="_Toc297120459"/>
      <w:bookmarkStart w:id="86" w:name="_Toc297216151"/>
      <w:bookmarkStart w:id="87" w:name="_Toc292559364"/>
      <w:r>
        <w:rPr>
          <w:rFonts w:hint="eastAsia" w:ascii="宋体" w:hAnsi="宋体" w:eastAsia="宋体" w:cs="宋体"/>
          <w:color w:val="auto"/>
          <w:sz w:val="24"/>
          <w:szCs w:val="24"/>
          <w:highlight w:val="none"/>
        </w:rPr>
        <w:t>.5分包</w:t>
      </w:r>
      <w:bookmarkEnd w:id="71"/>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07AFF3A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88" w:name="_Toc304295524"/>
      <w:bookmarkStart w:id="89" w:name="_Toc296944499"/>
      <w:bookmarkStart w:id="90" w:name="_Toc303539103"/>
      <w:bookmarkStart w:id="91" w:name="_Toc296347159"/>
      <w:bookmarkStart w:id="92" w:name="_Toc296891200"/>
      <w:bookmarkStart w:id="93" w:name="_Toc292559870"/>
      <w:bookmarkStart w:id="94" w:name="_Toc296890988"/>
      <w:bookmarkStart w:id="95" w:name="_Toc297048346"/>
      <w:bookmarkStart w:id="96" w:name="_Toc296346661"/>
      <w:bookmarkStart w:id="97" w:name="_Toc297216152"/>
      <w:bookmarkStart w:id="98" w:name="_Toc292559365"/>
      <w:bookmarkStart w:id="99" w:name="_Toc296503160"/>
      <w:bookmarkStart w:id="100" w:name="_Toc297120460"/>
      <w:bookmarkStart w:id="101" w:name="_Toc300934946"/>
      <w:bookmarkStart w:id="102" w:name="_Toc297123493"/>
      <w:bookmarkStart w:id="103" w:name="_Toc312677989"/>
      <w:bookmarkStart w:id="104" w:name="_Toc318581158"/>
      <w:r>
        <w:rPr>
          <w:rFonts w:hint="eastAsia" w:ascii="宋体" w:hAnsi="宋体" w:eastAsia="宋体" w:cs="宋体"/>
          <w:color w:val="auto"/>
          <w:sz w:val="24"/>
          <w:szCs w:val="24"/>
          <w:highlight w:val="none"/>
        </w:rPr>
        <w:t>.5.1分包的一般约定</w:t>
      </w:r>
    </w:p>
    <w:p w14:paraId="139EE22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rPr>
        <w:t xml:space="preserve">  本工程禁止分包  </w:t>
      </w:r>
      <w:r>
        <w:rPr>
          <w:rFonts w:hint="eastAsia" w:ascii="宋体" w:hAnsi="宋体" w:eastAsia="宋体" w:cs="宋体"/>
          <w:color w:val="auto"/>
          <w:sz w:val="24"/>
          <w:szCs w:val="24"/>
          <w:highlight w:val="none"/>
        </w:rPr>
        <w:t>。</w:t>
      </w:r>
    </w:p>
    <w:p w14:paraId="1E00259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5" w:name="_Toc304295525"/>
      <w:bookmarkStart w:id="106" w:name="_Toc297216153"/>
      <w:bookmarkStart w:id="107" w:name="_Toc303539104"/>
      <w:bookmarkStart w:id="108" w:name="_Toc296890989"/>
      <w:bookmarkStart w:id="109" w:name="_Toc296944500"/>
      <w:bookmarkStart w:id="110" w:name="_Toc300934947"/>
      <w:bookmarkStart w:id="111" w:name="_Toc296891201"/>
      <w:bookmarkStart w:id="112" w:name="_Toc297123494"/>
      <w:bookmarkStart w:id="113" w:name="_Toc297048347"/>
      <w:bookmarkStart w:id="114" w:name="_Toc296347160"/>
      <w:bookmarkStart w:id="115" w:name="_Toc296346662"/>
      <w:bookmarkStart w:id="116" w:name="_Toc297120461"/>
      <w:bookmarkStart w:id="117" w:name="_Toc296503161"/>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72B816A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118" w:name="_Toc312677990"/>
      <w:bookmarkStart w:id="119" w:name="_Toc318581159"/>
      <w:r>
        <w:rPr>
          <w:rFonts w:hint="eastAsia" w:ascii="宋体" w:hAnsi="宋体" w:eastAsia="宋体" w:cs="宋体"/>
          <w:color w:val="auto"/>
          <w:sz w:val="24"/>
          <w:szCs w:val="24"/>
          <w:highlight w:val="none"/>
        </w:rPr>
        <w:t>.5.2分包的确定</w:t>
      </w:r>
    </w:p>
    <w:p w14:paraId="7CB8CFC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AEF30E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B049F5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3.5.4分包合同价款</w:t>
      </w:r>
    </w:p>
    <w:p w14:paraId="693E0FF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118"/>
    <w:bookmarkEnd w:id="119"/>
    <w:p w14:paraId="0C151D6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20" w:name="_Toc525726187"/>
      <w:r>
        <w:rPr>
          <w:rFonts w:hint="eastAsia" w:ascii="宋体" w:hAnsi="宋体" w:eastAsia="宋体" w:cs="宋体"/>
          <w:color w:val="auto"/>
          <w:sz w:val="24"/>
          <w:szCs w:val="24"/>
          <w:highlight w:val="none"/>
        </w:rPr>
        <w:t>3.6工程照管与成品、半成品保护</w:t>
      </w:r>
      <w:bookmarkEnd w:id="120"/>
    </w:p>
    <w:p w14:paraId="2FBF1B6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7A7085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21" w:name="_Toc525726188"/>
      <w:r>
        <w:rPr>
          <w:rFonts w:hint="eastAsia" w:ascii="宋体" w:hAnsi="宋体" w:eastAsia="宋体" w:cs="宋体"/>
          <w:color w:val="auto"/>
          <w:sz w:val="24"/>
          <w:szCs w:val="24"/>
          <w:highlight w:val="none"/>
        </w:rPr>
        <w:t>3.7履约担保</w:t>
      </w:r>
      <w:bookmarkEnd w:id="121"/>
    </w:p>
    <w:p w14:paraId="2D303AE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0BD25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239C4A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22" w:name="_Toc525726189"/>
      <w:r>
        <w:rPr>
          <w:rFonts w:hint="eastAsia" w:ascii="宋体" w:hAnsi="宋体" w:eastAsia="宋体" w:cs="宋体"/>
          <w:color w:val="auto"/>
          <w:sz w:val="24"/>
          <w:szCs w:val="24"/>
          <w:highlight w:val="none"/>
        </w:rPr>
        <w:t>4</w:t>
      </w:r>
      <w:bookmarkStart w:id="123" w:name="_Toc297048348"/>
      <w:bookmarkStart w:id="124" w:name="_Toc296944501"/>
      <w:bookmarkStart w:id="125" w:name="_Toc296503162"/>
      <w:bookmarkStart w:id="126" w:name="_Toc296346663"/>
      <w:bookmarkStart w:id="127" w:name="_Toc267251413"/>
      <w:bookmarkStart w:id="128" w:name="_Toc296891202"/>
      <w:bookmarkStart w:id="129" w:name="_Toc292559366"/>
      <w:bookmarkStart w:id="130" w:name="_Toc296347161"/>
      <w:bookmarkStart w:id="131" w:name="_Toc297120462"/>
      <w:bookmarkStart w:id="132" w:name="_Toc292559871"/>
      <w:bookmarkStart w:id="133" w:name="_Toc296890990"/>
      <w:r>
        <w:rPr>
          <w:rFonts w:hint="eastAsia" w:ascii="宋体" w:hAnsi="宋体" w:eastAsia="宋体" w:cs="宋体"/>
          <w:color w:val="auto"/>
          <w:sz w:val="24"/>
          <w:szCs w:val="24"/>
          <w:highlight w:val="none"/>
        </w:rPr>
        <w:t>.监</w:t>
      </w:r>
      <w:bookmarkEnd w:id="123"/>
      <w:bookmarkEnd w:id="124"/>
      <w:bookmarkEnd w:id="125"/>
      <w:bookmarkEnd w:id="126"/>
      <w:bookmarkEnd w:id="127"/>
      <w:bookmarkEnd w:id="128"/>
      <w:bookmarkEnd w:id="129"/>
      <w:bookmarkEnd w:id="130"/>
      <w:bookmarkEnd w:id="131"/>
      <w:bookmarkEnd w:id="132"/>
      <w:bookmarkEnd w:id="133"/>
      <w:r>
        <w:rPr>
          <w:rFonts w:hint="eastAsia" w:ascii="宋体" w:hAnsi="宋体" w:eastAsia="宋体" w:cs="宋体"/>
          <w:color w:val="auto"/>
          <w:sz w:val="24"/>
          <w:szCs w:val="24"/>
          <w:highlight w:val="none"/>
        </w:rPr>
        <w:t>理人</w:t>
      </w:r>
      <w:bookmarkEnd w:id="122"/>
    </w:p>
    <w:p w14:paraId="37C6F46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16DB633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2A782D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923ED6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 公场所、生活场所的提供和费用承担的约定：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FA679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4.2监理人员</w:t>
      </w:r>
    </w:p>
    <w:p w14:paraId="0E661EC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2FAFAEA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ECA3F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E7D7B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F08BEC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95F67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605F65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4D9580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 xml:space="preserve">                           ：</w:t>
      </w:r>
    </w:p>
    <w:p w14:paraId="154DD71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34" w:name="_Toc267251418"/>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3ABB87A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D9DE1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1D7EAD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43F5D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35" w:name="_Toc525726190"/>
      <w:r>
        <w:rPr>
          <w:rFonts w:hint="eastAsia" w:ascii="宋体" w:hAnsi="宋体" w:eastAsia="宋体" w:cs="宋体"/>
          <w:color w:val="auto"/>
          <w:sz w:val="24"/>
          <w:szCs w:val="24"/>
          <w:highlight w:val="none"/>
        </w:rPr>
        <w:t>5</w:t>
      </w:r>
      <w:bookmarkEnd w:id="134"/>
      <w:bookmarkStart w:id="136" w:name="_Toc296347162"/>
      <w:bookmarkStart w:id="137" w:name="_Toc296346664"/>
      <w:bookmarkStart w:id="138" w:name="_Toc292559367"/>
      <w:bookmarkStart w:id="139" w:name="_Toc292559872"/>
      <w:bookmarkStart w:id="140" w:name="_Toc297048349"/>
      <w:bookmarkStart w:id="141" w:name="_Toc297120463"/>
      <w:bookmarkStart w:id="142" w:name="_Toc296891203"/>
      <w:bookmarkStart w:id="143" w:name="_Toc296890991"/>
      <w:bookmarkStart w:id="144" w:name="_Toc296944502"/>
      <w:bookmarkStart w:id="145" w:name="_Toc296503163"/>
      <w:r>
        <w:rPr>
          <w:rFonts w:hint="eastAsia" w:ascii="宋体" w:hAnsi="宋体" w:eastAsia="宋体" w:cs="宋体"/>
          <w:color w:val="auto"/>
          <w:sz w:val="24"/>
          <w:szCs w:val="24"/>
          <w:highlight w:val="none"/>
        </w:rPr>
        <w:t>.工程质量</w:t>
      </w:r>
      <w:bookmarkEnd w:id="135"/>
    </w:p>
    <w:p w14:paraId="5240B9C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46" w:name="_Toc525726191"/>
      <w:r>
        <w:rPr>
          <w:rFonts w:hint="eastAsia" w:ascii="宋体" w:hAnsi="宋体" w:eastAsia="宋体" w:cs="宋体"/>
          <w:color w:val="auto"/>
          <w:sz w:val="24"/>
          <w:szCs w:val="24"/>
          <w:highlight w:val="none"/>
        </w:rPr>
        <w:t>5.1质量要求</w:t>
      </w:r>
      <w:bookmarkEnd w:id="146"/>
    </w:p>
    <w:p w14:paraId="38619C0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bookmarkStart w:id="147" w:name="_Toc300934949"/>
      <w:bookmarkStart w:id="148" w:name="_Toc303539106"/>
      <w:bookmarkStart w:id="149" w:name="_Toc297123496"/>
      <w:bookmarkStart w:id="150" w:name="_Toc304295527"/>
      <w:bookmarkStart w:id="151" w:name="_Toc297216155"/>
      <w:bookmarkStart w:id="152" w:name="_Toc318581164"/>
      <w:bookmarkStart w:id="153" w:name="_Toc312677997"/>
      <w:r>
        <w:rPr>
          <w:rFonts w:hint="eastAsia" w:ascii="宋体" w:hAnsi="宋体" w:eastAsia="宋体" w:cs="宋体"/>
          <w:color w:val="auto"/>
          <w:sz w:val="24"/>
          <w:szCs w:val="24"/>
          <w:highlight w:val="none"/>
        </w:rPr>
        <w:t>.1.1特殊质量标准和要求：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45E9F8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F8F37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54" w:name="_Toc525726192"/>
      <w:r>
        <w:rPr>
          <w:rFonts w:hint="eastAsia" w:ascii="宋体" w:hAnsi="宋体" w:eastAsia="宋体" w:cs="宋体"/>
          <w:color w:val="auto"/>
          <w:sz w:val="24"/>
          <w:szCs w:val="24"/>
          <w:highlight w:val="none"/>
        </w:rPr>
        <w:t>5.3隐蔽工程检查</w:t>
      </w:r>
      <w:bookmarkEnd w:id="154"/>
    </w:p>
    <w:p w14:paraId="13C7723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E6B10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137FB82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70CD045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55" w:name="_Toc525726193"/>
      <w:r>
        <w:rPr>
          <w:rFonts w:hint="eastAsia" w:ascii="宋体" w:hAnsi="宋体" w:eastAsia="宋体" w:cs="宋体"/>
          <w:color w:val="auto"/>
          <w:sz w:val="24"/>
          <w:szCs w:val="24"/>
          <w:highlight w:val="none"/>
        </w:rPr>
        <w:t>6.安全文明施工与环境保护</w:t>
      </w:r>
      <w:bookmarkEnd w:id="155"/>
    </w:p>
    <w:p w14:paraId="47FB3F2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17FCD34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6.1.1项目安全生产的达标目标及相应事项的约定：</w:t>
      </w:r>
      <w:r>
        <w:rPr>
          <w:rFonts w:hint="eastAsia" w:ascii="宋体" w:hAnsi="宋体" w:eastAsia="宋体" w:cs="宋体"/>
          <w:color w:val="auto"/>
          <w:sz w:val="24"/>
          <w:szCs w:val="24"/>
          <w:highlight w:val="none"/>
          <w:u w:val="single"/>
        </w:rPr>
        <w:t xml:space="preserve">  《中华人民共和国安全生产法》、国务院393号令《建设工程安全生产管理条例》和建设部建办[2005]89号《建筑工程安全防护、文明施工措施费用及使用管理规定》中关于创建安全文明施工作业环境的规定。</w:t>
      </w:r>
    </w:p>
    <w:p w14:paraId="2A5B1D4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承包人应遵守工程建设安全生产有关管理规定，严格按现行安全标准组织施工，并随时接受行业安全检查人员依法实施的监督检查，采取必要的安全防护措施，消除事故隐患。其常规安全施工防护费用已含在合同价款内。 </w:t>
      </w:r>
    </w:p>
    <w:p w14:paraId="441C5DD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本工程在整个施工期间杜绝一切人身伤亡和重大质量安全事故，如发生上述施工安全事故，则由承包人承担事故全部赔偿责任，如发包人提前垫付或经生效的法律文书确认向第三人支付赔偿费用的，发包人有权向承包人追偿，且视为承包人违约，承包人应向发包人支付工程总价款20%的违约金。</w:t>
      </w:r>
    </w:p>
    <w:p w14:paraId="7D4B7A9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6.1.4关于治安保卫的特别约定：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FB634E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810F1B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6.1.5文明施工</w:t>
      </w:r>
    </w:p>
    <w:p w14:paraId="77FD170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1EE42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6.1.6关于安全文明施工费支付比例和支付期限的约定：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147"/>
    <w:bookmarkEnd w:id="148"/>
    <w:bookmarkEnd w:id="149"/>
    <w:bookmarkEnd w:id="150"/>
    <w:bookmarkEnd w:id="151"/>
    <w:bookmarkEnd w:id="152"/>
    <w:bookmarkEnd w:id="153"/>
    <w:p w14:paraId="6F6F0D3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56" w:name="_Toc525726194"/>
      <w:r>
        <w:rPr>
          <w:rFonts w:hint="eastAsia" w:ascii="宋体" w:hAnsi="宋体" w:eastAsia="宋体" w:cs="宋体"/>
          <w:color w:val="auto"/>
          <w:sz w:val="24"/>
          <w:szCs w:val="24"/>
          <w:highlight w:val="none"/>
        </w:rPr>
        <w:t>7.工期和进度</w:t>
      </w:r>
      <w:bookmarkEnd w:id="156"/>
    </w:p>
    <w:p w14:paraId="71A9B68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57" w:name="_Toc525726195"/>
      <w:r>
        <w:rPr>
          <w:rFonts w:hint="eastAsia" w:ascii="宋体" w:hAnsi="宋体" w:eastAsia="宋体" w:cs="宋体"/>
          <w:color w:val="auto"/>
          <w:sz w:val="24"/>
          <w:szCs w:val="24"/>
          <w:highlight w:val="none"/>
        </w:rPr>
        <w:t>7.1施工组织设计</w:t>
      </w:r>
      <w:bookmarkEnd w:id="157"/>
    </w:p>
    <w:p w14:paraId="4C542A0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9A682C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7.1.2</w:t>
      </w:r>
      <w:r>
        <w:rPr>
          <w:rFonts w:hint="eastAsia" w:ascii="宋体" w:hAnsi="宋体" w:eastAsia="宋体" w:cs="宋体"/>
          <w:color w:val="auto"/>
          <w:kern w:val="0"/>
          <w:sz w:val="24"/>
          <w:szCs w:val="24"/>
          <w:highlight w:val="none"/>
        </w:rPr>
        <w:t>施工组织设计的提交和修改</w:t>
      </w:r>
    </w:p>
    <w:p w14:paraId="15C3228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3C4196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6400E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58" w:name="_Toc525726196"/>
      <w:r>
        <w:rPr>
          <w:rFonts w:hint="eastAsia" w:ascii="宋体" w:hAnsi="宋体" w:eastAsia="宋体" w:cs="宋体"/>
          <w:color w:val="auto"/>
          <w:sz w:val="24"/>
          <w:szCs w:val="24"/>
          <w:highlight w:val="none"/>
        </w:rPr>
        <w:t>7</w:t>
      </w:r>
      <w:bookmarkStart w:id="159" w:name="_Toc303539123"/>
      <w:bookmarkStart w:id="160" w:name="_Toc312678005"/>
      <w:bookmarkStart w:id="161" w:name="_Toc312677479"/>
      <w:bookmarkStart w:id="162" w:name="_Toc297123514"/>
      <w:bookmarkStart w:id="163" w:name="_Toc297216173"/>
      <w:bookmarkStart w:id="164" w:name="_Toc300934966"/>
      <w:bookmarkStart w:id="165" w:name="_Toc304295541"/>
      <w:r>
        <w:rPr>
          <w:rFonts w:hint="eastAsia" w:ascii="宋体" w:hAnsi="宋体" w:eastAsia="宋体" w:cs="宋体"/>
          <w:color w:val="auto"/>
          <w:sz w:val="24"/>
          <w:szCs w:val="24"/>
          <w:highlight w:val="none"/>
        </w:rPr>
        <w:t>.2施工进度计划</w:t>
      </w:r>
      <w:bookmarkEnd w:id="158"/>
    </w:p>
    <w:p w14:paraId="350DFD7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7.2.2施工进度计划的修订</w:t>
      </w:r>
    </w:p>
    <w:p w14:paraId="1B84A8C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DD5DB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66" w:name="_Toc525726197"/>
      <w:r>
        <w:rPr>
          <w:rFonts w:hint="eastAsia" w:ascii="宋体" w:hAnsi="宋体" w:eastAsia="宋体" w:cs="宋体"/>
          <w:color w:val="auto"/>
          <w:sz w:val="24"/>
          <w:szCs w:val="24"/>
          <w:highlight w:val="none"/>
        </w:rPr>
        <w:t>7.3开工</w:t>
      </w:r>
      <w:bookmarkEnd w:id="166"/>
    </w:p>
    <w:p w14:paraId="787E032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7.3.1开工准备</w:t>
      </w:r>
    </w:p>
    <w:p w14:paraId="0A5147F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FADCF7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056A0D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172964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779BC9C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天内发出开工通知的，承包人有权提出价格调整要求，或者解除合同。</w:t>
      </w:r>
    </w:p>
    <w:bookmarkEnd w:id="159"/>
    <w:bookmarkEnd w:id="160"/>
    <w:bookmarkEnd w:id="161"/>
    <w:bookmarkEnd w:id="162"/>
    <w:bookmarkEnd w:id="163"/>
    <w:bookmarkEnd w:id="164"/>
    <w:bookmarkEnd w:id="165"/>
    <w:p w14:paraId="572FB7C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67" w:name="_Toc525726198"/>
      <w:r>
        <w:rPr>
          <w:rFonts w:hint="eastAsia" w:ascii="宋体" w:hAnsi="宋体" w:eastAsia="宋体" w:cs="宋体"/>
          <w:color w:val="auto"/>
          <w:sz w:val="24"/>
          <w:szCs w:val="24"/>
          <w:highlight w:val="none"/>
        </w:rPr>
        <w:t>7.4测量放线</w:t>
      </w:r>
      <w:bookmarkEnd w:id="167"/>
    </w:p>
    <w:p w14:paraId="796C3AF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BF049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68" w:name="_Toc525726199"/>
      <w:r>
        <w:rPr>
          <w:rFonts w:hint="eastAsia" w:ascii="宋体" w:hAnsi="宋体" w:eastAsia="宋体" w:cs="宋体"/>
          <w:color w:val="auto"/>
          <w:sz w:val="24"/>
          <w:szCs w:val="24"/>
          <w:highlight w:val="none"/>
        </w:rPr>
        <w:t>7</w:t>
      </w:r>
      <w:bookmarkStart w:id="169" w:name="_Toc300934968"/>
      <w:bookmarkStart w:id="170" w:name="_Toc304295546"/>
      <w:bookmarkStart w:id="171" w:name="_Toc297123516"/>
      <w:bookmarkStart w:id="172" w:name="_Toc297216175"/>
      <w:bookmarkStart w:id="173" w:name="_Toc303539125"/>
      <w:bookmarkStart w:id="174" w:name="_Toc312678010"/>
      <w:bookmarkStart w:id="175" w:name="_Toc312677484"/>
      <w:r>
        <w:rPr>
          <w:rFonts w:hint="eastAsia" w:ascii="宋体" w:hAnsi="宋体" w:eastAsia="宋体" w:cs="宋体"/>
          <w:color w:val="auto"/>
          <w:sz w:val="24"/>
          <w:szCs w:val="24"/>
          <w:highlight w:val="none"/>
        </w:rPr>
        <w:t>.5工期延误</w:t>
      </w:r>
      <w:bookmarkEnd w:id="168"/>
    </w:p>
    <w:bookmarkEnd w:id="169"/>
    <w:bookmarkEnd w:id="170"/>
    <w:bookmarkEnd w:id="171"/>
    <w:bookmarkEnd w:id="172"/>
    <w:bookmarkEnd w:id="173"/>
    <w:bookmarkEnd w:id="174"/>
    <w:bookmarkEnd w:id="175"/>
    <w:p w14:paraId="1C8E596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7.5.1因发包人原因导致工期延误</w:t>
      </w:r>
    </w:p>
    <w:p w14:paraId="2C822B0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749127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76" w:name="_Toc318581169"/>
      <w:bookmarkStart w:id="177" w:name="_Toc312677486"/>
      <w:bookmarkStart w:id="178" w:name="_Toc312678012"/>
      <w:bookmarkStart w:id="179" w:name="_Toc304295548"/>
      <w:bookmarkStart w:id="180" w:name="_Toc300934970"/>
      <w:bookmarkStart w:id="181" w:name="_Toc297123518"/>
      <w:bookmarkStart w:id="182" w:name="_Toc303539127"/>
      <w:bookmarkStart w:id="183" w:name="_Toc297216177"/>
      <w:r>
        <w:rPr>
          <w:rFonts w:hint="eastAsia" w:ascii="宋体" w:hAnsi="宋体" w:eastAsia="宋体" w:cs="宋体"/>
          <w:color w:val="auto"/>
          <w:sz w:val="24"/>
          <w:szCs w:val="24"/>
          <w:highlight w:val="none"/>
        </w:rPr>
        <w:t>.5.2因承包人原因导致工期延误</w:t>
      </w:r>
    </w:p>
    <w:bookmarkEnd w:id="176"/>
    <w:bookmarkEnd w:id="177"/>
    <w:bookmarkEnd w:id="178"/>
    <w:p w14:paraId="50D961B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184" w:name="_Toc312678013"/>
      <w:bookmarkStart w:id="185" w:name="_Toc312677487"/>
      <w:bookmarkStart w:id="186"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79"/>
      <w:bookmarkEnd w:id="180"/>
      <w:bookmarkEnd w:id="181"/>
      <w:bookmarkEnd w:id="182"/>
      <w:bookmarkEnd w:id="183"/>
      <w:bookmarkEnd w:id="184"/>
      <w:bookmarkEnd w:id="185"/>
    </w:p>
    <w:bookmarkEnd w:id="186"/>
    <w:p w14:paraId="79CBA77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187" w:name="_Toc312678014"/>
      <w:bookmarkStart w:id="188" w:name="_Toc318581171"/>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187"/>
    <w:bookmarkEnd w:id="188"/>
    <w:p w14:paraId="59DBE91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89" w:name="_Toc525726200"/>
      <w:r>
        <w:rPr>
          <w:rFonts w:hint="eastAsia" w:ascii="宋体" w:hAnsi="宋体" w:eastAsia="宋体" w:cs="宋体"/>
          <w:color w:val="auto"/>
          <w:sz w:val="24"/>
          <w:szCs w:val="24"/>
          <w:highlight w:val="none"/>
        </w:rPr>
        <w:t>7</w:t>
      </w:r>
      <w:bookmarkStart w:id="190" w:name="_Toc304295549"/>
      <w:bookmarkStart w:id="191" w:name="_Toc297216178"/>
      <w:bookmarkStart w:id="192" w:name="_Toc303539128"/>
      <w:bookmarkStart w:id="193" w:name="_Toc297123519"/>
      <w:bookmarkStart w:id="194" w:name="_Toc312678015"/>
      <w:bookmarkStart w:id="195" w:name="_Toc300934971"/>
      <w:r>
        <w:rPr>
          <w:rFonts w:hint="eastAsia" w:ascii="宋体" w:hAnsi="宋体" w:eastAsia="宋体" w:cs="宋体"/>
          <w:color w:val="auto"/>
          <w:sz w:val="24"/>
          <w:szCs w:val="24"/>
          <w:highlight w:val="none"/>
        </w:rPr>
        <w:t>.6不</w:t>
      </w:r>
      <w:bookmarkEnd w:id="190"/>
      <w:bookmarkEnd w:id="191"/>
      <w:bookmarkEnd w:id="192"/>
      <w:bookmarkEnd w:id="193"/>
      <w:bookmarkEnd w:id="194"/>
      <w:bookmarkEnd w:id="195"/>
      <w:r>
        <w:rPr>
          <w:rFonts w:hint="eastAsia" w:ascii="宋体" w:hAnsi="宋体" w:eastAsia="宋体" w:cs="宋体"/>
          <w:color w:val="auto"/>
          <w:sz w:val="24"/>
          <w:szCs w:val="24"/>
          <w:highlight w:val="none"/>
        </w:rPr>
        <w:t>利物质条件</w:t>
      </w:r>
      <w:bookmarkEnd w:id="189"/>
    </w:p>
    <w:p w14:paraId="39077FF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196" w:name="_Toc297216179"/>
      <w:bookmarkStart w:id="197" w:name="_Toc304295550"/>
      <w:bookmarkStart w:id="198" w:name="_Toc300934972"/>
      <w:bookmarkStart w:id="199" w:name="_Toc303539129"/>
      <w:bookmarkStart w:id="200" w:name="_Toc312678016"/>
      <w:bookmarkStart w:id="201" w:name="_Toc297123520"/>
      <w:bookmarkStart w:id="202" w:name="_Toc318581172"/>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bookmarkEnd w:id="196"/>
    <w:bookmarkEnd w:id="197"/>
    <w:bookmarkEnd w:id="198"/>
    <w:bookmarkEnd w:id="199"/>
    <w:bookmarkEnd w:id="200"/>
    <w:bookmarkEnd w:id="201"/>
    <w:bookmarkEnd w:id="202"/>
    <w:p w14:paraId="0EF6F50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03" w:name="_Toc297216180"/>
      <w:bookmarkStart w:id="204" w:name="_Toc303539130"/>
      <w:bookmarkStart w:id="205" w:name="_Toc300934973"/>
      <w:bookmarkStart w:id="206" w:name="_Toc304295551"/>
      <w:bookmarkStart w:id="207" w:name="_Toc312678017"/>
      <w:bookmarkStart w:id="208" w:name="_Toc297123521"/>
      <w:r>
        <w:rPr>
          <w:rFonts w:hint="eastAsia" w:ascii="宋体" w:hAnsi="宋体" w:eastAsia="宋体" w:cs="宋体"/>
          <w:color w:val="auto"/>
          <w:sz w:val="24"/>
          <w:szCs w:val="24"/>
          <w:highlight w:val="none"/>
        </w:rPr>
        <w:t>.7异常恶劣的气候条件</w:t>
      </w:r>
    </w:p>
    <w:bookmarkEnd w:id="203"/>
    <w:bookmarkEnd w:id="204"/>
    <w:bookmarkEnd w:id="205"/>
    <w:bookmarkEnd w:id="206"/>
    <w:bookmarkEnd w:id="207"/>
    <w:bookmarkEnd w:id="208"/>
    <w:p w14:paraId="116E350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3F09553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C9C2F3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8F509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63D52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209" w:name="_Toc525726201"/>
      <w:r>
        <w:rPr>
          <w:rFonts w:hint="eastAsia" w:ascii="宋体" w:hAnsi="宋体" w:eastAsia="宋体" w:cs="宋体"/>
          <w:color w:val="auto"/>
          <w:sz w:val="24"/>
          <w:szCs w:val="24"/>
          <w:highlight w:val="none"/>
        </w:rPr>
        <w:t>7.9提前竣工的奖励</w:t>
      </w:r>
      <w:bookmarkEnd w:id="209"/>
    </w:p>
    <w:p w14:paraId="6544A16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7.9.2提前竣工的奖励：</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AFC59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210" w:name="_Toc525726202"/>
      <w:r>
        <w:rPr>
          <w:rFonts w:hint="eastAsia" w:ascii="宋体" w:hAnsi="宋体" w:eastAsia="宋体" w:cs="宋体"/>
          <w:color w:val="auto"/>
          <w:sz w:val="24"/>
          <w:szCs w:val="24"/>
          <w:highlight w:val="none"/>
        </w:rPr>
        <w:t>8.材料与设备</w:t>
      </w:r>
      <w:bookmarkEnd w:id="210"/>
    </w:p>
    <w:bookmarkEnd w:id="136"/>
    <w:bookmarkEnd w:id="137"/>
    <w:bookmarkEnd w:id="138"/>
    <w:bookmarkEnd w:id="139"/>
    <w:bookmarkEnd w:id="140"/>
    <w:bookmarkEnd w:id="141"/>
    <w:bookmarkEnd w:id="142"/>
    <w:bookmarkEnd w:id="143"/>
    <w:bookmarkEnd w:id="144"/>
    <w:bookmarkEnd w:id="145"/>
    <w:p w14:paraId="5A825D0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211" w:name="_Toc296503167"/>
      <w:bookmarkStart w:id="212" w:name="_Toc297216186"/>
      <w:bookmarkStart w:id="213" w:name="_Toc280868654"/>
      <w:bookmarkStart w:id="214" w:name="_Toc292559372"/>
      <w:bookmarkStart w:id="215" w:name="_Toc297048353"/>
      <w:bookmarkStart w:id="216" w:name="_Toc296346668"/>
      <w:bookmarkStart w:id="217" w:name="_Toc303539136"/>
      <w:bookmarkStart w:id="218" w:name="_Toc296944506"/>
      <w:bookmarkStart w:id="219" w:name="_Toc296891207"/>
      <w:bookmarkStart w:id="220" w:name="_Toc297123527"/>
      <w:bookmarkStart w:id="221" w:name="_Toc300934979"/>
      <w:bookmarkStart w:id="222" w:name="_Toc292559877"/>
      <w:bookmarkStart w:id="223" w:name="_Toc296347166"/>
      <w:bookmarkStart w:id="224" w:name="_Toc304295556"/>
      <w:bookmarkStart w:id="225" w:name="_Toc312677493"/>
      <w:bookmarkStart w:id="226" w:name="_Toc296890995"/>
      <w:bookmarkStart w:id="227" w:name="_Toc297120467"/>
      <w:bookmarkStart w:id="228" w:name="_Toc312678019"/>
      <w:bookmarkStart w:id="229" w:name="_Toc280868655"/>
      <w:bookmarkStart w:id="230" w:name="_Toc280868656"/>
      <w:bookmarkStart w:id="231" w:name="_Toc267251424"/>
      <w:r>
        <w:rPr>
          <w:rFonts w:hint="eastAsia" w:ascii="宋体" w:hAnsi="宋体" w:eastAsia="宋体" w:cs="宋体"/>
          <w:color w:val="auto"/>
          <w:sz w:val="24"/>
          <w:szCs w:val="24"/>
          <w:highlight w:val="none"/>
        </w:rPr>
        <w:t>.4材料与工程设备的保管与使用</w:t>
      </w:r>
    </w:p>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14:paraId="7223266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232" w:name="_Toc292559878"/>
      <w:bookmarkStart w:id="233" w:name="_Toc292559373"/>
      <w:bookmarkStart w:id="234" w:name="_Toc304295557"/>
      <w:bookmarkStart w:id="235" w:name="_Toc296891208"/>
      <w:bookmarkStart w:id="236" w:name="_Toc296890996"/>
      <w:bookmarkStart w:id="237" w:name="_Toc297048354"/>
      <w:bookmarkStart w:id="238" w:name="_Toc297123528"/>
      <w:bookmarkStart w:id="239" w:name="_Toc312678020"/>
      <w:bookmarkStart w:id="240" w:name="_Toc296347167"/>
      <w:bookmarkStart w:id="241" w:name="_Toc297120468"/>
      <w:bookmarkStart w:id="242" w:name="_Toc297216187"/>
      <w:bookmarkStart w:id="243" w:name="_Toc303539137"/>
      <w:bookmarkStart w:id="244" w:name="_Toc318581173"/>
      <w:bookmarkStart w:id="245" w:name="_Toc296503168"/>
      <w:bookmarkStart w:id="246" w:name="_Toc296944507"/>
      <w:bookmarkStart w:id="247" w:name="_Toc300934980"/>
      <w:bookmarkStart w:id="248" w:name="_Toc312677494"/>
      <w:bookmarkStart w:id="249" w:name="_Toc296346669"/>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232"/>
      <w:bookmarkEnd w:id="233"/>
    </w:p>
    <w:p w14:paraId="1DC8E42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250" w:name="_Toc525726203"/>
      <w:r>
        <w:rPr>
          <w:rFonts w:hint="eastAsia" w:ascii="宋体" w:hAnsi="宋体" w:eastAsia="宋体" w:cs="宋体"/>
          <w:color w:val="auto"/>
          <w:sz w:val="24"/>
          <w:szCs w:val="24"/>
          <w:highlight w:val="none"/>
        </w:rPr>
        <w:t>8.6样品</w:t>
      </w:r>
      <w:bookmarkEnd w:id="250"/>
    </w:p>
    <w:p w14:paraId="384C202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8.6.1样品的报送与封存</w:t>
      </w:r>
    </w:p>
    <w:p w14:paraId="7582A48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499E43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251" w:name="_Toc525726204"/>
      <w:r>
        <w:rPr>
          <w:rFonts w:hint="eastAsia" w:ascii="宋体" w:hAnsi="宋体" w:eastAsia="宋体" w:cs="宋体"/>
          <w:color w:val="auto"/>
          <w:sz w:val="24"/>
          <w:szCs w:val="24"/>
          <w:highlight w:val="none"/>
        </w:rPr>
        <w:t>8.8施工设备和临时设施</w:t>
      </w:r>
      <w:bookmarkEnd w:id="251"/>
    </w:p>
    <w:p w14:paraId="3F1996C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8.8.1承包人提供的施工设备和临时设施</w:t>
      </w:r>
    </w:p>
    <w:p w14:paraId="7E2541B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14:paraId="40652E4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252" w:name="_Toc525726205"/>
      <w:r>
        <w:rPr>
          <w:rFonts w:hint="eastAsia" w:ascii="宋体" w:hAnsi="宋体" w:eastAsia="宋体" w:cs="宋体"/>
          <w:color w:val="auto"/>
          <w:sz w:val="24"/>
          <w:szCs w:val="24"/>
          <w:highlight w:val="none"/>
        </w:rPr>
        <w:t>9</w:t>
      </w:r>
      <w:bookmarkEnd w:id="229"/>
      <w:bookmarkEnd w:id="230"/>
      <w:bookmarkEnd w:id="231"/>
      <w:bookmarkStart w:id="253" w:name="_Toc312677495"/>
      <w:bookmarkStart w:id="254" w:name="_Toc300934982"/>
      <w:bookmarkStart w:id="255" w:name="_Toc312678021"/>
      <w:bookmarkStart w:id="256" w:name="_Toc297123533"/>
      <w:bookmarkStart w:id="257" w:name="_Toc297216192"/>
      <w:bookmarkStart w:id="258" w:name="_Toc304295559"/>
      <w:bookmarkStart w:id="259" w:name="_Toc303539139"/>
      <w:bookmarkStart w:id="260" w:name="_Toc292559378"/>
      <w:bookmarkStart w:id="261" w:name="_Toc296347172"/>
      <w:bookmarkStart w:id="262" w:name="_Toc297048359"/>
      <w:bookmarkStart w:id="263" w:name="_Toc296346674"/>
      <w:bookmarkStart w:id="264" w:name="_Toc296944512"/>
      <w:bookmarkStart w:id="265" w:name="_Toc297120473"/>
      <w:bookmarkStart w:id="266" w:name="_Toc292559883"/>
      <w:bookmarkStart w:id="267" w:name="_Toc296503173"/>
      <w:bookmarkStart w:id="268" w:name="_Toc296891213"/>
      <w:bookmarkStart w:id="269" w:name="_Toc296891001"/>
      <w:bookmarkStart w:id="270" w:name="_Toc267251427"/>
      <w:bookmarkStart w:id="271" w:name="_Toc267251428"/>
      <w:r>
        <w:rPr>
          <w:rFonts w:hint="eastAsia" w:ascii="宋体" w:hAnsi="宋体" w:eastAsia="宋体" w:cs="宋体"/>
          <w:color w:val="auto"/>
          <w:sz w:val="24"/>
          <w:szCs w:val="24"/>
          <w:highlight w:val="none"/>
        </w:rPr>
        <w:t>.试验与检验</w:t>
      </w:r>
      <w:bookmarkEnd w:id="252"/>
    </w:p>
    <w:bookmarkEnd w:id="253"/>
    <w:bookmarkEnd w:id="254"/>
    <w:bookmarkEnd w:id="255"/>
    <w:bookmarkEnd w:id="256"/>
    <w:bookmarkEnd w:id="257"/>
    <w:bookmarkEnd w:id="258"/>
    <w:bookmarkEnd w:id="259"/>
    <w:p w14:paraId="3BE349E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272" w:name="_Toc297216193"/>
      <w:bookmarkStart w:id="273" w:name="_Toc300934983"/>
      <w:bookmarkStart w:id="274" w:name="_Toc303539140"/>
      <w:bookmarkStart w:id="275" w:name="_Toc297123534"/>
      <w:bookmarkStart w:id="276" w:name="_Toc312677496"/>
      <w:bookmarkStart w:id="277" w:name="_Toc304295560"/>
      <w:bookmarkStart w:id="278" w:name="_Toc312678022"/>
      <w:r>
        <w:rPr>
          <w:rFonts w:hint="eastAsia" w:ascii="宋体" w:hAnsi="宋体" w:eastAsia="宋体" w:cs="宋体"/>
          <w:color w:val="auto"/>
          <w:sz w:val="24"/>
          <w:szCs w:val="24"/>
          <w:highlight w:val="none"/>
        </w:rPr>
        <w:t>.1试验设备与试验人员</w:t>
      </w:r>
    </w:p>
    <w:bookmarkEnd w:id="272"/>
    <w:bookmarkEnd w:id="273"/>
    <w:bookmarkEnd w:id="274"/>
    <w:bookmarkEnd w:id="275"/>
    <w:bookmarkEnd w:id="276"/>
    <w:bookmarkEnd w:id="277"/>
    <w:bookmarkEnd w:id="278"/>
    <w:p w14:paraId="671111D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279" w:name="_Toc297123535"/>
      <w:bookmarkStart w:id="280" w:name="_Toc300934984"/>
      <w:bookmarkStart w:id="281" w:name="_Toc303539141"/>
      <w:bookmarkStart w:id="282" w:name="_Toc312677497"/>
      <w:bookmarkStart w:id="283" w:name="_Toc304295561"/>
      <w:bookmarkStart w:id="284" w:name="_Toc312678023"/>
      <w:bookmarkStart w:id="285" w:name="_Toc297216194"/>
      <w:bookmarkStart w:id="286" w:name="_Toc318581174"/>
      <w:r>
        <w:rPr>
          <w:rFonts w:hint="eastAsia" w:ascii="宋体" w:hAnsi="宋体" w:eastAsia="宋体" w:cs="宋体"/>
          <w:color w:val="auto"/>
          <w:sz w:val="24"/>
          <w:szCs w:val="24"/>
          <w:highlight w:val="none"/>
        </w:rPr>
        <w:t>.1.2试验设备</w:t>
      </w:r>
    </w:p>
    <w:bookmarkEnd w:id="279"/>
    <w:bookmarkEnd w:id="280"/>
    <w:bookmarkEnd w:id="281"/>
    <w:bookmarkEnd w:id="282"/>
    <w:bookmarkEnd w:id="283"/>
    <w:bookmarkEnd w:id="284"/>
    <w:bookmarkEnd w:id="285"/>
    <w:p w14:paraId="67E60C4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287" w:name="_Toc297216195"/>
      <w:bookmarkStart w:id="288" w:name="_Toc312677498"/>
      <w:bookmarkStart w:id="289" w:name="_Toc300934985"/>
      <w:bookmarkStart w:id="290" w:name="_Toc312678024"/>
      <w:bookmarkStart w:id="291" w:name="_Toc297123536"/>
      <w:bookmarkStart w:id="292" w:name="_Toc303539142"/>
      <w:bookmarkStart w:id="293" w:name="_Toc304295562"/>
      <w:r>
        <w:rPr>
          <w:rFonts w:hint="eastAsia" w:ascii="宋体" w:hAnsi="宋体" w:eastAsia="宋体" w:cs="宋体"/>
          <w:color w:val="auto"/>
          <w:sz w:val="24"/>
          <w:szCs w:val="24"/>
          <w:highlight w:val="none"/>
        </w:rPr>
        <w:t>施工现场需要配置的试验场所：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87B69C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43983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66D431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294" w:name="_Toc525726206"/>
      <w:r>
        <w:rPr>
          <w:rFonts w:hint="eastAsia" w:ascii="宋体" w:hAnsi="宋体" w:eastAsia="宋体" w:cs="宋体"/>
          <w:color w:val="auto"/>
          <w:sz w:val="24"/>
          <w:szCs w:val="24"/>
          <w:highlight w:val="none"/>
        </w:rPr>
        <w:t>9.4现场工艺试验</w:t>
      </w:r>
      <w:bookmarkEnd w:id="294"/>
      <w:r>
        <w:rPr>
          <w:rFonts w:hint="eastAsia" w:ascii="宋体" w:hAnsi="宋体" w:eastAsia="宋体" w:cs="宋体"/>
          <w:color w:val="auto"/>
          <w:sz w:val="24"/>
          <w:szCs w:val="24"/>
          <w:highlight w:val="none"/>
        </w:rPr>
        <w:t xml:space="preserve"> </w:t>
      </w:r>
    </w:p>
    <w:p w14:paraId="38B5496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286"/>
    <w:bookmarkEnd w:id="287"/>
    <w:bookmarkEnd w:id="288"/>
    <w:bookmarkEnd w:id="289"/>
    <w:bookmarkEnd w:id="290"/>
    <w:bookmarkEnd w:id="291"/>
    <w:bookmarkEnd w:id="292"/>
    <w:bookmarkEnd w:id="293"/>
    <w:p w14:paraId="11EF981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295" w:name="_Toc525726207"/>
      <w:r>
        <w:rPr>
          <w:rFonts w:hint="eastAsia" w:ascii="宋体" w:hAnsi="宋体" w:eastAsia="宋体" w:cs="宋体"/>
          <w:color w:val="auto"/>
          <w:sz w:val="24"/>
          <w:szCs w:val="24"/>
          <w:highlight w:val="none"/>
        </w:rPr>
        <w:t>1</w:t>
      </w:r>
      <w:bookmarkEnd w:id="260"/>
      <w:bookmarkEnd w:id="261"/>
      <w:bookmarkEnd w:id="262"/>
      <w:bookmarkEnd w:id="263"/>
      <w:bookmarkEnd w:id="264"/>
      <w:bookmarkEnd w:id="265"/>
      <w:bookmarkEnd w:id="266"/>
      <w:bookmarkEnd w:id="267"/>
      <w:bookmarkEnd w:id="268"/>
      <w:bookmarkEnd w:id="269"/>
      <w:bookmarkEnd w:id="270"/>
      <w:bookmarkEnd w:id="271"/>
      <w:bookmarkStart w:id="296" w:name="_Toc292559903"/>
      <w:bookmarkStart w:id="297" w:name="_Toc296346694"/>
      <w:bookmarkStart w:id="298" w:name="_Toc296891233"/>
      <w:bookmarkStart w:id="299" w:name="_Toc297048379"/>
      <w:bookmarkStart w:id="300" w:name="_Toc297120493"/>
      <w:bookmarkStart w:id="301" w:name="_Toc296944532"/>
      <w:bookmarkStart w:id="302" w:name="_Toc296503193"/>
      <w:bookmarkStart w:id="303" w:name="_Toc297123540"/>
      <w:bookmarkStart w:id="304" w:name="_Toc292559398"/>
      <w:bookmarkStart w:id="305" w:name="_Toc297216199"/>
      <w:bookmarkStart w:id="306" w:name="_Toc304295566"/>
      <w:bookmarkStart w:id="307" w:name="_Toc303539146"/>
      <w:bookmarkStart w:id="308" w:name="_Toc300934989"/>
      <w:bookmarkStart w:id="309" w:name="_Toc296891021"/>
      <w:bookmarkStart w:id="310" w:name="_Toc296347192"/>
      <w:bookmarkStart w:id="311" w:name="_Toc312678025"/>
      <w:bookmarkStart w:id="312" w:name="_Toc312677499"/>
      <w:bookmarkStart w:id="313" w:name="_Toc267251435"/>
      <w:bookmarkStart w:id="314" w:name="_Toc267251441"/>
      <w:bookmarkStart w:id="315" w:name="_Toc267251439"/>
      <w:bookmarkStart w:id="316" w:name="_Toc267251440"/>
      <w:bookmarkStart w:id="317" w:name="_Toc267251437"/>
      <w:bookmarkStart w:id="318" w:name="_Toc267251433"/>
      <w:bookmarkStart w:id="319" w:name="_Toc267251442"/>
      <w:r>
        <w:rPr>
          <w:rFonts w:hint="eastAsia" w:ascii="宋体" w:hAnsi="宋体" w:eastAsia="宋体" w:cs="宋体"/>
          <w:color w:val="auto"/>
          <w:sz w:val="24"/>
          <w:szCs w:val="24"/>
          <w:highlight w:val="none"/>
        </w:rPr>
        <w:t>0.变更</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bookmarkEnd w:id="311"/>
    <w:bookmarkEnd w:id="312"/>
    <w:p w14:paraId="73A25D2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320" w:name="_Toc296891234"/>
      <w:bookmarkStart w:id="321" w:name="_Toc303539147"/>
      <w:bookmarkStart w:id="322" w:name="_Toc312678026"/>
      <w:bookmarkStart w:id="323" w:name="_Toc296503194"/>
      <w:bookmarkStart w:id="324" w:name="_Toc296944533"/>
      <w:bookmarkStart w:id="325" w:name="_Toc300934990"/>
      <w:bookmarkStart w:id="326" w:name="_Toc296346695"/>
      <w:bookmarkStart w:id="327" w:name="_Toc292559904"/>
      <w:bookmarkStart w:id="328" w:name="_Toc297123541"/>
      <w:bookmarkStart w:id="329" w:name="_Toc297048380"/>
      <w:bookmarkStart w:id="330" w:name="_Toc297216200"/>
      <w:bookmarkStart w:id="331" w:name="_Toc297120494"/>
      <w:bookmarkStart w:id="332" w:name="_Toc292559399"/>
      <w:bookmarkStart w:id="333" w:name="_Toc296347193"/>
      <w:bookmarkStart w:id="334" w:name="_Toc304295567"/>
      <w:bookmarkStart w:id="335" w:name="_Toc296891022"/>
      <w:bookmarkStart w:id="336" w:name="_Toc312677500"/>
      <w:r>
        <w:rPr>
          <w:rFonts w:hint="eastAsia" w:ascii="宋体" w:hAnsi="宋体" w:eastAsia="宋体" w:cs="宋体"/>
          <w:color w:val="auto"/>
          <w:sz w:val="24"/>
          <w:szCs w:val="24"/>
          <w:highlight w:val="none"/>
        </w:rPr>
        <w:t>0.1变更的范围</w:t>
      </w:r>
    </w:p>
    <w:p w14:paraId="5CA72EF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关于变更的范围的约定：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340B8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337" w:name="_Toc525726208"/>
      <w:r>
        <w:rPr>
          <w:rFonts w:hint="eastAsia" w:ascii="宋体" w:hAnsi="宋体" w:eastAsia="宋体" w:cs="宋体"/>
          <w:color w:val="auto"/>
          <w:sz w:val="24"/>
          <w:szCs w:val="24"/>
          <w:highlight w:val="none"/>
        </w:rPr>
        <w:t>10.4变更估价</w:t>
      </w:r>
      <w:bookmarkEnd w:id="337"/>
    </w:p>
    <w:p w14:paraId="522D5F6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10.4.1变更估价原则</w:t>
      </w:r>
    </w:p>
    <w:p w14:paraId="5858F0C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关于变更估价的约定: </w:t>
      </w:r>
      <w:r>
        <w:rPr>
          <w:rFonts w:hint="eastAsia" w:ascii="宋体" w:hAnsi="宋体" w:eastAsia="宋体" w:cs="宋体"/>
          <w:color w:val="auto"/>
          <w:sz w:val="24"/>
          <w:szCs w:val="24"/>
          <w:highlight w:val="none"/>
          <w:u w:val="single"/>
        </w:rPr>
        <w:t xml:space="preserve">                    </w:t>
      </w:r>
    </w:p>
    <w:p w14:paraId="671CD9C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Start w:id="338" w:name="_Toc296347196"/>
      <w:bookmarkStart w:id="339" w:name="_Toc292559907"/>
      <w:bookmarkStart w:id="340" w:name="_Toc303539150"/>
      <w:bookmarkStart w:id="341" w:name="_Toc296346698"/>
      <w:bookmarkStart w:id="342" w:name="_Toc300934993"/>
      <w:bookmarkStart w:id="343" w:name="_Toc297048383"/>
      <w:bookmarkStart w:id="344" w:name="_Toc296944536"/>
      <w:bookmarkStart w:id="345" w:name="_Toc297123544"/>
      <w:bookmarkStart w:id="346" w:name="_Toc296891237"/>
      <w:bookmarkStart w:id="347" w:name="_Toc297120497"/>
      <w:bookmarkStart w:id="348" w:name="_Toc297216203"/>
      <w:bookmarkStart w:id="349" w:name="_Toc296891025"/>
      <w:bookmarkStart w:id="350" w:name="_Toc296503197"/>
      <w:bookmarkStart w:id="351" w:name="_Toc292559402"/>
      <w:bookmarkStart w:id="352" w:name="_Toc312677503"/>
      <w:bookmarkStart w:id="353" w:name="_Toc312678029"/>
      <w:bookmarkStart w:id="354" w:name="_Toc304295570"/>
      <w:r>
        <w:rPr>
          <w:rFonts w:hint="eastAsia" w:ascii="宋体" w:hAnsi="宋体" w:eastAsia="宋体" w:cs="宋体"/>
          <w:color w:val="auto"/>
          <w:sz w:val="24"/>
          <w:szCs w:val="24"/>
          <w:highlight w:val="none"/>
        </w:rPr>
        <w:t>0.5承</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5" w:name="_Toc303539151"/>
      <w:bookmarkStart w:id="356" w:name="_Toc296944542"/>
      <w:bookmarkStart w:id="357" w:name="_Toc292559408"/>
      <w:bookmarkStart w:id="358" w:name="_Toc296346704"/>
      <w:bookmarkStart w:id="359" w:name="_Toc297123545"/>
      <w:bookmarkStart w:id="360" w:name="_Toc297120503"/>
      <w:bookmarkStart w:id="361" w:name="_Toc300934994"/>
      <w:bookmarkStart w:id="362" w:name="_Toc296503203"/>
      <w:bookmarkStart w:id="363" w:name="_Toc297216204"/>
      <w:bookmarkStart w:id="364" w:name="_Toc296891243"/>
      <w:bookmarkStart w:id="365" w:name="_Toc296347202"/>
      <w:bookmarkStart w:id="366" w:name="_Toc296891031"/>
      <w:bookmarkStart w:id="367" w:name="_Toc297048389"/>
      <w:bookmarkStart w:id="368" w:name="_Toc292559913"/>
      <w:r>
        <w:rPr>
          <w:rFonts w:hint="eastAsia" w:ascii="宋体" w:hAnsi="宋体" w:eastAsia="宋体" w:cs="宋体"/>
          <w:color w:val="auto"/>
          <w:sz w:val="24"/>
          <w:szCs w:val="24"/>
          <w:highlight w:val="none"/>
        </w:rPr>
        <w:t>包人的合理化建议</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14:paraId="449F006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71164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4CDB43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w:t>
      </w:r>
      <w:bookmarkStart w:id="369" w:name="_Toc296346705"/>
      <w:bookmarkStart w:id="370" w:name="_Toc296347203"/>
      <w:bookmarkStart w:id="371" w:name="_Toc312678030"/>
      <w:bookmarkStart w:id="372" w:name="_Toc297120504"/>
      <w:bookmarkStart w:id="373" w:name="_Toc297048390"/>
      <w:bookmarkStart w:id="374" w:name="_Toc297123546"/>
      <w:bookmarkStart w:id="375" w:name="_Toc300934995"/>
      <w:bookmarkStart w:id="376" w:name="_Toc296891032"/>
      <w:bookmarkStart w:id="377" w:name="_Toc297216205"/>
      <w:bookmarkStart w:id="378" w:name="_Toc312677504"/>
      <w:bookmarkStart w:id="379" w:name="_Toc303539152"/>
      <w:bookmarkStart w:id="380" w:name="_Toc296503204"/>
      <w:bookmarkStart w:id="381" w:name="_Toc292559914"/>
      <w:bookmarkStart w:id="382" w:name="_Toc318581175"/>
      <w:bookmarkStart w:id="383" w:name="_Toc292559409"/>
      <w:bookmarkStart w:id="384" w:name="_Toc304295571"/>
      <w:bookmarkStart w:id="385" w:name="_Toc296891244"/>
      <w:bookmarkStart w:id="386" w:name="_Toc296944543"/>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3868002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387" w:name="_Toc525726211"/>
      <w:r>
        <w:rPr>
          <w:rFonts w:hint="eastAsia" w:ascii="宋体" w:hAnsi="宋体" w:eastAsia="宋体" w:cs="宋体"/>
          <w:color w:val="auto"/>
          <w:sz w:val="24"/>
          <w:szCs w:val="24"/>
          <w:highlight w:val="none"/>
        </w:rPr>
        <w:t>11.价格调整</w:t>
      </w:r>
      <w:bookmarkEnd w:id="387"/>
    </w:p>
    <w:p w14:paraId="32709A6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388" w:name="_Toc525726212"/>
      <w:bookmarkStart w:id="389" w:name="_Toc312678039"/>
      <w:bookmarkStart w:id="390" w:name="_Toc296891241"/>
      <w:bookmarkStart w:id="391" w:name="_Toc296346702"/>
      <w:bookmarkStart w:id="392" w:name="_Toc296891029"/>
      <w:bookmarkStart w:id="393" w:name="_Toc303539157"/>
      <w:bookmarkStart w:id="394" w:name="_Toc296944540"/>
      <w:bookmarkStart w:id="395" w:name="_Toc297216209"/>
      <w:bookmarkStart w:id="396" w:name="_Toc300935000"/>
      <w:bookmarkStart w:id="397" w:name="_Toc296503201"/>
      <w:bookmarkStart w:id="398" w:name="_Toc292559911"/>
      <w:bookmarkStart w:id="399" w:name="_Toc292559406"/>
      <w:bookmarkStart w:id="400" w:name="_Toc297120501"/>
      <w:bookmarkStart w:id="401" w:name="_Toc296347200"/>
      <w:bookmarkStart w:id="402" w:name="_Toc304295577"/>
      <w:bookmarkStart w:id="403" w:name="_Toc297048387"/>
      <w:bookmarkStart w:id="404" w:name="_Toc297123550"/>
      <w:r>
        <w:rPr>
          <w:rFonts w:hint="eastAsia" w:ascii="宋体" w:hAnsi="宋体" w:eastAsia="宋体" w:cs="宋体"/>
          <w:color w:val="auto"/>
          <w:sz w:val="24"/>
          <w:szCs w:val="24"/>
          <w:highlight w:val="none"/>
        </w:rPr>
        <w:t>11.1市场价格波动引起的调整</w:t>
      </w:r>
      <w:bookmarkEnd w:id="388"/>
    </w:p>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14:paraId="685CDE3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2AB75F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358FF44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59E9BCA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210C2BF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182E42F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6FA274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58D1774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58F404C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4A41577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第3种方式：其他价格调整方式：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313"/>
    <w:bookmarkEnd w:id="314"/>
    <w:bookmarkEnd w:id="315"/>
    <w:bookmarkEnd w:id="316"/>
    <w:bookmarkEnd w:id="317"/>
    <w:bookmarkEnd w:id="318"/>
    <w:p w14:paraId="7A273EB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405" w:name="_Toc292559915"/>
      <w:bookmarkStart w:id="406" w:name="_Toc296891245"/>
      <w:bookmarkStart w:id="407" w:name="_Toc297048391"/>
      <w:bookmarkStart w:id="408" w:name="_Toc297120505"/>
      <w:bookmarkStart w:id="409" w:name="_Toc296347204"/>
      <w:bookmarkStart w:id="410" w:name="_Toc296503205"/>
      <w:bookmarkStart w:id="411" w:name="_Toc296346706"/>
      <w:bookmarkStart w:id="412" w:name="_Toc296891033"/>
      <w:bookmarkStart w:id="413" w:name="_Toc292559410"/>
      <w:bookmarkStart w:id="414" w:name="_Toc296944544"/>
      <w:bookmarkStart w:id="415" w:name="_Toc525726213"/>
      <w:bookmarkStart w:id="416" w:name="_Toc297216211"/>
      <w:bookmarkStart w:id="417" w:name="_Toc304295579"/>
      <w:bookmarkStart w:id="418" w:name="_Toc300935002"/>
      <w:bookmarkStart w:id="419" w:name="_Toc297123552"/>
      <w:bookmarkStart w:id="420" w:name="_Toc303539159"/>
      <w:bookmarkStart w:id="421" w:name="_Toc312678040"/>
      <w:r>
        <w:rPr>
          <w:rFonts w:hint="eastAsia" w:ascii="宋体" w:hAnsi="宋体" w:eastAsia="宋体" w:cs="宋体"/>
          <w:color w:val="auto"/>
          <w:sz w:val="24"/>
          <w:szCs w:val="24"/>
          <w:highlight w:val="none"/>
        </w:rPr>
        <w:t>12.</w:t>
      </w:r>
      <w:bookmarkEnd w:id="405"/>
      <w:bookmarkEnd w:id="406"/>
      <w:bookmarkEnd w:id="407"/>
      <w:bookmarkEnd w:id="408"/>
      <w:bookmarkEnd w:id="409"/>
      <w:bookmarkEnd w:id="410"/>
      <w:bookmarkEnd w:id="411"/>
      <w:bookmarkEnd w:id="412"/>
      <w:bookmarkEnd w:id="413"/>
      <w:bookmarkEnd w:id="414"/>
      <w:r>
        <w:rPr>
          <w:rFonts w:hint="eastAsia" w:ascii="宋体" w:hAnsi="宋体" w:eastAsia="宋体" w:cs="宋体"/>
          <w:color w:val="auto"/>
          <w:sz w:val="24"/>
          <w:szCs w:val="24"/>
          <w:highlight w:val="none"/>
        </w:rPr>
        <w:t>合同价格、计量与支付</w:t>
      </w:r>
      <w:bookmarkEnd w:id="415"/>
    </w:p>
    <w:bookmarkEnd w:id="416"/>
    <w:bookmarkEnd w:id="417"/>
    <w:bookmarkEnd w:id="418"/>
    <w:bookmarkEnd w:id="419"/>
    <w:bookmarkEnd w:id="420"/>
    <w:bookmarkEnd w:id="421"/>
    <w:p w14:paraId="4EE9AE3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422" w:name="_Toc292559916"/>
      <w:bookmarkStart w:id="423" w:name="_Toc292559411"/>
      <w:bookmarkStart w:id="424" w:name="_Toc267251461"/>
      <w:bookmarkStart w:id="425" w:name="_Toc297048392"/>
      <w:bookmarkStart w:id="426" w:name="_Toc296346707"/>
      <w:bookmarkStart w:id="427" w:name="_Toc296891246"/>
      <w:bookmarkStart w:id="428" w:name="_Toc296891034"/>
      <w:bookmarkStart w:id="429" w:name="_Toc296347205"/>
      <w:bookmarkStart w:id="430" w:name="_Toc297120506"/>
      <w:bookmarkStart w:id="431" w:name="_Toc296944545"/>
      <w:bookmarkStart w:id="432" w:name="_Toc296503206"/>
      <w:bookmarkStart w:id="433" w:name="_Toc525726214"/>
      <w:bookmarkStart w:id="434" w:name="_Toc297123553"/>
      <w:bookmarkStart w:id="435" w:name="_Toc303539160"/>
      <w:bookmarkStart w:id="436" w:name="_Toc304295580"/>
      <w:bookmarkStart w:id="437" w:name="_Toc312678041"/>
      <w:bookmarkStart w:id="438" w:name="_Toc297216212"/>
      <w:bookmarkStart w:id="439" w:name="_Toc300935003"/>
      <w:r>
        <w:rPr>
          <w:rFonts w:hint="eastAsia" w:ascii="宋体" w:hAnsi="宋体" w:eastAsia="宋体" w:cs="宋体"/>
          <w:color w:val="auto"/>
          <w:sz w:val="24"/>
          <w:szCs w:val="24"/>
          <w:highlight w:val="none"/>
        </w:rPr>
        <w:t>12.1合</w:t>
      </w:r>
      <w:bookmarkEnd w:id="422"/>
      <w:bookmarkEnd w:id="423"/>
      <w:bookmarkEnd w:id="424"/>
      <w:r>
        <w:rPr>
          <w:rFonts w:hint="eastAsia" w:ascii="宋体" w:hAnsi="宋体" w:eastAsia="宋体" w:cs="宋体"/>
          <w:color w:val="auto"/>
          <w:sz w:val="24"/>
          <w:szCs w:val="24"/>
          <w:highlight w:val="none"/>
        </w:rPr>
        <w:t>同价</w:t>
      </w:r>
      <w:bookmarkEnd w:id="425"/>
      <w:bookmarkEnd w:id="426"/>
      <w:bookmarkEnd w:id="427"/>
      <w:bookmarkEnd w:id="428"/>
      <w:bookmarkEnd w:id="429"/>
      <w:bookmarkEnd w:id="430"/>
      <w:bookmarkEnd w:id="431"/>
      <w:bookmarkEnd w:id="432"/>
      <w:r>
        <w:rPr>
          <w:rFonts w:hint="eastAsia" w:ascii="宋体" w:hAnsi="宋体" w:eastAsia="宋体" w:cs="宋体"/>
          <w:color w:val="auto"/>
          <w:sz w:val="24"/>
          <w:szCs w:val="24"/>
          <w:highlight w:val="none"/>
        </w:rPr>
        <w:t>格形式</w:t>
      </w:r>
      <w:bookmarkEnd w:id="433"/>
    </w:p>
    <w:bookmarkEnd w:id="434"/>
    <w:bookmarkEnd w:id="435"/>
    <w:bookmarkEnd w:id="436"/>
    <w:bookmarkEnd w:id="437"/>
    <w:bookmarkEnd w:id="438"/>
    <w:bookmarkEnd w:id="439"/>
    <w:p w14:paraId="433847B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本合同</w:t>
      </w:r>
      <w:r>
        <w:rPr>
          <w:rFonts w:hint="eastAsia" w:ascii="宋体" w:hAnsi="宋体" w:eastAsia="宋体" w:cs="宋体"/>
          <w:color w:val="auto"/>
          <w:kern w:val="0"/>
          <w:sz w:val="24"/>
          <w:highlight w:val="none"/>
          <w:lang w:eastAsia="zh-CN"/>
        </w:rPr>
        <w:t>价格形式</w:t>
      </w:r>
      <w:r>
        <w:rPr>
          <w:rFonts w:hint="eastAsia" w:ascii="宋体" w:hAnsi="宋体" w:eastAsia="宋体" w:cs="宋体"/>
          <w:color w:val="auto"/>
          <w:kern w:val="0"/>
          <w:sz w:val="24"/>
          <w:highlight w:val="none"/>
        </w:rPr>
        <w:t>采用</w:t>
      </w:r>
      <w:r>
        <w:rPr>
          <w:rFonts w:hint="eastAsia" w:ascii="宋体" w:hAnsi="宋体" w:cs="宋体"/>
          <w:b/>
          <w:color w:val="auto"/>
          <w:kern w:val="0"/>
          <w:sz w:val="24"/>
          <w:highlight w:val="none"/>
          <w:u w:val="single"/>
          <w:lang w:val="en-US" w:eastAsia="zh-CN"/>
        </w:rPr>
        <w:t>2</w:t>
      </w:r>
      <w:r>
        <w:rPr>
          <w:rFonts w:hint="eastAsia" w:ascii="宋体" w:hAnsi="宋体" w:eastAsia="宋体" w:cs="宋体"/>
          <w:color w:val="auto"/>
          <w:kern w:val="0"/>
          <w:sz w:val="24"/>
          <w:highlight w:val="none"/>
        </w:rPr>
        <w:t>方式确定</w:t>
      </w:r>
    </w:p>
    <w:p w14:paraId="53DD8CE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w:t>
      </w:r>
    </w:p>
    <w:p w14:paraId="0737E27F">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AB8F44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F9DA4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A2F2B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w:t>
      </w:r>
    </w:p>
    <w:p w14:paraId="04F70F6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C3EC2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BA3CE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80C7D5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3、其他价格方式：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687AA0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440" w:name="_Toc525726215"/>
      <w:bookmarkStart w:id="441" w:name="_Toc304295581"/>
      <w:bookmarkStart w:id="442" w:name="_Toc297123554"/>
      <w:bookmarkStart w:id="443" w:name="_Toc312678042"/>
      <w:bookmarkStart w:id="444" w:name="_Toc303539161"/>
      <w:bookmarkStart w:id="445" w:name="_Toc297216213"/>
      <w:bookmarkStart w:id="446" w:name="_Toc300935004"/>
      <w:bookmarkStart w:id="447" w:name="_Toc296503207"/>
      <w:bookmarkStart w:id="448" w:name="_Toc292559917"/>
      <w:bookmarkStart w:id="449" w:name="_Toc297120507"/>
      <w:bookmarkStart w:id="450" w:name="_Toc296347206"/>
      <w:bookmarkStart w:id="451" w:name="_Toc296346708"/>
      <w:bookmarkStart w:id="452" w:name="_Toc297048393"/>
      <w:bookmarkStart w:id="453" w:name="_Toc296891247"/>
      <w:bookmarkStart w:id="454" w:name="_Toc296944546"/>
      <w:bookmarkStart w:id="455" w:name="_Toc292559412"/>
      <w:bookmarkStart w:id="456" w:name="_Toc296891035"/>
      <w:r>
        <w:rPr>
          <w:rFonts w:hint="eastAsia" w:ascii="宋体" w:hAnsi="宋体" w:eastAsia="宋体" w:cs="宋体"/>
          <w:color w:val="auto"/>
          <w:sz w:val="24"/>
          <w:szCs w:val="24"/>
          <w:highlight w:val="none"/>
        </w:rPr>
        <w:t>12.2预付款</w:t>
      </w:r>
      <w:bookmarkEnd w:id="440"/>
    </w:p>
    <w:bookmarkEnd w:id="441"/>
    <w:bookmarkEnd w:id="442"/>
    <w:bookmarkEnd w:id="443"/>
    <w:bookmarkEnd w:id="444"/>
    <w:bookmarkEnd w:id="445"/>
    <w:bookmarkEnd w:id="446"/>
    <w:p w14:paraId="7CF0E4C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12.2.1预付款的支付</w:t>
      </w:r>
    </w:p>
    <w:p w14:paraId="1A63F78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甲乙双方约定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F632A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甲乙双方约定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p>
    <w:p w14:paraId="436A597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 xml:space="preserve">  甲乙双方约定  </w:t>
      </w:r>
      <w:r>
        <w:rPr>
          <w:rFonts w:hint="eastAsia" w:ascii="宋体" w:hAnsi="宋体" w:eastAsia="宋体" w:cs="宋体"/>
          <w:color w:val="auto"/>
          <w:sz w:val="24"/>
          <w:szCs w:val="24"/>
          <w:highlight w:val="none"/>
        </w:rPr>
        <w:t>。</w:t>
      </w:r>
    </w:p>
    <w:p w14:paraId="4BC3F13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12.2.2预付款担保</w:t>
      </w:r>
    </w:p>
    <w:p w14:paraId="7847B62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8CB47A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47"/>
    <w:bookmarkEnd w:id="448"/>
    <w:bookmarkEnd w:id="449"/>
    <w:bookmarkEnd w:id="450"/>
    <w:bookmarkEnd w:id="451"/>
    <w:bookmarkEnd w:id="452"/>
    <w:bookmarkEnd w:id="453"/>
    <w:bookmarkEnd w:id="454"/>
    <w:bookmarkEnd w:id="455"/>
    <w:bookmarkEnd w:id="456"/>
    <w:p w14:paraId="23167C1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bookmarkStart w:id="457" w:name="_Toc525726216"/>
      <w:r>
        <w:rPr>
          <w:rFonts w:hint="eastAsia" w:ascii="宋体" w:hAnsi="宋体" w:eastAsia="宋体" w:cs="宋体"/>
          <w:color w:val="auto"/>
          <w:sz w:val="24"/>
          <w:szCs w:val="24"/>
          <w:highlight w:val="none"/>
        </w:rPr>
        <w:t>12.3计量</w:t>
      </w:r>
      <w:bookmarkEnd w:id="457"/>
    </w:p>
    <w:p w14:paraId="08D4BCF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12.3.1计量原则</w:t>
      </w:r>
    </w:p>
    <w:p w14:paraId="24A02F9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3A8CC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12.3.2计量周期</w:t>
      </w:r>
    </w:p>
    <w:p w14:paraId="5B0CD84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497F32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12.3.3单价合同的计量</w:t>
      </w:r>
    </w:p>
    <w:p w14:paraId="117120D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AE2A9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12.3.4总价合同的计量</w:t>
      </w:r>
    </w:p>
    <w:p w14:paraId="3E70971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67179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FDA5CB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12.3.6其他价格形式合同的计量</w:t>
      </w:r>
    </w:p>
    <w:p w14:paraId="5C79290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4A14AC">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auto"/>
          <w:sz w:val="24"/>
          <w:szCs w:val="24"/>
          <w:highlight w:val="none"/>
        </w:rPr>
      </w:pPr>
      <w:bookmarkStart w:id="458" w:name="_Toc525726217"/>
      <w:r>
        <w:rPr>
          <w:rFonts w:hint="eastAsia" w:ascii="宋体" w:hAnsi="宋体" w:eastAsia="宋体" w:cs="宋体"/>
          <w:b/>
          <w:bCs/>
          <w:color w:val="auto"/>
          <w:sz w:val="24"/>
          <w:szCs w:val="24"/>
          <w:highlight w:val="none"/>
        </w:rPr>
        <w:t>12.4工程进度款支付</w:t>
      </w:r>
      <w:bookmarkEnd w:id="458"/>
    </w:p>
    <w:p w14:paraId="551CA03B">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auto"/>
          <w:sz w:val="24"/>
          <w:szCs w:val="24"/>
          <w:highlight w:val="none"/>
          <w:lang w:eastAsia="zh-CN"/>
        </w:rPr>
      </w:pPr>
      <w:bookmarkStart w:id="459" w:name="_Toc292559921"/>
      <w:bookmarkStart w:id="460" w:name="_Toc296346712"/>
      <w:bookmarkStart w:id="461" w:name="_Toc297048397"/>
      <w:bookmarkStart w:id="462" w:name="_Toc300935006"/>
      <w:bookmarkStart w:id="463" w:name="_Toc296347210"/>
      <w:bookmarkStart w:id="464" w:name="_Toc297216215"/>
      <w:bookmarkStart w:id="465" w:name="_Toc296503211"/>
      <w:bookmarkStart w:id="466" w:name="_Toc296891251"/>
      <w:bookmarkStart w:id="467" w:name="_Toc296891039"/>
      <w:bookmarkStart w:id="468" w:name="_Toc292559416"/>
      <w:bookmarkStart w:id="469" w:name="_Toc297123556"/>
      <w:bookmarkStart w:id="470" w:name="_Toc296944550"/>
      <w:bookmarkStart w:id="471" w:name="_Toc297120511"/>
      <w:bookmarkStart w:id="472" w:name="_Toc303539163"/>
      <w:r>
        <w:rPr>
          <w:rFonts w:hint="eastAsia" w:ascii="宋体" w:hAnsi="宋体" w:eastAsia="宋体" w:cs="宋体"/>
          <w:b/>
          <w:bCs/>
          <w:color w:val="auto"/>
          <w:sz w:val="24"/>
          <w:szCs w:val="24"/>
          <w:highlight w:val="none"/>
        </w:rPr>
        <w:t>12.4.1付款周期</w:t>
      </w:r>
      <w:r>
        <w:rPr>
          <w:rFonts w:hint="eastAsia" w:ascii="宋体" w:hAnsi="宋体" w:eastAsia="宋体" w:cs="宋体"/>
          <w:b/>
          <w:bCs/>
          <w:color w:val="auto"/>
          <w:sz w:val="24"/>
          <w:szCs w:val="24"/>
          <w:highlight w:val="none"/>
          <w:lang w:eastAsia="zh-CN"/>
        </w:rPr>
        <w:t>（甲乙双方签订施工合同时，具体约定）</w:t>
      </w:r>
    </w:p>
    <w:p w14:paraId="58E2C291">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关于付款周期的约定：</w:t>
      </w:r>
    </w:p>
    <w:p w14:paraId="6155A8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32"/>
          <w:highlight w:val="none"/>
          <w:lang w:val="en-US" w:eastAsia="zh-CN"/>
        </w:rPr>
      </w:pPr>
      <w:r>
        <w:rPr>
          <w:rFonts w:hint="eastAsia" w:ascii="宋体" w:hAnsi="宋体" w:eastAsia="宋体" w:cs="宋体"/>
          <w:b/>
          <w:bCs/>
          <w:color w:val="auto"/>
          <w:sz w:val="24"/>
          <w:highlight w:val="none"/>
          <w:lang w:val="en-US" w:eastAsia="zh-CN"/>
        </w:rPr>
        <w:t>1.预付款支付条款：</w:t>
      </w:r>
    </w:p>
    <w:p w14:paraId="56D39C1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val="0"/>
          <w:color w:val="auto"/>
          <w:sz w:val="24"/>
          <w:highlight w:val="none"/>
        </w:rPr>
      </w:pPr>
      <w:r>
        <w:rPr>
          <w:rFonts w:hint="eastAsia" w:ascii="宋体" w:hAnsi="宋体" w:eastAsia="宋体" w:cs="宋体"/>
          <w:b/>
          <w:bCs w:val="0"/>
          <w:color w:val="auto"/>
          <w:sz w:val="24"/>
          <w:highlight w:val="none"/>
        </w:rPr>
        <w:t>2.剩余款项支付条款：</w:t>
      </w:r>
    </w:p>
    <w:p w14:paraId="04F232B2">
      <w:pPr>
        <w:keepNext w:val="0"/>
        <w:keepLines w:val="0"/>
        <w:pageBreakBefore w:val="0"/>
        <w:widowControl w:val="0"/>
        <w:numPr>
          <w:ilvl w:val="0"/>
          <w:numId w:val="0"/>
        </w:numPr>
        <w:kinsoku/>
        <w:wordWrap/>
        <w:overflowPunct/>
        <w:topLinePunct w:val="0"/>
        <w:autoSpaceDE/>
        <w:autoSpaceDN/>
        <w:bidi w:val="0"/>
        <w:adjustRightInd/>
        <w:snapToGrid/>
        <w:ind w:firstLine="482" w:firstLineChars="200"/>
        <w:textAlignment w:val="auto"/>
        <w:rPr>
          <w:rFonts w:hint="eastAsia" w:ascii="宋体" w:hAnsi="宋体" w:eastAsia="宋体" w:cs="宋体"/>
          <w:b/>
          <w:bCs w:val="0"/>
          <w:color w:val="auto"/>
          <w:sz w:val="24"/>
          <w:szCs w:val="32"/>
          <w:highlight w:val="none"/>
          <w:lang w:val="en-US" w:eastAsia="zh-CN"/>
        </w:rPr>
      </w:pPr>
      <w:r>
        <w:rPr>
          <w:rFonts w:hint="eastAsia" w:ascii="宋体" w:hAnsi="宋体" w:cs="宋体"/>
          <w:b/>
          <w:bCs w:val="0"/>
          <w:color w:val="auto"/>
          <w:sz w:val="24"/>
          <w:szCs w:val="32"/>
          <w:highlight w:val="none"/>
          <w:lang w:val="en-US" w:eastAsia="zh-CN"/>
        </w:rPr>
        <w:t>竣工并验收合格后支付至合同总价款的100%。</w:t>
      </w:r>
    </w:p>
    <w:p w14:paraId="45A34FA6">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val="0"/>
          <w:color w:val="auto"/>
          <w:sz w:val="24"/>
          <w:szCs w:val="24"/>
          <w:highlight w:val="none"/>
          <w:u w:val="single"/>
        </w:rPr>
      </w:pPr>
      <w:r>
        <w:rPr>
          <w:rFonts w:hint="eastAsia" w:ascii="宋体" w:hAnsi="宋体" w:eastAsia="宋体" w:cs="宋体"/>
          <w:b/>
          <w:bCs w:val="0"/>
          <w:color w:val="auto"/>
          <w:sz w:val="24"/>
          <w:szCs w:val="32"/>
          <w:highlight w:val="none"/>
          <w:lang w:val="en-US" w:eastAsia="zh-CN"/>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bookmarkEnd w:id="319"/>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0C7BD1B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12.4.2进度付款申请单的编制</w:t>
      </w:r>
    </w:p>
    <w:p w14:paraId="41CA4FD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AC49F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12.4.3进度付款申请单的提交</w:t>
      </w:r>
    </w:p>
    <w:p w14:paraId="3602F8F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C198C9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12.4.4进度款审核和支付</w:t>
      </w:r>
    </w:p>
    <w:p w14:paraId="0EE99DA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D20053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CD727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7F96D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F04393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12.4.6支付分解表的编制</w:t>
      </w:r>
    </w:p>
    <w:p w14:paraId="172E5E0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0864C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89BF0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13.验收和工程试车</w:t>
      </w:r>
    </w:p>
    <w:p w14:paraId="36CD8ED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13.1分部分项工程验收</w:t>
      </w:r>
    </w:p>
    <w:p w14:paraId="465CC51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62A5D5C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4809774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13.2竣工验收</w:t>
      </w:r>
    </w:p>
    <w:p w14:paraId="73ED693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13.2.2竣工验收程序</w:t>
      </w:r>
    </w:p>
    <w:p w14:paraId="70B018A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关于竣工验收程序的约定：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06A054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48150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13.2.3移交、接收全部与部分工程</w:t>
      </w:r>
    </w:p>
    <w:p w14:paraId="65C5F5A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承包人向发包人移交工程的期限：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F2295C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C52983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F6937A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13.3工程试车</w:t>
      </w:r>
    </w:p>
    <w:p w14:paraId="50F9D05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13.3.1试车程序</w:t>
      </w:r>
    </w:p>
    <w:p w14:paraId="3C5CFF1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522C1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（1）单机无负荷试车费用由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承担；</w:t>
      </w:r>
    </w:p>
    <w:p w14:paraId="330069D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（2）无负荷联动试车费用由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承担。</w:t>
      </w:r>
    </w:p>
    <w:p w14:paraId="7B3C1A9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13.3.3投料试车</w:t>
      </w:r>
    </w:p>
    <w:p w14:paraId="50DA857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关于投料试车相关事项的约定：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771C00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13.6竣工退场</w:t>
      </w:r>
    </w:p>
    <w:p w14:paraId="53A8FCD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13.6.1竣工退场</w:t>
      </w:r>
    </w:p>
    <w:p w14:paraId="7184DAE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承包人完成竣工退场的期限：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3BBD1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14.竣工结算</w:t>
      </w:r>
    </w:p>
    <w:p w14:paraId="381793B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14.1竣工结算申请</w:t>
      </w:r>
    </w:p>
    <w:p w14:paraId="6E7F20D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8CC33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竣工结算申请单应包括的内容：按照市政道路工程资料整编内容及《建设工程资料整编规范》的要求向发包人提供叁套完整竣工资料。         </w:t>
      </w:r>
    </w:p>
    <w:p w14:paraId="3E8959E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14.2竣工结算审核</w:t>
      </w:r>
    </w:p>
    <w:p w14:paraId="5D9B458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FED39B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FF0B25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105F87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14.4最终结清</w:t>
      </w:r>
    </w:p>
    <w:p w14:paraId="0C2F310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14.4.1最终结清申请单</w:t>
      </w:r>
    </w:p>
    <w:p w14:paraId="2CAF1BA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承包人提交最终结清申请单的份数：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D2DC5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承包人提交最终结算申请单的期限：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02D429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14.4.2最终结清证书和支付</w:t>
      </w:r>
    </w:p>
    <w:p w14:paraId="6BB4E00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27C94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5E217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15.缺陷责任期与保修</w:t>
      </w:r>
    </w:p>
    <w:p w14:paraId="6278A44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15.1缺陷责任期</w:t>
      </w:r>
    </w:p>
    <w:p w14:paraId="586D205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A95B9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15.2质量保证金</w:t>
      </w:r>
    </w:p>
    <w:p w14:paraId="6CECDE4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2E1CEA5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15.3.1承包人提供质量保证金的方式</w:t>
      </w:r>
    </w:p>
    <w:p w14:paraId="435983C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质量保证金采用以下第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1986560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（1）质量保证金保函，保证金额为：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p>
    <w:p w14:paraId="05ED2F3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的工程款；</w:t>
      </w:r>
    </w:p>
    <w:p w14:paraId="074C517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5DD64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15.3.2质量保证金的扣留 </w:t>
      </w:r>
    </w:p>
    <w:p w14:paraId="50B4BB6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6EBA86A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（1）在支付工程进度款时逐次扣留，在此情形下，质量保证金的计算基数不包括预付款的支付、扣回以及价格调整的金额；</w:t>
      </w:r>
    </w:p>
    <w:p w14:paraId="15B165A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（2）工程竣工结算时一次性扣留质量保证金；</w:t>
      </w:r>
    </w:p>
    <w:p w14:paraId="448B9D7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（3）其他扣留方式: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937ADE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sz w:val="24"/>
          <w:szCs w:val="24"/>
          <w:highlight w:val="none"/>
          <w:u w:val="single"/>
        </w:rPr>
        <w:t xml:space="preserve">                  。</w:t>
      </w:r>
    </w:p>
    <w:p w14:paraId="42D3299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p w14:paraId="51658FA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15.4.1保修责任</w:t>
      </w:r>
    </w:p>
    <w:p w14:paraId="030445A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自验收合格之日起</w:t>
      </w:r>
      <w:r>
        <w:rPr>
          <w:rFonts w:hint="eastAsia" w:ascii="宋体" w:hAnsi="宋体" w:cs="宋体"/>
          <w:color w:val="auto"/>
          <w:sz w:val="24"/>
          <w:szCs w:val="24"/>
          <w:highlight w:val="none"/>
          <w:u w:val="single"/>
          <w:lang w:val="en-US" w:eastAsia="zh-CN"/>
        </w:rPr>
        <w:t>一</w:t>
      </w:r>
      <w:r>
        <w:rPr>
          <w:rFonts w:hint="eastAsia" w:ascii="宋体" w:hAnsi="宋体" w:eastAsia="宋体" w:cs="宋体"/>
          <w:color w:val="auto"/>
          <w:sz w:val="24"/>
          <w:szCs w:val="24"/>
          <w:highlight w:val="none"/>
          <w:u w:val="single"/>
          <w:lang w:val="en-US" w:eastAsia="zh-CN"/>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5D54E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15.4.3修复通知</w:t>
      </w:r>
    </w:p>
    <w:p w14:paraId="00CC8BE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承包人收到保修通知并到达工程现场的合理时间：</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B61FA7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16.违约</w:t>
      </w:r>
    </w:p>
    <w:p w14:paraId="07E49AE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16.1发包人违约</w:t>
      </w:r>
    </w:p>
    <w:p w14:paraId="54573A3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5315EB1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发包人违约的其他情形：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6DAE2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16.1.2发包人违约的责任</w:t>
      </w:r>
    </w:p>
    <w:p w14:paraId="2433298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发包人违约责任的承担方式和计算方法：</w:t>
      </w:r>
    </w:p>
    <w:p w14:paraId="6B5387C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（1）因发包人原因未能在计划开工日期前7天内下达开工通知的违约责任：</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89F011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（2）因发包人原因未能按合同约定支付合同价款的违约责任：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B4883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（3）发包人违反第10.1款〔变更的范围〕第（2）项约定，自行实施被取消的工作或转由他人实施的违约责任：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721324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18E8F9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（5）因发包人违反合同约定造成暂停施工的违约责任：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p>
    <w:p w14:paraId="12E43F3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（6）发包人无正当理由没有在约定期限内发出复工指示，导致承包人无法复工的违约责任：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2090C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B85344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16.1.3因发包人违约解除合同</w:t>
      </w:r>
    </w:p>
    <w:p w14:paraId="7D92F76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承包人按16.1.1项〔发包人违约的情形〕约定暂停施工满</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天后发包人仍不纠正其违约行为并致使合同目的不能实现的，承包人有权解除合同。</w:t>
      </w:r>
    </w:p>
    <w:p w14:paraId="34653E7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16.2承包人违约</w:t>
      </w:r>
    </w:p>
    <w:p w14:paraId="1BAF6DE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16.2.1承包人违约的情形</w:t>
      </w:r>
    </w:p>
    <w:p w14:paraId="06CAEFA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承包人违约的其他情形：</w:t>
      </w:r>
      <w:r>
        <w:rPr>
          <w:rFonts w:hint="eastAsia" w:ascii="宋体" w:hAnsi="宋体" w:eastAsia="宋体" w:cs="宋体"/>
          <w:color w:val="auto"/>
          <w:sz w:val="24"/>
          <w:szCs w:val="24"/>
          <w:highlight w:val="none"/>
          <w:u w:val="single"/>
        </w:rPr>
        <w:t xml:space="preserve">                     </w:t>
      </w:r>
    </w:p>
    <w:p w14:paraId="466D4C4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16.2.2承包人违约的责任</w:t>
      </w:r>
    </w:p>
    <w:p w14:paraId="65F7903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承包人违约责任的承担方式和计算方法：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EB353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16.2.3因承包人违约解除合同</w:t>
      </w:r>
    </w:p>
    <w:p w14:paraId="03DC975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关于承包人违约解除合同的特别约定：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1EC43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CE678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17.不可抗力 </w:t>
      </w:r>
    </w:p>
    <w:p w14:paraId="253B051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17.1不可抗力的确认</w:t>
      </w:r>
    </w:p>
    <w:p w14:paraId="4051BFE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1B58AB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17.4因不可抗力解除合同</w:t>
      </w:r>
    </w:p>
    <w:p w14:paraId="0EDD56C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 / 天内完成款项的支付。</w:t>
      </w:r>
    </w:p>
    <w:p w14:paraId="0708934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18.保险</w:t>
      </w:r>
    </w:p>
    <w:p w14:paraId="61A15D2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18.1工程保险</w:t>
      </w:r>
    </w:p>
    <w:p w14:paraId="2C347DE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9B1D3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18.3其他保险</w:t>
      </w:r>
    </w:p>
    <w:p w14:paraId="4939BE8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2258B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F1A2F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18.7通知义务</w:t>
      </w:r>
    </w:p>
    <w:p w14:paraId="12DC0CF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D614F7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20.争议解决</w:t>
      </w:r>
    </w:p>
    <w:p w14:paraId="62C09F6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20.3争议评审</w:t>
      </w:r>
    </w:p>
    <w:p w14:paraId="58B37A0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591223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20.3.1争议评审小组的确定</w:t>
      </w:r>
    </w:p>
    <w:p w14:paraId="70F1B9F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5ADFB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914E1B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F88A9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DA0E7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20.3.2争议评审小组的决定</w:t>
      </w:r>
    </w:p>
    <w:p w14:paraId="4764E18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46259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20.4仲裁或诉讼</w:t>
      </w:r>
    </w:p>
    <w:p w14:paraId="46E5A55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78208C3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49D12A7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p>
    <w:p w14:paraId="24A0C52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p>
    <w:p w14:paraId="4CAEF2A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p>
    <w:p w14:paraId="04E1622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p>
    <w:p w14:paraId="5261AB07">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w:t>
      </w:r>
    </w:p>
    <w:p w14:paraId="6A1CC70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协议书附件：</w:t>
      </w:r>
    </w:p>
    <w:p w14:paraId="104C441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附件1：工程质量保修书</w:t>
      </w:r>
    </w:p>
    <w:p w14:paraId="72CDDE0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附件2：承包人用于本工程施工的机械设备表</w:t>
      </w:r>
    </w:p>
    <w:p w14:paraId="0959DDD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附件3：承包人主要施工管理人员表</w:t>
      </w:r>
    </w:p>
    <w:p w14:paraId="77CDD22D">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4"/>
          <w:szCs w:val="24"/>
          <w:highlight w:val="none"/>
        </w:rPr>
      </w:pPr>
      <w:r>
        <w:rPr>
          <w:color w:val="auto"/>
          <w:sz w:val="28"/>
          <w:szCs w:val="28"/>
          <w:highlight w:val="none"/>
        </w:rPr>
        <w:br w:type="page"/>
      </w:r>
      <w:r>
        <w:rPr>
          <w:rFonts w:hint="eastAsia" w:ascii="宋体" w:hAnsi="宋体" w:eastAsia="宋体" w:cs="宋体"/>
          <w:color w:val="auto"/>
          <w:sz w:val="24"/>
          <w:szCs w:val="24"/>
          <w:highlight w:val="none"/>
        </w:rPr>
        <w:t>附</w:t>
      </w:r>
      <w:bookmarkStart w:id="473" w:name="_Toc267261693"/>
      <w:bookmarkStart w:id="474" w:name="_Toc296891266"/>
      <w:bookmarkStart w:id="475" w:name="_Toc296891054"/>
      <w:bookmarkStart w:id="476" w:name="_Toc296944565"/>
      <w:bookmarkStart w:id="477" w:name="_Toc296503226"/>
      <w:bookmarkStart w:id="478" w:name="_Toc296346727"/>
      <w:bookmarkStart w:id="479" w:name="_Toc296347225"/>
      <w:r>
        <w:rPr>
          <w:rFonts w:hint="eastAsia" w:ascii="宋体" w:hAnsi="宋体" w:eastAsia="宋体" w:cs="宋体"/>
          <w:color w:val="auto"/>
          <w:sz w:val="24"/>
          <w:szCs w:val="24"/>
          <w:highlight w:val="none"/>
        </w:rPr>
        <w:t>件1：</w:t>
      </w:r>
      <w:bookmarkEnd w:id="473"/>
      <w:bookmarkEnd w:id="474"/>
      <w:bookmarkEnd w:id="475"/>
      <w:bookmarkEnd w:id="476"/>
      <w:bookmarkEnd w:id="477"/>
      <w:bookmarkEnd w:id="478"/>
      <w:bookmarkEnd w:id="479"/>
    </w:p>
    <w:p w14:paraId="0B17047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14:paraId="6D571A7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发包人（全称）：        </w:t>
      </w:r>
    </w:p>
    <w:p w14:paraId="27117DA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承包人（全称）：        </w:t>
      </w:r>
    </w:p>
    <w:p w14:paraId="334B77F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发包人和承包人根据《中华人民共和国建筑法》和《建设工程质量管理条例》，经协商一致就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（工程全称）签订工程质量保修书。</w:t>
      </w:r>
    </w:p>
    <w:p w14:paraId="0951563D">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一、工程质量保修范围和内容</w:t>
      </w:r>
    </w:p>
    <w:p w14:paraId="5A1D172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承包人在质量保修期内，按照有关法律规定和合同约定，承担工程质量保修责任。</w:t>
      </w:r>
    </w:p>
    <w:p w14:paraId="76B43A0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A45497">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二、质量保修期</w:t>
      </w:r>
    </w:p>
    <w:p w14:paraId="2D63935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根据《建设工程质量管理条例》及有关规定，工程的质量保修期如下：</w:t>
      </w:r>
    </w:p>
    <w:p w14:paraId="0DEB563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1．地基基础工程和主体结构工程为设计文件规定的工程合理使用年限；</w:t>
      </w:r>
    </w:p>
    <w:p w14:paraId="5B3B757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2．屋面防水工程、有防水要求的卫生间、房间和外墙面的防渗为</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p>
    <w:p w14:paraId="6F3493B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3．装修工程为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52B9C25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4．电气管线、给排水管道、设备安装工程为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w:t>
      </w:r>
    </w:p>
    <w:p w14:paraId="33A4BCF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个采暖期、供冷期；</w:t>
      </w:r>
    </w:p>
    <w:p w14:paraId="0CD865C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6．住宅小区内的给排水设施、道路等配套工程为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0A19C18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7．其他项目保修期限约定如下：</w:t>
      </w:r>
    </w:p>
    <w:p w14:paraId="22EF7C33">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本工程质量保修期为</w:t>
      </w:r>
      <w:r>
        <w:rPr>
          <w:rFonts w:hint="eastAsia" w:ascii="宋体" w:hAnsi="宋体" w:cs="宋体"/>
          <w:b/>
          <w:bCs/>
          <w:color w:val="auto"/>
          <w:sz w:val="24"/>
          <w:szCs w:val="24"/>
          <w:highlight w:val="none"/>
          <w:lang w:eastAsia="zh-CN"/>
        </w:rPr>
        <w:t>一</w:t>
      </w:r>
      <w:r>
        <w:rPr>
          <w:rFonts w:hint="eastAsia" w:ascii="宋体" w:hAnsi="宋体" w:eastAsia="宋体" w:cs="宋体"/>
          <w:b/>
          <w:bCs/>
          <w:color w:val="auto"/>
          <w:sz w:val="24"/>
          <w:szCs w:val="24"/>
          <w:highlight w:val="none"/>
        </w:rPr>
        <w:t xml:space="preserve">年。 </w:t>
      </w:r>
    </w:p>
    <w:p w14:paraId="029AE881">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质量保修期自验收合格之日起计算。</w:t>
      </w:r>
    </w:p>
    <w:p w14:paraId="02166A21">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三、缺陷责任期</w:t>
      </w:r>
    </w:p>
    <w:p w14:paraId="1E5801D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个月，缺陷责任期自工程通过竣工验收之日起计算。单位工程先于全部工程进行验收，单位工程缺陷责任期自单位工程验收合格之日起算。</w:t>
      </w:r>
    </w:p>
    <w:p w14:paraId="5F94B08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缺陷责任期终止后，发包人应退还剩余的质量保证金。</w:t>
      </w:r>
    </w:p>
    <w:p w14:paraId="52AE8631">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四、质量保修责任</w:t>
      </w:r>
    </w:p>
    <w:p w14:paraId="0A0B132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1．属于保修范围、内容的项目，承包人应当在接到保修通知之日起7天内派人保修。承包人不在约定期限内派人保修的，发包人可以委托他人修理。</w:t>
      </w:r>
    </w:p>
    <w:p w14:paraId="7032A9C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2．发生紧急事故需抢修的，承包人在接到事故通知后，应当立即到达事故现场抢修。</w:t>
      </w:r>
    </w:p>
    <w:p w14:paraId="02B8BE7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4D922B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4．质量保修完成后，由发包人组织验收。</w:t>
      </w:r>
    </w:p>
    <w:p w14:paraId="6EB6B1BF">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五、保修费用</w:t>
      </w:r>
    </w:p>
    <w:p w14:paraId="149773A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保修费用由造成质量缺陷的责任方承担。</w:t>
      </w:r>
    </w:p>
    <w:p w14:paraId="439EB1A5">
      <w:pPr>
        <w:keepNext w:val="0"/>
        <w:keepLines w:val="0"/>
        <w:pageBreakBefore w:val="0"/>
        <w:widowControl w:val="0"/>
        <w:kinsoku/>
        <w:wordWrap/>
        <w:overflowPunct/>
        <w:topLinePunct w:val="0"/>
        <w:autoSpaceDE/>
        <w:autoSpaceDN/>
        <w:bidi w:val="0"/>
        <w:adjustRightInd/>
        <w:snapToGrid/>
        <w:spacing w:line="460" w:lineRule="exact"/>
        <w:ind w:firstLine="0" w:firstLineChars="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六、双方约定的其他工程质量保修事项：</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 xml:space="preserve"> </w:t>
      </w:r>
    </w:p>
    <w:p w14:paraId="407C475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2AB07CE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p>
    <w:tbl>
      <w:tblPr>
        <w:tblStyle w:val="3"/>
        <w:tblW w:w="9974" w:type="dxa"/>
        <w:tblInd w:w="-318" w:type="dxa"/>
        <w:tblLayout w:type="autofit"/>
        <w:tblCellMar>
          <w:top w:w="0" w:type="dxa"/>
          <w:left w:w="108" w:type="dxa"/>
          <w:bottom w:w="0" w:type="dxa"/>
          <w:right w:w="108" w:type="dxa"/>
        </w:tblCellMar>
      </w:tblPr>
      <w:tblGrid>
        <w:gridCol w:w="5207"/>
        <w:gridCol w:w="4767"/>
      </w:tblGrid>
      <w:tr w14:paraId="68F39E5D">
        <w:tblPrEx>
          <w:tblCellMar>
            <w:top w:w="0" w:type="dxa"/>
            <w:left w:w="108" w:type="dxa"/>
            <w:bottom w:w="0" w:type="dxa"/>
            <w:right w:w="108" w:type="dxa"/>
          </w:tblCellMar>
        </w:tblPrEx>
        <w:trPr>
          <w:trHeight w:val="5962" w:hRule="atLeast"/>
        </w:trPr>
        <w:tc>
          <w:tcPr>
            <w:tcW w:w="5207" w:type="dxa"/>
            <w:noWrap w:val="0"/>
            <w:vAlign w:val="top"/>
          </w:tcPr>
          <w:p w14:paraId="1D0E5A07">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               （公章)</w:t>
            </w:r>
          </w:p>
          <w:p w14:paraId="0D68334C">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w:t>
            </w:r>
          </w:p>
          <w:p w14:paraId="699CF31A">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法定代表人（签字）:            </w:t>
            </w:r>
          </w:p>
          <w:p w14:paraId="16E837F1">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委托代理人（签字）：            </w:t>
            </w:r>
          </w:p>
          <w:p w14:paraId="554A0137">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电  话：          </w:t>
            </w:r>
            <w:r>
              <w:rPr>
                <w:rFonts w:hint="eastAsia" w:ascii="宋体" w:hAnsi="宋体" w:eastAsia="宋体" w:cs="宋体"/>
                <w:color w:val="auto"/>
                <w:sz w:val="24"/>
                <w:szCs w:val="24"/>
                <w:highlight w:val="none"/>
                <w:lang w:val="en-US" w:eastAsia="zh-CN"/>
              </w:rPr>
              <w:t xml:space="preserve">             </w:t>
            </w:r>
          </w:p>
          <w:p w14:paraId="553FF680">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传  真：          </w:t>
            </w:r>
            <w:r>
              <w:rPr>
                <w:rFonts w:hint="eastAsia" w:ascii="宋体" w:hAnsi="宋体" w:eastAsia="宋体" w:cs="宋体"/>
                <w:color w:val="auto"/>
                <w:sz w:val="24"/>
                <w:szCs w:val="24"/>
                <w:highlight w:val="none"/>
                <w:lang w:val="en-US" w:eastAsia="zh-CN"/>
              </w:rPr>
              <w:t xml:space="preserve">             </w:t>
            </w:r>
          </w:p>
          <w:p w14:paraId="421D1B43">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开户银行：                     </w:t>
            </w:r>
          </w:p>
          <w:p w14:paraId="0C8D9603">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账  号：                       </w:t>
            </w:r>
          </w:p>
          <w:p w14:paraId="2C8CC3C1">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邮政编码：                 </w:t>
            </w:r>
          </w:p>
          <w:p w14:paraId="7AD57D4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p>
        </w:tc>
        <w:tc>
          <w:tcPr>
            <w:tcW w:w="4767" w:type="dxa"/>
            <w:noWrap w:val="0"/>
            <w:vAlign w:val="top"/>
          </w:tcPr>
          <w:p w14:paraId="48C46B8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                (公章)</w:t>
            </w:r>
          </w:p>
          <w:p w14:paraId="1E5381E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w:t>
            </w:r>
          </w:p>
          <w:p w14:paraId="240E878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法定代表人（签字）：             </w:t>
            </w:r>
          </w:p>
          <w:p w14:paraId="7694821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委托代理人（签字）：             </w:t>
            </w:r>
          </w:p>
          <w:p w14:paraId="42FF4ED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  话：                     </w:t>
            </w:r>
          </w:p>
          <w:p w14:paraId="1EF6C1C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传  真：                     </w:t>
            </w:r>
          </w:p>
          <w:p w14:paraId="554BA02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开户银行：                   </w:t>
            </w:r>
          </w:p>
          <w:p w14:paraId="3B51D35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账  号：                     </w:t>
            </w:r>
          </w:p>
          <w:p w14:paraId="544F5DD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邮政编码：                   </w:t>
            </w:r>
          </w:p>
        </w:tc>
      </w:tr>
    </w:tbl>
    <w:p w14:paraId="086F27E1">
      <w:pPr>
        <w:keepNext w:val="0"/>
        <w:keepLines w:val="0"/>
        <w:pageBreakBefore w:val="0"/>
        <w:widowControl w:val="0"/>
        <w:kinsoku/>
        <w:wordWrap/>
        <w:overflowPunct/>
        <w:topLinePunct w:val="0"/>
        <w:autoSpaceDE/>
        <w:autoSpaceDN/>
        <w:bidi w:val="0"/>
        <w:snapToGrid/>
        <w:spacing w:line="460" w:lineRule="exact"/>
        <w:ind w:left="0" w:leftChars="0" w:right="0" w:rightChars="0" w:firstLine="480"/>
        <w:rPr>
          <w:rFonts w:hint="eastAsia" w:ascii="宋体" w:hAnsi="宋体" w:eastAsia="宋体" w:cs="宋体"/>
          <w:color w:val="auto"/>
          <w:sz w:val="24"/>
          <w:szCs w:val="24"/>
          <w:highlight w:val="none"/>
        </w:rPr>
      </w:pPr>
      <w:r>
        <w:rPr>
          <w:color w:val="auto"/>
          <w:highlight w:val="none"/>
        </w:rPr>
        <w:br w:type="page"/>
      </w:r>
      <w:r>
        <w:rPr>
          <w:rFonts w:hint="eastAsia" w:ascii="宋体" w:hAnsi="宋体" w:eastAsia="宋体" w:cs="宋体"/>
          <w:color w:val="auto"/>
          <w:sz w:val="24"/>
          <w:szCs w:val="24"/>
          <w:highlight w:val="none"/>
        </w:rPr>
        <w:t>附</w:t>
      </w:r>
      <w:bookmarkStart w:id="480" w:name="_Toc296944566"/>
      <w:bookmarkStart w:id="481" w:name="_Toc267261698"/>
      <w:bookmarkStart w:id="482" w:name="_Toc296503227"/>
      <w:bookmarkStart w:id="483" w:name="_Toc296891055"/>
      <w:bookmarkStart w:id="484" w:name="_Toc296891267"/>
      <w:bookmarkStart w:id="485" w:name="_Toc296346728"/>
      <w:bookmarkStart w:id="486" w:name="_Toc296347226"/>
      <w:r>
        <w:rPr>
          <w:rFonts w:hint="eastAsia" w:ascii="宋体" w:hAnsi="宋体" w:eastAsia="宋体" w:cs="宋体"/>
          <w:color w:val="auto"/>
          <w:sz w:val="24"/>
          <w:szCs w:val="24"/>
          <w:highlight w:val="none"/>
        </w:rPr>
        <w:t>件2：</w:t>
      </w:r>
    </w:p>
    <w:bookmarkEnd w:id="480"/>
    <w:bookmarkEnd w:id="481"/>
    <w:bookmarkEnd w:id="482"/>
    <w:bookmarkEnd w:id="483"/>
    <w:bookmarkEnd w:id="484"/>
    <w:bookmarkEnd w:id="485"/>
    <w:bookmarkEnd w:id="486"/>
    <w:p w14:paraId="243429EC">
      <w:pPr>
        <w:keepNext w:val="0"/>
        <w:keepLines w:val="0"/>
        <w:pageBreakBefore w:val="0"/>
        <w:widowControl w:val="0"/>
        <w:kinsoku/>
        <w:wordWrap/>
        <w:overflowPunct/>
        <w:topLinePunct w:val="0"/>
        <w:autoSpaceDE/>
        <w:autoSpaceDN/>
        <w:bidi w:val="0"/>
        <w:snapToGrid/>
        <w:spacing w:line="460" w:lineRule="exact"/>
        <w:ind w:left="0" w:leftChars="0" w:right="0" w:rightChars="0" w:firstLine="5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承包人用于本工程施工的机械设备表</w:t>
      </w:r>
    </w:p>
    <w:tbl>
      <w:tblPr>
        <w:tblStyle w:val="3"/>
        <w:tblW w:w="952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94"/>
        <w:gridCol w:w="1185"/>
        <w:gridCol w:w="1035"/>
        <w:gridCol w:w="1005"/>
        <w:gridCol w:w="900"/>
        <w:gridCol w:w="1155"/>
        <w:gridCol w:w="1425"/>
        <w:gridCol w:w="1110"/>
        <w:gridCol w:w="915"/>
      </w:tblGrid>
      <w:tr w14:paraId="4FC819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94" w:type="dxa"/>
            <w:tcBorders>
              <w:top w:val="single" w:color="auto" w:sz="12" w:space="0"/>
              <w:bottom w:val="double" w:color="auto" w:sz="6" w:space="0"/>
            </w:tcBorders>
            <w:noWrap w:val="0"/>
            <w:vAlign w:val="center"/>
          </w:tcPr>
          <w:p w14:paraId="24DF433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185" w:type="dxa"/>
            <w:tcBorders>
              <w:top w:val="single" w:color="auto" w:sz="12" w:space="0"/>
              <w:bottom w:val="double" w:color="auto" w:sz="6" w:space="0"/>
            </w:tcBorders>
            <w:noWrap w:val="0"/>
            <w:vAlign w:val="center"/>
          </w:tcPr>
          <w:p w14:paraId="5DC3A8C6">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机械或设备名称</w:t>
            </w:r>
          </w:p>
        </w:tc>
        <w:tc>
          <w:tcPr>
            <w:tcW w:w="1035" w:type="dxa"/>
            <w:tcBorders>
              <w:top w:val="single" w:color="auto" w:sz="12" w:space="0"/>
              <w:bottom w:val="double" w:color="auto" w:sz="6" w:space="0"/>
            </w:tcBorders>
            <w:noWrap w:val="0"/>
            <w:vAlign w:val="center"/>
          </w:tcPr>
          <w:p w14:paraId="3B71F3E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规格型号</w:t>
            </w:r>
          </w:p>
        </w:tc>
        <w:tc>
          <w:tcPr>
            <w:tcW w:w="1005" w:type="dxa"/>
            <w:tcBorders>
              <w:top w:val="single" w:color="auto" w:sz="12" w:space="0"/>
              <w:bottom w:val="double" w:color="auto" w:sz="6" w:space="0"/>
            </w:tcBorders>
            <w:noWrap w:val="0"/>
            <w:vAlign w:val="center"/>
          </w:tcPr>
          <w:p w14:paraId="0C6E0DBB">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900" w:type="dxa"/>
            <w:tcBorders>
              <w:top w:val="single" w:color="auto" w:sz="12" w:space="0"/>
              <w:bottom w:val="double" w:color="auto" w:sz="6" w:space="0"/>
            </w:tcBorders>
            <w:noWrap w:val="0"/>
            <w:vAlign w:val="center"/>
          </w:tcPr>
          <w:p w14:paraId="2B7C11B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产地</w:t>
            </w:r>
          </w:p>
        </w:tc>
        <w:tc>
          <w:tcPr>
            <w:tcW w:w="1155" w:type="dxa"/>
            <w:tcBorders>
              <w:top w:val="single" w:color="auto" w:sz="12" w:space="0"/>
              <w:bottom w:val="double" w:color="auto" w:sz="6" w:space="0"/>
            </w:tcBorders>
            <w:noWrap w:val="0"/>
            <w:vAlign w:val="center"/>
          </w:tcPr>
          <w:p w14:paraId="03A37FF4">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制造年份</w:t>
            </w:r>
          </w:p>
        </w:tc>
        <w:tc>
          <w:tcPr>
            <w:tcW w:w="1425" w:type="dxa"/>
            <w:tcBorders>
              <w:top w:val="single" w:color="auto" w:sz="12" w:space="0"/>
              <w:bottom w:val="double" w:color="auto" w:sz="6" w:space="0"/>
            </w:tcBorders>
            <w:noWrap w:val="0"/>
            <w:vAlign w:val="center"/>
          </w:tcPr>
          <w:p w14:paraId="49C3824E">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额定功率(kW)</w:t>
            </w:r>
          </w:p>
        </w:tc>
        <w:tc>
          <w:tcPr>
            <w:tcW w:w="1110" w:type="dxa"/>
            <w:tcBorders>
              <w:top w:val="single" w:color="auto" w:sz="12" w:space="0"/>
              <w:bottom w:val="double" w:color="auto" w:sz="6" w:space="0"/>
            </w:tcBorders>
            <w:noWrap w:val="0"/>
            <w:vAlign w:val="center"/>
          </w:tcPr>
          <w:p w14:paraId="2E9CAC77">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生产能力</w:t>
            </w:r>
          </w:p>
        </w:tc>
        <w:tc>
          <w:tcPr>
            <w:tcW w:w="915" w:type="dxa"/>
            <w:tcBorders>
              <w:top w:val="single" w:color="auto" w:sz="12" w:space="0"/>
              <w:bottom w:val="double" w:color="auto" w:sz="6" w:space="0"/>
            </w:tcBorders>
            <w:noWrap w:val="0"/>
            <w:vAlign w:val="center"/>
          </w:tcPr>
          <w:p w14:paraId="48A8118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6D7121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tcBorders>
              <w:top w:val="double" w:color="auto" w:sz="6" w:space="0"/>
              <w:bottom w:val="single" w:color="auto" w:sz="6" w:space="0"/>
            </w:tcBorders>
            <w:noWrap w:val="0"/>
            <w:vAlign w:val="center"/>
          </w:tcPr>
          <w:p w14:paraId="3AFC9C39">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85" w:type="dxa"/>
            <w:tcBorders>
              <w:top w:val="double" w:color="auto" w:sz="6" w:space="0"/>
              <w:bottom w:val="single" w:color="auto" w:sz="6" w:space="0"/>
            </w:tcBorders>
            <w:noWrap w:val="0"/>
            <w:vAlign w:val="center"/>
          </w:tcPr>
          <w:p w14:paraId="4D442DA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35" w:type="dxa"/>
            <w:tcBorders>
              <w:top w:val="double" w:color="auto" w:sz="6" w:space="0"/>
              <w:bottom w:val="single" w:color="auto" w:sz="6" w:space="0"/>
            </w:tcBorders>
            <w:noWrap w:val="0"/>
            <w:vAlign w:val="center"/>
          </w:tcPr>
          <w:p w14:paraId="3DD4F537">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05" w:type="dxa"/>
            <w:tcBorders>
              <w:top w:val="double" w:color="auto" w:sz="6" w:space="0"/>
              <w:bottom w:val="single" w:color="auto" w:sz="6" w:space="0"/>
            </w:tcBorders>
            <w:noWrap w:val="0"/>
            <w:vAlign w:val="center"/>
          </w:tcPr>
          <w:p w14:paraId="76F794EB">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00" w:type="dxa"/>
            <w:tcBorders>
              <w:top w:val="double" w:color="auto" w:sz="6" w:space="0"/>
              <w:bottom w:val="single" w:color="auto" w:sz="6" w:space="0"/>
            </w:tcBorders>
            <w:noWrap w:val="0"/>
            <w:vAlign w:val="center"/>
          </w:tcPr>
          <w:p w14:paraId="6CA56299">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55" w:type="dxa"/>
            <w:tcBorders>
              <w:top w:val="double" w:color="auto" w:sz="6" w:space="0"/>
              <w:bottom w:val="single" w:color="auto" w:sz="6" w:space="0"/>
            </w:tcBorders>
            <w:noWrap w:val="0"/>
            <w:vAlign w:val="center"/>
          </w:tcPr>
          <w:p w14:paraId="604A2D7F">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425" w:type="dxa"/>
            <w:tcBorders>
              <w:top w:val="double" w:color="auto" w:sz="6" w:space="0"/>
              <w:bottom w:val="single" w:color="auto" w:sz="6" w:space="0"/>
            </w:tcBorders>
            <w:noWrap w:val="0"/>
            <w:vAlign w:val="center"/>
          </w:tcPr>
          <w:p w14:paraId="023D8CE5">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10" w:type="dxa"/>
            <w:tcBorders>
              <w:top w:val="double" w:color="auto" w:sz="6" w:space="0"/>
              <w:bottom w:val="single" w:color="auto" w:sz="6" w:space="0"/>
            </w:tcBorders>
            <w:noWrap w:val="0"/>
            <w:vAlign w:val="center"/>
          </w:tcPr>
          <w:p w14:paraId="1A8C808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15" w:type="dxa"/>
            <w:tcBorders>
              <w:top w:val="double" w:color="auto" w:sz="6" w:space="0"/>
              <w:bottom w:val="single" w:color="auto" w:sz="6" w:space="0"/>
            </w:tcBorders>
            <w:noWrap w:val="0"/>
            <w:vAlign w:val="center"/>
          </w:tcPr>
          <w:p w14:paraId="025325E5">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r>
      <w:tr w14:paraId="15554A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tcBorders>
              <w:top w:val="nil"/>
            </w:tcBorders>
            <w:noWrap w:val="0"/>
            <w:vAlign w:val="center"/>
          </w:tcPr>
          <w:p w14:paraId="0DCD997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85" w:type="dxa"/>
            <w:tcBorders>
              <w:top w:val="nil"/>
            </w:tcBorders>
            <w:noWrap w:val="0"/>
            <w:vAlign w:val="center"/>
          </w:tcPr>
          <w:p w14:paraId="58F199FE">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35" w:type="dxa"/>
            <w:tcBorders>
              <w:top w:val="nil"/>
            </w:tcBorders>
            <w:noWrap w:val="0"/>
            <w:vAlign w:val="center"/>
          </w:tcPr>
          <w:p w14:paraId="7B58B38E">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05" w:type="dxa"/>
            <w:tcBorders>
              <w:top w:val="nil"/>
            </w:tcBorders>
            <w:noWrap w:val="0"/>
            <w:vAlign w:val="center"/>
          </w:tcPr>
          <w:p w14:paraId="22706E3E">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00" w:type="dxa"/>
            <w:tcBorders>
              <w:top w:val="nil"/>
            </w:tcBorders>
            <w:noWrap w:val="0"/>
            <w:vAlign w:val="center"/>
          </w:tcPr>
          <w:p w14:paraId="0431365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55" w:type="dxa"/>
            <w:tcBorders>
              <w:top w:val="nil"/>
            </w:tcBorders>
            <w:noWrap w:val="0"/>
            <w:vAlign w:val="center"/>
          </w:tcPr>
          <w:p w14:paraId="5F7C4425">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425" w:type="dxa"/>
            <w:tcBorders>
              <w:top w:val="nil"/>
            </w:tcBorders>
            <w:noWrap w:val="0"/>
            <w:vAlign w:val="center"/>
          </w:tcPr>
          <w:p w14:paraId="59C6F1D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10" w:type="dxa"/>
            <w:tcBorders>
              <w:top w:val="nil"/>
            </w:tcBorders>
            <w:noWrap w:val="0"/>
            <w:vAlign w:val="center"/>
          </w:tcPr>
          <w:p w14:paraId="6C35360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15" w:type="dxa"/>
            <w:tcBorders>
              <w:top w:val="nil"/>
            </w:tcBorders>
            <w:noWrap w:val="0"/>
            <w:vAlign w:val="center"/>
          </w:tcPr>
          <w:p w14:paraId="0E9BFEFE">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r>
      <w:tr w14:paraId="3AED43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center"/>
          </w:tcPr>
          <w:p w14:paraId="35FED5C6">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85" w:type="dxa"/>
            <w:noWrap w:val="0"/>
            <w:vAlign w:val="center"/>
          </w:tcPr>
          <w:p w14:paraId="6EE58C8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35" w:type="dxa"/>
            <w:noWrap w:val="0"/>
            <w:vAlign w:val="center"/>
          </w:tcPr>
          <w:p w14:paraId="5660899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05" w:type="dxa"/>
            <w:noWrap w:val="0"/>
            <w:vAlign w:val="center"/>
          </w:tcPr>
          <w:p w14:paraId="2EAD1B95">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00" w:type="dxa"/>
            <w:noWrap w:val="0"/>
            <w:vAlign w:val="center"/>
          </w:tcPr>
          <w:p w14:paraId="5426844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55" w:type="dxa"/>
            <w:noWrap w:val="0"/>
            <w:vAlign w:val="center"/>
          </w:tcPr>
          <w:p w14:paraId="52BE88FC">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425" w:type="dxa"/>
            <w:noWrap w:val="0"/>
            <w:vAlign w:val="center"/>
          </w:tcPr>
          <w:p w14:paraId="21656BB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10" w:type="dxa"/>
            <w:noWrap w:val="0"/>
            <w:vAlign w:val="center"/>
          </w:tcPr>
          <w:p w14:paraId="69424168">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15" w:type="dxa"/>
            <w:noWrap w:val="0"/>
            <w:vAlign w:val="center"/>
          </w:tcPr>
          <w:p w14:paraId="2CCE2598">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r>
      <w:tr w14:paraId="7CE7BA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center"/>
          </w:tcPr>
          <w:p w14:paraId="115C3AB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85" w:type="dxa"/>
            <w:noWrap w:val="0"/>
            <w:vAlign w:val="center"/>
          </w:tcPr>
          <w:p w14:paraId="72875E15">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35" w:type="dxa"/>
            <w:noWrap w:val="0"/>
            <w:vAlign w:val="center"/>
          </w:tcPr>
          <w:p w14:paraId="6545C6A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05" w:type="dxa"/>
            <w:noWrap w:val="0"/>
            <w:vAlign w:val="center"/>
          </w:tcPr>
          <w:p w14:paraId="375ACC1E">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00" w:type="dxa"/>
            <w:noWrap w:val="0"/>
            <w:vAlign w:val="center"/>
          </w:tcPr>
          <w:p w14:paraId="597F592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55" w:type="dxa"/>
            <w:noWrap w:val="0"/>
            <w:vAlign w:val="center"/>
          </w:tcPr>
          <w:p w14:paraId="5188163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425" w:type="dxa"/>
            <w:noWrap w:val="0"/>
            <w:vAlign w:val="center"/>
          </w:tcPr>
          <w:p w14:paraId="2A38F2D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10" w:type="dxa"/>
            <w:noWrap w:val="0"/>
            <w:vAlign w:val="center"/>
          </w:tcPr>
          <w:p w14:paraId="628EEACF">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15" w:type="dxa"/>
            <w:noWrap w:val="0"/>
            <w:vAlign w:val="center"/>
          </w:tcPr>
          <w:p w14:paraId="468754C0">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r>
      <w:tr w14:paraId="54E1BC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center"/>
          </w:tcPr>
          <w:p w14:paraId="5BC6BEE8">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85" w:type="dxa"/>
            <w:noWrap w:val="0"/>
            <w:vAlign w:val="center"/>
          </w:tcPr>
          <w:p w14:paraId="704B1AA6">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35" w:type="dxa"/>
            <w:noWrap w:val="0"/>
            <w:vAlign w:val="center"/>
          </w:tcPr>
          <w:p w14:paraId="368EF238">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05" w:type="dxa"/>
            <w:noWrap w:val="0"/>
            <w:vAlign w:val="center"/>
          </w:tcPr>
          <w:p w14:paraId="0735ABA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00" w:type="dxa"/>
            <w:noWrap w:val="0"/>
            <w:vAlign w:val="center"/>
          </w:tcPr>
          <w:p w14:paraId="70D53F5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55" w:type="dxa"/>
            <w:noWrap w:val="0"/>
            <w:vAlign w:val="center"/>
          </w:tcPr>
          <w:p w14:paraId="3EEA469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425" w:type="dxa"/>
            <w:noWrap w:val="0"/>
            <w:vAlign w:val="center"/>
          </w:tcPr>
          <w:p w14:paraId="326A08C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10" w:type="dxa"/>
            <w:noWrap w:val="0"/>
            <w:vAlign w:val="center"/>
          </w:tcPr>
          <w:p w14:paraId="1A1AA675">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15" w:type="dxa"/>
            <w:noWrap w:val="0"/>
            <w:vAlign w:val="center"/>
          </w:tcPr>
          <w:p w14:paraId="6D949FA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r>
      <w:tr w14:paraId="25F866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center"/>
          </w:tcPr>
          <w:p w14:paraId="10D0C88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85" w:type="dxa"/>
            <w:noWrap w:val="0"/>
            <w:vAlign w:val="center"/>
          </w:tcPr>
          <w:p w14:paraId="1C47FF9C">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35" w:type="dxa"/>
            <w:noWrap w:val="0"/>
            <w:vAlign w:val="center"/>
          </w:tcPr>
          <w:p w14:paraId="5552C14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05" w:type="dxa"/>
            <w:noWrap w:val="0"/>
            <w:vAlign w:val="center"/>
          </w:tcPr>
          <w:p w14:paraId="3FC96DD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00" w:type="dxa"/>
            <w:noWrap w:val="0"/>
            <w:vAlign w:val="center"/>
          </w:tcPr>
          <w:p w14:paraId="5B68DBFC">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55" w:type="dxa"/>
            <w:noWrap w:val="0"/>
            <w:vAlign w:val="center"/>
          </w:tcPr>
          <w:p w14:paraId="17614837">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425" w:type="dxa"/>
            <w:noWrap w:val="0"/>
            <w:vAlign w:val="center"/>
          </w:tcPr>
          <w:p w14:paraId="599015F4">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10" w:type="dxa"/>
            <w:noWrap w:val="0"/>
            <w:vAlign w:val="center"/>
          </w:tcPr>
          <w:p w14:paraId="027D8BD5">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15" w:type="dxa"/>
            <w:noWrap w:val="0"/>
            <w:vAlign w:val="center"/>
          </w:tcPr>
          <w:p w14:paraId="7E21A2BC">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r>
      <w:tr w14:paraId="278BB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center"/>
          </w:tcPr>
          <w:p w14:paraId="3A35BF2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85" w:type="dxa"/>
            <w:noWrap w:val="0"/>
            <w:vAlign w:val="center"/>
          </w:tcPr>
          <w:p w14:paraId="7C7FD37E">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35" w:type="dxa"/>
            <w:noWrap w:val="0"/>
            <w:vAlign w:val="center"/>
          </w:tcPr>
          <w:p w14:paraId="3D7DB134">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05" w:type="dxa"/>
            <w:noWrap w:val="0"/>
            <w:vAlign w:val="center"/>
          </w:tcPr>
          <w:p w14:paraId="164EBE1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00" w:type="dxa"/>
            <w:noWrap w:val="0"/>
            <w:vAlign w:val="center"/>
          </w:tcPr>
          <w:p w14:paraId="7D01124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55" w:type="dxa"/>
            <w:noWrap w:val="0"/>
            <w:vAlign w:val="center"/>
          </w:tcPr>
          <w:p w14:paraId="693B0866">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425" w:type="dxa"/>
            <w:noWrap w:val="0"/>
            <w:vAlign w:val="center"/>
          </w:tcPr>
          <w:p w14:paraId="11D4894F">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10" w:type="dxa"/>
            <w:noWrap w:val="0"/>
            <w:vAlign w:val="center"/>
          </w:tcPr>
          <w:p w14:paraId="6BDE2D58">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15" w:type="dxa"/>
            <w:noWrap w:val="0"/>
            <w:vAlign w:val="center"/>
          </w:tcPr>
          <w:p w14:paraId="06E49AC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r>
      <w:tr w14:paraId="7CCE07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center"/>
          </w:tcPr>
          <w:p w14:paraId="0FAEAB3C">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85" w:type="dxa"/>
            <w:noWrap w:val="0"/>
            <w:vAlign w:val="center"/>
          </w:tcPr>
          <w:p w14:paraId="27D2CCF7">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35" w:type="dxa"/>
            <w:noWrap w:val="0"/>
            <w:vAlign w:val="center"/>
          </w:tcPr>
          <w:p w14:paraId="074D5607">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05" w:type="dxa"/>
            <w:noWrap w:val="0"/>
            <w:vAlign w:val="center"/>
          </w:tcPr>
          <w:p w14:paraId="35168B0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00" w:type="dxa"/>
            <w:noWrap w:val="0"/>
            <w:vAlign w:val="center"/>
          </w:tcPr>
          <w:p w14:paraId="08817FF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55" w:type="dxa"/>
            <w:noWrap w:val="0"/>
            <w:vAlign w:val="center"/>
          </w:tcPr>
          <w:p w14:paraId="41C03FB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425" w:type="dxa"/>
            <w:noWrap w:val="0"/>
            <w:vAlign w:val="center"/>
          </w:tcPr>
          <w:p w14:paraId="7AE198DB">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10" w:type="dxa"/>
            <w:noWrap w:val="0"/>
            <w:vAlign w:val="center"/>
          </w:tcPr>
          <w:p w14:paraId="2C74A83C">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15" w:type="dxa"/>
            <w:noWrap w:val="0"/>
            <w:vAlign w:val="center"/>
          </w:tcPr>
          <w:p w14:paraId="1333EF1B">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r>
      <w:tr w14:paraId="776A51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top"/>
          </w:tcPr>
          <w:p w14:paraId="0D2D2D61">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85" w:type="dxa"/>
            <w:noWrap w:val="0"/>
            <w:vAlign w:val="top"/>
          </w:tcPr>
          <w:p w14:paraId="471F4272">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35" w:type="dxa"/>
            <w:noWrap w:val="0"/>
            <w:vAlign w:val="top"/>
          </w:tcPr>
          <w:p w14:paraId="574B5DCC">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05" w:type="dxa"/>
            <w:noWrap w:val="0"/>
            <w:vAlign w:val="top"/>
          </w:tcPr>
          <w:p w14:paraId="67AB4076">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00" w:type="dxa"/>
            <w:noWrap w:val="0"/>
            <w:vAlign w:val="top"/>
          </w:tcPr>
          <w:p w14:paraId="6F486251">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55" w:type="dxa"/>
            <w:noWrap w:val="0"/>
            <w:vAlign w:val="top"/>
          </w:tcPr>
          <w:p w14:paraId="71B68F3E">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425" w:type="dxa"/>
            <w:noWrap w:val="0"/>
            <w:vAlign w:val="top"/>
          </w:tcPr>
          <w:p w14:paraId="651C3D77">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10" w:type="dxa"/>
            <w:noWrap w:val="0"/>
            <w:vAlign w:val="top"/>
          </w:tcPr>
          <w:p w14:paraId="3FD84659">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15" w:type="dxa"/>
            <w:noWrap w:val="0"/>
            <w:vAlign w:val="top"/>
          </w:tcPr>
          <w:p w14:paraId="69560D83">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r>
      <w:tr w14:paraId="124B68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center"/>
          </w:tcPr>
          <w:p w14:paraId="29CCDD34">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85" w:type="dxa"/>
            <w:noWrap w:val="0"/>
            <w:vAlign w:val="center"/>
          </w:tcPr>
          <w:p w14:paraId="6E38F155">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35" w:type="dxa"/>
            <w:noWrap w:val="0"/>
            <w:vAlign w:val="center"/>
          </w:tcPr>
          <w:p w14:paraId="122C4CB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005" w:type="dxa"/>
            <w:noWrap w:val="0"/>
            <w:vAlign w:val="center"/>
          </w:tcPr>
          <w:p w14:paraId="35FFDC46">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00" w:type="dxa"/>
            <w:noWrap w:val="0"/>
            <w:vAlign w:val="center"/>
          </w:tcPr>
          <w:p w14:paraId="10E7472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55" w:type="dxa"/>
            <w:noWrap w:val="0"/>
            <w:vAlign w:val="center"/>
          </w:tcPr>
          <w:p w14:paraId="7CD3146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425" w:type="dxa"/>
            <w:noWrap w:val="0"/>
            <w:vAlign w:val="center"/>
          </w:tcPr>
          <w:p w14:paraId="4BEA7A0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1110" w:type="dxa"/>
            <w:noWrap w:val="0"/>
            <w:vAlign w:val="center"/>
          </w:tcPr>
          <w:p w14:paraId="089477DB">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c>
          <w:tcPr>
            <w:tcW w:w="915" w:type="dxa"/>
            <w:noWrap w:val="0"/>
            <w:vAlign w:val="center"/>
          </w:tcPr>
          <w:p w14:paraId="11D531E4">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4"/>
                <w:szCs w:val="24"/>
                <w:highlight w:val="none"/>
              </w:rPr>
            </w:pPr>
          </w:p>
        </w:tc>
      </w:tr>
      <w:tr w14:paraId="4DEB1F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top"/>
          </w:tcPr>
          <w:p w14:paraId="62C4F7E8">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85" w:type="dxa"/>
            <w:noWrap w:val="0"/>
            <w:vAlign w:val="top"/>
          </w:tcPr>
          <w:p w14:paraId="6F7C77C9">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35" w:type="dxa"/>
            <w:noWrap w:val="0"/>
            <w:vAlign w:val="top"/>
          </w:tcPr>
          <w:p w14:paraId="523EB871">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05" w:type="dxa"/>
            <w:noWrap w:val="0"/>
            <w:vAlign w:val="top"/>
          </w:tcPr>
          <w:p w14:paraId="0A6D655A">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00" w:type="dxa"/>
            <w:noWrap w:val="0"/>
            <w:vAlign w:val="top"/>
          </w:tcPr>
          <w:p w14:paraId="7A5ED715">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55" w:type="dxa"/>
            <w:noWrap w:val="0"/>
            <w:vAlign w:val="top"/>
          </w:tcPr>
          <w:p w14:paraId="251F6D96">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425" w:type="dxa"/>
            <w:noWrap w:val="0"/>
            <w:vAlign w:val="top"/>
          </w:tcPr>
          <w:p w14:paraId="21DC5FF1">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10" w:type="dxa"/>
            <w:noWrap w:val="0"/>
            <w:vAlign w:val="top"/>
          </w:tcPr>
          <w:p w14:paraId="411AD6C3">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15" w:type="dxa"/>
            <w:noWrap w:val="0"/>
            <w:vAlign w:val="top"/>
          </w:tcPr>
          <w:p w14:paraId="3AA52991">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r>
      <w:tr w14:paraId="403C4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top"/>
          </w:tcPr>
          <w:p w14:paraId="2B49DE49">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85" w:type="dxa"/>
            <w:noWrap w:val="0"/>
            <w:vAlign w:val="top"/>
          </w:tcPr>
          <w:p w14:paraId="3DF69786">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35" w:type="dxa"/>
            <w:noWrap w:val="0"/>
            <w:vAlign w:val="top"/>
          </w:tcPr>
          <w:p w14:paraId="5B58A67A">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05" w:type="dxa"/>
            <w:noWrap w:val="0"/>
            <w:vAlign w:val="top"/>
          </w:tcPr>
          <w:p w14:paraId="75A091B5">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00" w:type="dxa"/>
            <w:noWrap w:val="0"/>
            <w:vAlign w:val="top"/>
          </w:tcPr>
          <w:p w14:paraId="75E4CAEA">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55" w:type="dxa"/>
            <w:noWrap w:val="0"/>
            <w:vAlign w:val="top"/>
          </w:tcPr>
          <w:p w14:paraId="44182CFF">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425" w:type="dxa"/>
            <w:noWrap w:val="0"/>
            <w:vAlign w:val="top"/>
          </w:tcPr>
          <w:p w14:paraId="0F6AFA83">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10" w:type="dxa"/>
            <w:noWrap w:val="0"/>
            <w:vAlign w:val="top"/>
          </w:tcPr>
          <w:p w14:paraId="3D803D6E">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15" w:type="dxa"/>
            <w:noWrap w:val="0"/>
            <w:vAlign w:val="top"/>
          </w:tcPr>
          <w:p w14:paraId="2E4425AE">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r>
      <w:tr w14:paraId="2A695D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top"/>
          </w:tcPr>
          <w:p w14:paraId="5A602EDD">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85" w:type="dxa"/>
            <w:noWrap w:val="0"/>
            <w:vAlign w:val="top"/>
          </w:tcPr>
          <w:p w14:paraId="590338AC">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35" w:type="dxa"/>
            <w:noWrap w:val="0"/>
            <w:vAlign w:val="top"/>
          </w:tcPr>
          <w:p w14:paraId="5D554A89">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05" w:type="dxa"/>
            <w:noWrap w:val="0"/>
            <w:vAlign w:val="top"/>
          </w:tcPr>
          <w:p w14:paraId="1DFDCA8A">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00" w:type="dxa"/>
            <w:noWrap w:val="0"/>
            <w:vAlign w:val="top"/>
          </w:tcPr>
          <w:p w14:paraId="30736D2C">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55" w:type="dxa"/>
            <w:noWrap w:val="0"/>
            <w:vAlign w:val="top"/>
          </w:tcPr>
          <w:p w14:paraId="157AE69F">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425" w:type="dxa"/>
            <w:noWrap w:val="0"/>
            <w:vAlign w:val="top"/>
          </w:tcPr>
          <w:p w14:paraId="123CDC01">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10" w:type="dxa"/>
            <w:noWrap w:val="0"/>
            <w:vAlign w:val="top"/>
          </w:tcPr>
          <w:p w14:paraId="3B9CAB1E">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15" w:type="dxa"/>
            <w:noWrap w:val="0"/>
            <w:vAlign w:val="top"/>
          </w:tcPr>
          <w:p w14:paraId="140DCE0A">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r>
      <w:tr w14:paraId="6A08E8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top"/>
          </w:tcPr>
          <w:p w14:paraId="4F43BD99">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85" w:type="dxa"/>
            <w:noWrap w:val="0"/>
            <w:vAlign w:val="top"/>
          </w:tcPr>
          <w:p w14:paraId="50FE8946">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35" w:type="dxa"/>
            <w:noWrap w:val="0"/>
            <w:vAlign w:val="top"/>
          </w:tcPr>
          <w:p w14:paraId="495658C3">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05" w:type="dxa"/>
            <w:noWrap w:val="0"/>
            <w:vAlign w:val="top"/>
          </w:tcPr>
          <w:p w14:paraId="6F4BD127">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00" w:type="dxa"/>
            <w:noWrap w:val="0"/>
            <w:vAlign w:val="top"/>
          </w:tcPr>
          <w:p w14:paraId="79C2CDE7">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55" w:type="dxa"/>
            <w:noWrap w:val="0"/>
            <w:vAlign w:val="top"/>
          </w:tcPr>
          <w:p w14:paraId="48371A8A">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425" w:type="dxa"/>
            <w:noWrap w:val="0"/>
            <w:vAlign w:val="top"/>
          </w:tcPr>
          <w:p w14:paraId="5204499A">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10" w:type="dxa"/>
            <w:noWrap w:val="0"/>
            <w:vAlign w:val="top"/>
          </w:tcPr>
          <w:p w14:paraId="52E950D8">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15" w:type="dxa"/>
            <w:noWrap w:val="0"/>
            <w:vAlign w:val="top"/>
          </w:tcPr>
          <w:p w14:paraId="005E3B96">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r>
      <w:tr w14:paraId="6C565E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top"/>
          </w:tcPr>
          <w:p w14:paraId="46F1CC0F">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85" w:type="dxa"/>
            <w:noWrap w:val="0"/>
            <w:vAlign w:val="top"/>
          </w:tcPr>
          <w:p w14:paraId="0C73764F">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35" w:type="dxa"/>
            <w:noWrap w:val="0"/>
            <w:vAlign w:val="top"/>
          </w:tcPr>
          <w:p w14:paraId="2DA96C3E">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05" w:type="dxa"/>
            <w:noWrap w:val="0"/>
            <w:vAlign w:val="top"/>
          </w:tcPr>
          <w:p w14:paraId="6CB19B66">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00" w:type="dxa"/>
            <w:noWrap w:val="0"/>
            <w:vAlign w:val="top"/>
          </w:tcPr>
          <w:p w14:paraId="039431D5">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55" w:type="dxa"/>
            <w:noWrap w:val="0"/>
            <w:vAlign w:val="top"/>
          </w:tcPr>
          <w:p w14:paraId="64499F0A">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425" w:type="dxa"/>
            <w:noWrap w:val="0"/>
            <w:vAlign w:val="top"/>
          </w:tcPr>
          <w:p w14:paraId="0408FCED">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10" w:type="dxa"/>
            <w:noWrap w:val="0"/>
            <w:vAlign w:val="top"/>
          </w:tcPr>
          <w:p w14:paraId="5A2072C4">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15" w:type="dxa"/>
            <w:noWrap w:val="0"/>
            <w:vAlign w:val="top"/>
          </w:tcPr>
          <w:p w14:paraId="2AD7C4C6">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r>
      <w:tr w14:paraId="064100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top"/>
          </w:tcPr>
          <w:p w14:paraId="7FA14666">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85" w:type="dxa"/>
            <w:noWrap w:val="0"/>
            <w:vAlign w:val="top"/>
          </w:tcPr>
          <w:p w14:paraId="1C6A5E17">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35" w:type="dxa"/>
            <w:noWrap w:val="0"/>
            <w:vAlign w:val="top"/>
          </w:tcPr>
          <w:p w14:paraId="5E5D1FA1">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05" w:type="dxa"/>
            <w:noWrap w:val="0"/>
            <w:vAlign w:val="top"/>
          </w:tcPr>
          <w:p w14:paraId="0FB7C89E">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00" w:type="dxa"/>
            <w:noWrap w:val="0"/>
            <w:vAlign w:val="top"/>
          </w:tcPr>
          <w:p w14:paraId="2B2CD0E0">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55" w:type="dxa"/>
            <w:noWrap w:val="0"/>
            <w:vAlign w:val="top"/>
          </w:tcPr>
          <w:p w14:paraId="26EA09CB">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425" w:type="dxa"/>
            <w:noWrap w:val="0"/>
            <w:vAlign w:val="top"/>
          </w:tcPr>
          <w:p w14:paraId="6313B5A8">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10" w:type="dxa"/>
            <w:noWrap w:val="0"/>
            <w:vAlign w:val="top"/>
          </w:tcPr>
          <w:p w14:paraId="779D18C0">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15" w:type="dxa"/>
            <w:noWrap w:val="0"/>
            <w:vAlign w:val="top"/>
          </w:tcPr>
          <w:p w14:paraId="5636DF7F">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r>
      <w:tr w14:paraId="265211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top"/>
          </w:tcPr>
          <w:p w14:paraId="671CDDD5">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85" w:type="dxa"/>
            <w:noWrap w:val="0"/>
            <w:vAlign w:val="top"/>
          </w:tcPr>
          <w:p w14:paraId="61AE3FBE">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35" w:type="dxa"/>
            <w:noWrap w:val="0"/>
            <w:vAlign w:val="top"/>
          </w:tcPr>
          <w:p w14:paraId="5296F764">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05" w:type="dxa"/>
            <w:noWrap w:val="0"/>
            <w:vAlign w:val="top"/>
          </w:tcPr>
          <w:p w14:paraId="3D58C12C">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00" w:type="dxa"/>
            <w:noWrap w:val="0"/>
            <w:vAlign w:val="top"/>
          </w:tcPr>
          <w:p w14:paraId="46ACFC38">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55" w:type="dxa"/>
            <w:noWrap w:val="0"/>
            <w:vAlign w:val="top"/>
          </w:tcPr>
          <w:p w14:paraId="50760FB1">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425" w:type="dxa"/>
            <w:noWrap w:val="0"/>
            <w:vAlign w:val="top"/>
          </w:tcPr>
          <w:p w14:paraId="52FDAF83">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10" w:type="dxa"/>
            <w:noWrap w:val="0"/>
            <w:vAlign w:val="top"/>
          </w:tcPr>
          <w:p w14:paraId="4E4F5CFD">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15" w:type="dxa"/>
            <w:noWrap w:val="0"/>
            <w:vAlign w:val="top"/>
          </w:tcPr>
          <w:p w14:paraId="3F8A3BA2">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r>
      <w:tr w14:paraId="5D5853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top"/>
          </w:tcPr>
          <w:p w14:paraId="7C327BFF">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85" w:type="dxa"/>
            <w:noWrap w:val="0"/>
            <w:vAlign w:val="top"/>
          </w:tcPr>
          <w:p w14:paraId="616E63E5">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35" w:type="dxa"/>
            <w:noWrap w:val="0"/>
            <w:vAlign w:val="top"/>
          </w:tcPr>
          <w:p w14:paraId="7BF8C9E7">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05" w:type="dxa"/>
            <w:noWrap w:val="0"/>
            <w:vAlign w:val="top"/>
          </w:tcPr>
          <w:p w14:paraId="1369CCED">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00" w:type="dxa"/>
            <w:noWrap w:val="0"/>
            <w:vAlign w:val="top"/>
          </w:tcPr>
          <w:p w14:paraId="3B4EDC8E">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55" w:type="dxa"/>
            <w:noWrap w:val="0"/>
            <w:vAlign w:val="top"/>
          </w:tcPr>
          <w:p w14:paraId="516C27AC">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425" w:type="dxa"/>
            <w:noWrap w:val="0"/>
            <w:vAlign w:val="top"/>
          </w:tcPr>
          <w:p w14:paraId="503C64A7">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10" w:type="dxa"/>
            <w:noWrap w:val="0"/>
            <w:vAlign w:val="top"/>
          </w:tcPr>
          <w:p w14:paraId="3D415590">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15" w:type="dxa"/>
            <w:noWrap w:val="0"/>
            <w:vAlign w:val="top"/>
          </w:tcPr>
          <w:p w14:paraId="2C873D2F">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r>
      <w:tr w14:paraId="4E7D5B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4" w:type="dxa"/>
            <w:noWrap w:val="0"/>
            <w:vAlign w:val="top"/>
          </w:tcPr>
          <w:p w14:paraId="0E247280">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85" w:type="dxa"/>
            <w:noWrap w:val="0"/>
            <w:vAlign w:val="top"/>
          </w:tcPr>
          <w:p w14:paraId="3332D60F">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35" w:type="dxa"/>
            <w:noWrap w:val="0"/>
            <w:vAlign w:val="top"/>
          </w:tcPr>
          <w:p w14:paraId="7A3F9AE2">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005" w:type="dxa"/>
            <w:noWrap w:val="0"/>
            <w:vAlign w:val="top"/>
          </w:tcPr>
          <w:p w14:paraId="41E961F9">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00" w:type="dxa"/>
            <w:noWrap w:val="0"/>
            <w:vAlign w:val="top"/>
          </w:tcPr>
          <w:p w14:paraId="3A30F2C1">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55" w:type="dxa"/>
            <w:noWrap w:val="0"/>
            <w:vAlign w:val="top"/>
          </w:tcPr>
          <w:p w14:paraId="3C818100">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425" w:type="dxa"/>
            <w:noWrap w:val="0"/>
            <w:vAlign w:val="top"/>
          </w:tcPr>
          <w:p w14:paraId="74ECAFF0">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1110" w:type="dxa"/>
            <w:noWrap w:val="0"/>
            <w:vAlign w:val="top"/>
          </w:tcPr>
          <w:p w14:paraId="677049E3">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c>
          <w:tcPr>
            <w:tcW w:w="915" w:type="dxa"/>
            <w:noWrap w:val="0"/>
            <w:vAlign w:val="top"/>
          </w:tcPr>
          <w:p w14:paraId="7CC1F7E7">
            <w:pPr>
              <w:keepNext w:val="0"/>
              <w:keepLines w:val="0"/>
              <w:pageBreakBefore w:val="0"/>
              <w:widowControl w:val="0"/>
              <w:kinsoku/>
              <w:wordWrap/>
              <w:overflowPunct/>
              <w:topLinePunct w:val="0"/>
              <w:autoSpaceDE/>
              <w:autoSpaceDN/>
              <w:bidi w:val="0"/>
              <w:snapToGrid/>
              <w:spacing w:line="460" w:lineRule="exact"/>
              <w:ind w:left="0" w:leftChars="0" w:right="0" w:rightChars="0" w:firstLine="560"/>
              <w:rPr>
                <w:rFonts w:hint="eastAsia" w:ascii="宋体" w:hAnsi="宋体" w:eastAsia="宋体" w:cs="宋体"/>
                <w:color w:val="auto"/>
                <w:sz w:val="24"/>
                <w:szCs w:val="24"/>
                <w:highlight w:val="none"/>
              </w:rPr>
            </w:pPr>
          </w:p>
        </w:tc>
      </w:tr>
    </w:tbl>
    <w:p w14:paraId="35EF8921">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textAlignment w:val="auto"/>
        <w:rPr>
          <w:rFonts w:eastAsia="黑体"/>
          <w:color w:val="auto"/>
          <w:sz w:val="28"/>
          <w:szCs w:val="28"/>
          <w:highlight w:val="none"/>
        </w:rPr>
      </w:pPr>
      <w:r>
        <w:rPr>
          <w:color w:val="auto"/>
          <w:sz w:val="28"/>
          <w:szCs w:val="28"/>
          <w:highlight w:val="none"/>
        </w:rPr>
        <w:br w:type="page"/>
      </w:r>
      <w:r>
        <w:rPr>
          <w:color w:val="auto"/>
          <w:sz w:val="24"/>
          <w:szCs w:val="24"/>
          <w:highlight w:val="none"/>
        </w:rPr>
        <w:t>附</w:t>
      </w:r>
      <w:bookmarkStart w:id="487" w:name="_Toc296944567"/>
      <w:bookmarkStart w:id="488" w:name="_Toc296891056"/>
      <w:bookmarkStart w:id="489" w:name="_Toc296347227"/>
      <w:bookmarkStart w:id="490" w:name="_Toc296346729"/>
      <w:bookmarkStart w:id="491" w:name="_Toc296891268"/>
      <w:bookmarkStart w:id="492" w:name="_Toc267261699"/>
      <w:bookmarkStart w:id="493" w:name="_Toc296503228"/>
      <w:r>
        <w:rPr>
          <w:color w:val="auto"/>
          <w:sz w:val="24"/>
          <w:szCs w:val="24"/>
          <w:highlight w:val="none"/>
        </w:rPr>
        <w:t>件</w:t>
      </w:r>
      <w:r>
        <w:rPr>
          <w:rFonts w:hint="eastAsia"/>
          <w:color w:val="auto"/>
          <w:sz w:val="24"/>
          <w:szCs w:val="24"/>
          <w:highlight w:val="none"/>
        </w:rPr>
        <w:t>3</w:t>
      </w:r>
      <w:r>
        <w:rPr>
          <w:color w:val="auto"/>
          <w:sz w:val="24"/>
          <w:szCs w:val="24"/>
          <w:highlight w:val="none"/>
        </w:rPr>
        <w:t>：</w:t>
      </w:r>
    </w:p>
    <w:bookmarkEnd w:id="487"/>
    <w:bookmarkEnd w:id="488"/>
    <w:bookmarkEnd w:id="489"/>
    <w:bookmarkEnd w:id="490"/>
    <w:bookmarkEnd w:id="491"/>
    <w:bookmarkEnd w:id="492"/>
    <w:bookmarkEnd w:id="493"/>
    <w:p w14:paraId="0D122549">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jc w:val="center"/>
        <w:textAlignment w:val="auto"/>
        <w:rPr>
          <w:color w:val="auto"/>
          <w:sz w:val="28"/>
          <w:szCs w:val="28"/>
          <w:highlight w:val="none"/>
        </w:rPr>
      </w:pPr>
      <w:r>
        <w:rPr>
          <w:color w:val="auto"/>
          <w:sz w:val="28"/>
          <w:szCs w:val="28"/>
          <w:highlight w:val="none"/>
        </w:rPr>
        <w:t>承包人主要施工管理人员表</w:t>
      </w:r>
    </w:p>
    <w:tbl>
      <w:tblPr>
        <w:tblStyle w:val="3"/>
        <w:tblW w:w="9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94"/>
        <w:gridCol w:w="1435"/>
        <w:gridCol w:w="1147"/>
        <w:gridCol w:w="1147"/>
        <w:gridCol w:w="3886"/>
      </w:tblGrid>
      <w:tr w14:paraId="47C3C6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894" w:type="dxa"/>
            <w:tcBorders>
              <w:top w:val="single" w:color="auto" w:sz="12" w:space="0"/>
              <w:bottom w:val="double" w:color="auto" w:sz="6" w:space="0"/>
            </w:tcBorders>
            <w:noWrap w:val="0"/>
            <w:vAlign w:val="center"/>
          </w:tcPr>
          <w:p w14:paraId="3C3E414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    称</w:t>
            </w:r>
          </w:p>
        </w:tc>
        <w:tc>
          <w:tcPr>
            <w:tcW w:w="1435" w:type="dxa"/>
            <w:tcBorders>
              <w:top w:val="single" w:color="auto" w:sz="12" w:space="0"/>
              <w:bottom w:val="double" w:color="auto" w:sz="6" w:space="0"/>
            </w:tcBorders>
            <w:noWrap w:val="0"/>
            <w:vAlign w:val="center"/>
          </w:tcPr>
          <w:p w14:paraId="4B866C35">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1147" w:type="dxa"/>
            <w:tcBorders>
              <w:top w:val="single" w:color="auto" w:sz="12" w:space="0"/>
              <w:bottom w:val="double" w:color="auto" w:sz="6" w:space="0"/>
            </w:tcBorders>
            <w:noWrap w:val="0"/>
            <w:vAlign w:val="center"/>
          </w:tcPr>
          <w:p w14:paraId="5EECA347">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147" w:type="dxa"/>
            <w:tcBorders>
              <w:top w:val="single" w:color="auto" w:sz="12" w:space="0"/>
              <w:bottom w:val="double" w:color="auto" w:sz="6" w:space="0"/>
            </w:tcBorders>
            <w:noWrap w:val="0"/>
            <w:vAlign w:val="center"/>
          </w:tcPr>
          <w:p w14:paraId="287E794C">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职称</w:t>
            </w:r>
          </w:p>
        </w:tc>
        <w:tc>
          <w:tcPr>
            <w:tcW w:w="3886" w:type="dxa"/>
            <w:tcBorders>
              <w:top w:val="single" w:color="auto" w:sz="12" w:space="0"/>
              <w:bottom w:val="double" w:color="auto" w:sz="6" w:space="0"/>
            </w:tcBorders>
            <w:noWrap w:val="0"/>
            <w:vAlign w:val="center"/>
          </w:tcPr>
          <w:p w14:paraId="26D73EE9">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主要资历、经验及承担过的项目</w:t>
            </w:r>
          </w:p>
        </w:tc>
      </w:tr>
      <w:tr w14:paraId="65997F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9509" w:type="dxa"/>
            <w:gridSpan w:val="5"/>
            <w:tcBorders>
              <w:top w:val="double" w:color="auto" w:sz="6" w:space="0"/>
              <w:bottom w:val="single" w:color="auto" w:sz="6" w:space="0"/>
            </w:tcBorders>
            <w:noWrap w:val="0"/>
            <w:vAlign w:val="center"/>
          </w:tcPr>
          <w:p w14:paraId="6B9EB22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一、总部人员</w:t>
            </w:r>
          </w:p>
        </w:tc>
      </w:tr>
      <w:tr w14:paraId="1AB4EB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894" w:type="dxa"/>
            <w:tcBorders>
              <w:top w:val="nil"/>
              <w:bottom w:val="nil"/>
            </w:tcBorders>
            <w:noWrap w:val="0"/>
            <w:vAlign w:val="center"/>
          </w:tcPr>
          <w:p w14:paraId="5F5806EF">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项目主管</w:t>
            </w:r>
          </w:p>
        </w:tc>
        <w:tc>
          <w:tcPr>
            <w:tcW w:w="1435" w:type="dxa"/>
            <w:tcBorders>
              <w:top w:val="nil"/>
            </w:tcBorders>
            <w:noWrap w:val="0"/>
            <w:vAlign w:val="center"/>
          </w:tcPr>
          <w:p w14:paraId="4FFF51D6">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tcBorders>
              <w:top w:val="nil"/>
            </w:tcBorders>
            <w:noWrap w:val="0"/>
            <w:vAlign w:val="center"/>
          </w:tcPr>
          <w:p w14:paraId="3C9DF55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tcBorders>
              <w:top w:val="nil"/>
            </w:tcBorders>
            <w:noWrap w:val="0"/>
            <w:vAlign w:val="center"/>
          </w:tcPr>
          <w:p w14:paraId="5C8E1DE4">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tcBorders>
              <w:top w:val="nil"/>
            </w:tcBorders>
            <w:noWrap w:val="0"/>
            <w:vAlign w:val="center"/>
          </w:tcPr>
          <w:p w14:paraId="770A5BD9">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455AD6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894" w:type="dxa"/>
            <w:tcBorders>
              <w:top w:val="single" w:color="auto" w:sz="6" w:space="0"/>
              <w:bottom w:val="nil"/>
            </w:tcBorders>
            <w:noWrap w:val="0"/>
            <w:vAlign w:val="center"/>
          </w:tcPr>
          <w:p w14:paraId="4A58C5D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435" w:type="dxa"/>
            <w:noWrap w:val="0"/>
            <w:vAlign w:val="center"/>
          </w:tcPr>
          <w:p w14:paraId="6FC95FE7">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23F6CF5E">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2F55AB8B">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5A69E910">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07ACE0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894" w:type="dxa"/>
            <w:tcBorders>
              <w:top w:val="nil"/>
              <w:bottom w:val="nil"/>
            </w:tcBorders>
            <w:noWrap w:val="0"/>
            <w:vAlign w:val="center"/>
          </w:tcPr>
          <w:p w14:paraId="4BDBE3A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其他人员</w:t>
            </w:r>
          </w:p>
        </w:tc>
        <w:tc>
          <w:tcPr>
            <w:tcW w:w="1435" w:type="dxa"/>
            <w:noWrap w:val="0"/>
            <w:vAlign w:val="center"/>
          </w:tcPr>
          <w:p w14:paraId="39DB21B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186C915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009EC00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7C0AB6CB">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283CB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894" w:type="dxa"/>
            <w:tcBorders>
              <w:top w:val="nil"/>
              <w:bottom w:val="nil"/>
            </w:tcBorders>
            <w:noWrap w:val="0"/>
            <w:vAlign w:val="center"/>
          </w:tcPr>
          <w:p w14:paraId="16384B88">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435" w:type="dxa"/>
            <w:noWrap w:val="0"/>
            <w:vAlign w:val="center"/>
          </w:tcPr>
          <w:p w14:paraId="4C720BA5">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2AB00839">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2317D69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23120EB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4035FE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9509" w:type="dxa"/>
            <w:gridSpan w:val="5"/>
            <w:tcBorders>
              <w:top w:val="single" w:color="auto" w:sz="6" w:space="0"/>
              <w:bottom w:val="single" w:color="auto" w:sz="6" w:space="0"/>
            </w:tcBorders>
            <w:noWrap w:val="0"/>
            <w:vAlign w:val="center"/>
          </w:tcPr>
          <w:p w14:paraId="721498B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二、现场人员</w:t>
            </w:r>
          </w:p>
        </w:tc>
      </w:tr>
      <w:tr w14:paraId="5C1C3B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894" w:type="dxa"/>
            <w:tcBorders>
              <w:top w:val="single" w:color="auto" w:sz="6" w:space="0"/>
              <w:bottom w:val="single" w:color="auto" w:sz="6" w:space="0"/>
            </w:tcBorders>
            <w:noWrap w:val="0"/>
            <w:vAlign w:val="center"/>
          </w:tcPr>
          <w:p w14:paraId="506839C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p>
        </w:tc>
        <w:tc>
          <w:tcPr>
            <w:tcW w:w="1435" w:type="dxa"/>
            <w:noWrap w:val="0"/>
            <w:vAlign w:val="center"/>
          </w:tcPr>
          <w:p w14:paraId="35A37B9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1FAAD49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79009AE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498746E9">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076B3F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894" w:type="dxa"/>
            <w:tcBorders>
              <w:top w:val="single" w:color="auto" w:sz="6" w:space="0"/>
              <w:bottom w:val="single" w:color="auto" w:sz="6" w:space="0"/>
            </w:tcBorders>
            <w:noWrap w:val="0"/>
            <w:vAlign w:val="center"/>
          </w:tcPr>
          <w:p w14:paraId="1470DEF4">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项目副经理</w:t>
            </w:r>
          </w:p>
        </w:tc>
        <w:tc>
          <w:tcPr>
            <w:tcW w:w="1435" w:type="dxa"/>
            <w:noWrap w:val="0"/>
            <w:vAlign w:val="center"/>
          </w:tcPr>
          <w:p w14:paraId="00CA76E4">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4ACDAA65">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78A0AF30">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031902F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4FB2DB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894" w:type="dxa"/>
            <w:tcBorders>
              <w:top w:val="single" w:color="auto" w:sz="6" w:space="0"/>
              <w:bottom w:val="single" w:color="auto" w:sz="6" w:space="0"/>
            </w:tcBorders>
            <w:noWrap w:val="0"/>
            <w:vAlign w:val="center"/>
          </w:tcPr>
          <w:p w14:paraId="6B2B60B8">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技术负责人</w:t>
            </w:r>
          </w:p>
        </w:tc>
        <w:tc>
          <w:tcPr>
            <w:tcW w:w="1435" w:type="dxa"/>
            <w:noWrap w:val="0"/>
            <w:vAlign w:val="center"/>
          </w:tcPr>
          <w:p w14:paraId="2C5AE5D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78E90218">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2A930F26">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23872F97">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752E3F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894" w:type="dxa"/>
            <w:tcBorders>
              <w:top w:val="single" w:color="auto" w:sz="6" w:space="0"/>
              <w:bottom w:val="single" w:color="auto" w:sz="6" w:space="0"/>
            </w:tcBorders>
            <w:noWrap w:val="0"/>
            <w:vAlign w:val="center"/>
          </w:tcPr>
          <w:p w14:paraId="05694EDF">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造价管理</w:t>
            </w:r>
          </w:p>
        </w:tc>
        <w:tc>
          <w:tcPr>
            <w:tcW w:w="1435" w:type="dxa"/>
            <w:noWrap w:val="0"/>
            <w:vAlign w:val="center"/>
          </w:tcPr>
          <w:p w14:paraId="46A7C03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34EF8948">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57F9E23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2181A23B">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611912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894" w:type="dxa"/>
            <w:tcBorders>
              <w:top w:val="single" w:color="auto" w:sz="6" w:space="0"/>
              <w:bottom w:val="single" w:color="auto" w:sz="6" w:space="0"/>
            </w:tcBorders>
            <w:noWrap w:val="0"/>
            <w:vAlign w:val="center"/>
          </w:tcPr>
          <w:p w14:paraId="19C60608">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质量管理</w:t>
            </w:r>
          </w:p>
        </w:tc>
        <w:tc>
          <w:tcPr>
            <w:tcW w:w="1435" w:type="dxa"/>
            <w:noWrap w:val="0"/>
            <w:vAlign w:val="center"/>
          </w:tcPr>
          <w:p w14:paraId="2972ADD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040A74D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677F34C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5B098FB9">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6EF344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894" w:type="dxa"/>
            <w:tcBorders>
              <w:top w:val="single" w:color="auto" w:sz="6" w:space="0"/>
              <w:bottom w:val="single" w:color="auto" w:sz="6" w:space="0"/>
            </w:tcBorders>
            <w:noWrap w:val="0"/>
            <w:vAlign w:val="center"/>
          </w:tcPr>
          <w:p w14:paraId="52D56FB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材料管理</w:t>
            </w:r>
          </w:p>
        </w:tc>
        <w:tc>
          <w:tcPr>
            <w:tcW w:w="1435" w:type="dxa"/>
            <w:noWrap w:val="0"/>
            <w:vAlign w:val="center"/>
          </w:tcPr>
          <w:p w14:paraId="75CB320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09A3040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59832CA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22AB5D6F">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7C0275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894" w:type="dxa"/>
            <w:tcBorders>
              <w:top w:val="single" w:color="auto" w:sz="6" w:space="0"/>
              <w:bottom w:val="single" w:color="auto" w:sz="6" w:space="0"/>
            </w:tcBorders>
            <w:noWrap w:val="0"/>
            <w:vAlign w:val="center"/>
          </w:tcPr>
          <w:p w14:paraId="589446F9">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计划管理</w:t>
            </w:r>
          </w:p>
        </w:tc>
        <w:tc>
          <w:tcPr>
            <w:tcW w:w="1435" w:type="dxa"/>
            <w:noWrap w:val="0"/>
            <w:vAlign w:val="center"/>
          </w:tcPr>
          <w:p w14:paraId="5C89163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6BE64B3E">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3D74106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7923A217">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6F632C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894" w:type="dxa"/>
            <w:tcBorders>
              <w:top w:val="single" w:color="auto" w:sz="6" w:space="0"/>
              <w:bottom w:val="single" w:color="auto" w:sz="6" w:space="0"/>
            </w:tcBorders>
            <w:noWrap w:val="0"/>
            <w:vAlign w:val="center"/>
          </w:tcPr>
          <w:p w14:paraId="751921E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安全管理</w:t>
            </w:r>
          </w:p>
        </w:tc>
        <w:tc>
          <w:tcPr>
            <w:tcW w:w="1435" w:type="dxa"/>
            <w:noWrap w:val="0"/>
            <w:vAlign w:val="center"/>
          </w:tcPr>
          <w:p w14:paraId="057E0EF4">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73B15EE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046D5E6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433444AF">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5A3A80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894" w:type="dxa"/>
            <w:vMerge w:val="restart"/>
            <w:tcBorders>
              <w:top w:val="single" w:color="auto" w:sz="6" w:space="0"/>
            </w:tcBorders>
            <w:noWrap w:val="0"/>
            <w:vAlign w:val="center"/>
          </w:tcPr>
          <w:p w14:paraId="51D981C7">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其他人员</w:t>
            </w:r>
          </w:p>
        </w:tc>
        <w:tc>
          <w:tcPr>
            <w:tcW w:w="1435" w:type="dxa"/>
            <w:noWrap w:val="0"/>
            <w:vAlign w:val="center"/>
          </w:tcPr>
          <w:p w14:paraId="71A27C7E">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2598786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58A24023">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3A581C9E">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7907D2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6" w:hRule="atLeast"/>
          <w:jc w:val="center"/>
        </w:trPr>
        <w:tc>
          <w:tcPr>
            <w:tcW w:w="1894" w:type="dxa"/>
            <w:vMerge w:val="continue"/>
            <w:noWrap w:val="0"/>
            <w:vAlign w:val="center"/>
          </w:tcPr>
          <w:p w14:paraId="2A4F6344">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435" w:type="dxa"/>
            <w:tcBorders>
              <w:bottom w:val="nil"/>
            </w:tcBorders>
            <w:noWrap w:val="0"/>
            <w:vAlign w:val="center"/>
          </w:tcPr>
          <w:p w14:paraId="129370C9">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tcBorders>
              <w:bottom w:val="nil"/>
            </w:tcBorders>
            <w:noWrap w:val="0"/>
            <w:vAlign w:val="center"/>
          </w:tcPr>
          <w:p w14:paraId="0464B74B">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tcBorders>
              <w:bottom w:val="nil"/>
            </w:tcBorders>
            <w:noWrap w:val="0"/>
            <w:vAlign w:val="center"/>
          </w:tcPr>
          <w:p w14:paraId="648DCF3C">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tcBorders>
              <w:bottom w:val="nil"/>
            </w:tcBorders>
            <w:noWrap w:val="0"/>
            <w:vAlign w:val="center"/>
          </w:tcPr>
          <w:p w14:paraId="4932A5E1">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39DE66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6" w:hRule="atLeast"/>
          <w:jc w:val="center"/>
        </w:trPr>
        <w:tc>
          <w:tcPr>
            <w:tcW w:w="1894" w:type="dxa"/>
            <w:vMerge w:val="continue"/>
            <w:noWrap w:val="0"/>
            <w:vAlign w:val="center"/>
          </w:tcPr>
          <w:p w14:paraId="105FBEC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435" w:type="dxa"/>
            <w:noWrap w:val="0"/>
            <w:vAlign w:val="center"/>
          </w:tcPr>
          <w:p w14:paraId="031F6D00">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6A5B129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448742C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6FE98C55">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4151D7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6" w:hRule="atLeast"/>
          <w:jc w:val="center"/>
        </w:trPr>
        <w:tc>
          <w:tcPr>
            <w:tcW w:w="1894" w:type="dxa"/>
            <w:vMerge w:val="continue"/>
            <w:noWrap w:val="0"/>
            <w:vAlign w:val="center"/>
          </w:tcPr>
          <w:p w14:paraId="10678467">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435" w:type="dxa"/>
            <w:noWrap w:val="0"/>
            <w:vAlign w:val="center"/>
          </w:tcPr>
          <w:p w14:paraId="7AD5665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4A498589">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38AC181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1D78EA28">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39372A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6" w:hRule="atLeast"/>
          <w:jc w:val="center"/>
        </w:trPr>
        <w:tc>
          <w:tcPr>
            <w:tcW w:w="1894" w:type="dxa"/>
            <w:vMerge w:val="continue"/>
            <w:noWrap w:val="0"/>
            <w:vAlign w:val="center"/>
          </w:tcPr>
          <w:p w14:paraId="481028F9">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435" w:type="dxa"/>
            <w:noWrap w:val="0"/>
            <w:vAlign w:val="center"/>
          </w:tcPr>
          <w:p w14:paraId="79B8248D">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3CFEEC62">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noWrap w:val="0"/>
            <w:vAlign w:val="center"/>
          </w:tcPr>
          <w:p w14:paraId="57654DDE">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noWrap w:val="0"/>
            <w:vAlign w:val="center"/>
          </w:tcPr>
          <w:p w14:paraId="1B940CEA">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r w14:paraId="4FAC32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6" w:hRule="atLeast"/>
          <w:jc w:val="center"/>
        </w:trPr>
        <w:tc>
          <w:tcPr>
            <w:tcW w:w="1894" w:type="dxa"/>
            <w:vMerge w:val="continue"/>
            <w:tcBorders>
              <w:bottom w:val="single" w:color="auto" w:sz="12" w:space="0"/>
            </w:tcBorders>
            <w:noWrap w:val="0"/>
            <w:vAlign w:val="center"/>
          </w:tcPr>
          <w:p w14:paraId="6C8B2139">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435" w:type="dxa"/>
            <w:tcBorders>
              <w:bottom w:val="single" w:color="auto" w:sz="12" w:space="0"/>
            </w:tcBorders>
            <w:noWrap w:val="0"/>
            <w:vAlign w:val="center"/>
          </w:tcPr>
          <w:p w14:paraId="5C334318">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tcBorders>
              <w:bottom w:val="single" w:color="auto" w:sz="12" w:space="0"/>
            </w:tcBorders>
            <w:noWrap w:val="0"/>
            <w:vAlign w:val="center"/>
          </w:tcPr>
          <w:p w14:paraId="5A0A6AE4">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1147" w:type="dxa"/>
            <w:tcBorders>
              <w:bottom w:val="single" w:color="auto" w:sz="12" w:space="0"/>
            </w:tcBorders>
            <w:noWrap w:val="0"/>
            <w:vAlign w:val="center"/>
          </w:tcPr>
          <w:p w14:paraId="3989DA84">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c>
          <w:tcPr>
            <w:tcW w:w="3886" w:type="dxa"/>
            <w:tcBorders>
              <w:bottom w:val="single" w:color="auto" w:sz="12" w:space="0"/>
            </w:tcBorders>
            <w:noWrap w:val="0"/>
            <w:vAlign w:val="center"/>
          </w:tcPr>
          <w:p w14:paraId="06C1A44C">
            <w:pPr>
              <w:keepNext w:val="0"/>
              <w:keepLines w:val="0"/>
              <w:pageBreakBefore w:val="0"/>
              <w:widowControl w:val="0"/>
              <w:kinsoku/>
              <w:wordWrap/>
              <w:overflowPunct/>
              <w:topLinePunct w:val="0"/>
              <w:autoSpaceDE/>
              <w:autoSpaceDN/>
              <w:bidi w:val="0"/>
              <w:adjustRightInd w:val="0"/>
              <w:snapToGrid/>
              <w:spacing w:line="460" w:lineRule="exact"/>
              <w:ind w:left="0" w:leftChars="0" w:right="0" w:rightChars="0" w:firstLine="400"/>
              <w:jc w:val="center"/>
              <w:textAlignment w:val="baseline"/>
              <w:rPr>
                <w:rFonts w:hint="eastAsia" w:ascii="宋体" w:hAnsi="宋体" w:eastAsia="宋体" w:cs="宋体"/>
                <w:color w:val="auto"/>
                <w:sz w:val="21"/>
                <w:szCs w:val="21"/>
                <w:highlight w:val="none"/>
              </w:rPr>
            </w:pPr>
          </w:p>
        </w:tc>
      </w:tr>
    </w:tbl>
    <w:p w14:paraId="5C21738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F36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2026-07-31T07:35:28Z</dcterms:created>
  <dc:creator>Administrator</dc:creator>
  <cp:lastModifiedBy>游憩</cp:lastModifiedBy>
  <dcterms:modified xsi:type="dcterms:W3CDTF">2026-07-31T07:36:19Z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eyJoZGlkIjoiMDAyMzkzZmU1MzYwZWZiYWFhNDU4ZGY0YTg3NDgwYmYiLCJ1c2VySWQiOiI0MDI0NzI1NzMifQ==</vt:lpwstr>
  </property>
  <property fmtid="{D5CDD505-2E9C-101B-9397-08002B2CF9AE}" pid="4" name="ICV">
    <vt:lpwstr>8A0E1B5AF9D04127BA38528F70260108_12</vt:lpwstr>
  </property>
</Properties>
</file>