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版本号：YD-202603520260624001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2026年洋县茅坪镇朝阳村林麝产业基地储藏冷库建设项目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YD-2026035</w:t>
      </w:r>
      <w:r>
        <w:br/>
      </w:r>
      <w:r>
        <w:br/>
      </w:r>
      <w:r>
        <w:br/>
      </w:r>
    </w:p>
    <w:p>
      <w:pPr>
        <w:pStyle w:val="null3"/>
        <w:jc w:val="center"/>
        <w:outlineLvl w:val="2"/>
      </w:pPr>
      <w:r>
        <w:rPr>
          <w:rFonts w:ascii="仿宋_GB2312" w:hAnsi="仿宋_GB2312" w:cs="仿宋_GB2312" w:eastAsia="仿宋_GB2312"/>
          <w:sz w:val="28"/>
          <w:b/>
        </w:rPr>
        <w:t>洋县茅坪镇人民政府</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洋县茅坪镇人民政府</w:t>
      </w:r>
      <w:r>
        <w:rPr>
          <w:rFonts w:ascii="仿宋_GB2312" w:hAnsi="仿宋_GB2312" w:cs="仿宋_GB2312" w:eastAsia="仿宋_GB2312"/>
        </w:rPr>
        <w:t>委托，拟对</w:t>
      </w:r>
      <w:r>
        <w:rPr>
          <w:rFonts w:ascii="仿宋_GB2312" w:hAnsi="仿宋_GB2312" w:cs="仿宋_GB2312" w:eastAsia="仿宋_GB2312"/>
        </w:rPr>
        <w:t>2026年洋县茅坪镇朝阳村林麝产业基地储藏冷库建设项目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2026年洋县茅坪镇朝阳村林麝产业基地储藏冷库建设项目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新建储藏冷库⼀座，⼆层框架结构，建筑⾯积 440.96平⽅⽶；新建饲料加⼯间⼀间，⼀层钢结构建筑，建筑⾯积300平⽅⽶，饲料加⼯机及配套设施、装卸传送带1套等配套设备。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采购包1（2026年洋县茅坪镇朝阳村林麝产业基地储藏冷库建设项目）：属于专门面向中小企业采购。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1、主体资格：供应商应为具有独⽴承担⺠事责任能⼒的法⼈或其他组织或⾃然⼈，并出具营业执照（事业法⼈证）或证明⽂件或⾃然⼈的⾝份证明；</w:t>
      </w:r>
    </w:p>
    <w:p>
      <w:pPr>
        <w:pStyle w:val="null3"/>
      </w:pPr>
      <w:r>
        <w:rPr>
          <w:rFonts w:ascii="仿宋_GB2312" w:hAnsi="仿宋_GB2312" w:cs="仿宋_GB2312" w:eastAsia="仿宋_GB2312"/>
        </w:rPr>
        <w:t>2、资格承诺函：供应商应具备健全的财务会计制度、履⾏合同所需的设备和专业技术能⼒、依法缴纳税收和社会保障资⾦，以及参加本项⽬采购活动前3年内经营活动⽆重⼤违法记录；投标⼈未被列⼊“ 信⽤中国”⽹站(https://www.creditchina.gov.cn)“失信被执⾏⼈”“重⼤税收违法案件当事⼈名单”中，也未列⼊“中国政府采购⽹”(https://www.ccgp.gov.cn)的“政府采购严重违法失信⾏为记录名单”；拟参与本项⽬的投标⼈应按照汉中市财政局《关于全⾯推⾏政府采购供应商基本资格条件承诺制的通知》(汉财办采管(2024)20号)⽂件要求，提供满⾜相应条件的资格承诺函；</w:t>
      </w:r>
    </w:p>
    <w:p>
      <w:pPr>
        <w:pStyle w:val="null3"/>
      </w:pPr>
      <w:r>
        <w:rPr>
          <w:rFonts w:ascii="仿宋_GB2312" w:hAnsi="仿宋_GB2312" w:cs="仿宋_GB2312" w:eastAsia="仿宋_GB2312"/>
        </w:rPr>
        <w:t>3、法定代表⼈⾝份证明或授权委托书：法定代表⼈直接参加投标的，须提供法定代表⼈⾝份证明；法定代表⼈授权代表参加投标的，须提供法定代表⼈授权委托书；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4、本采购包专⻔⾯向中⼩企业采购：本项⽬专⻔⾯向中⼩企业采购,供应商须提供《中⼩企业声明函》，供应商为监狱企业的 ，应提供监狱企业的证明⽂件；供应商为残疾⼈福利性单位的，应提供《残疾⼈福利性单位声明函》(监狱企业或残疾⼈福利性单位视同⼩型、微型企业)；</w:t>
      </w:r>
    </w:p>
    <w:p>
      <w:pPr>
        <w:pStyle w:val="null3"/>
      </w:pPr>
      <w:r>
        <w:rPr>
          <w:rFonts w:ascii="仿宋_GB2312" w:hAnsi="仿宋_GB2312" w:cs="仿宋_GB2312" w:eastAsia="仿宋_GB2312"/>
        </w:rPr>
        <w:t>5、供应商资质要求：供应商须具备建设⾏政主管部⻔核发的建筑⼯程施⼯总承包三级及以上资质，具有有效的安全⽣产许可证；拟派项⽬经理须具备建筑⼯程专业⼆级及以上注册建造师执业资格和有效的安全考核合格B证，且⽆在建项⽬（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洋县茅坪镇人民政府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洋县茅坪镇茅坪街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0916-8342309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洋县茅坪镇人民政府</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洋县茅坪镇人民政府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洋县茅坪镇人民政府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1,241,124.54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2026年洋县茅坪镇朝阳村林麝产业基地储藏冷库建设项目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标的名称：2026年洋县茅坪镇朝阳村林麝产业基地储藏冷库建设项目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一、工程概况</w:t>
            </w:r>
          </w:p>
          <w:p>
            <w:pPr>
              <w:pStyle w:val="null3"/>
              <w:ind w:firstLine="560"/>
              <w:jc w:val="left"/>
            </w:pPr>
            <w:r>
              <w:rPr>
                <w:rFonts w:ascii="仿宋_GB2312" w:hAnsi="仿宋_GB2312" w:cs="仿宋_GB2312" w:eastAsia="仿宋_GB2312"/>
                <w:sz w:val="21"/>
                <w:color w:val="000000"/>
              </w:rPr>
              <w:t>2026年洋县茅坪镇朝阳村林麝产业基地储藏冷库建设项目</w:t>
            </w:r>
            <w:r>
              <w:rPr>
                <w:rFonts w:ascii="仿宋_GB2312" w:hAnsi="仿宋_GB2312" w:cs="仿宋_GB2312" w:eastAsia="仿宋_GB2312"/>
                <w:sz w:val="21"/>
                <w:color w:val="000000"/>
              </w:rPr>
              <w:t>，</w:t>
            </w:r>
            <w:r>
              <w:rPr>
                <w:rFonts w:ascii="仿宋_GB2312" w:hAnsi="仿宋_GB2312" w:cs="仿宋_GB2312" w:eastAsia="仿宋_GB2312"/>
                <w:sz w:val="21"/>
                <w:color w:val="000000"/>
              </w:rPr>
              <w:t>建设地点：洋县茅坪镇朝阳村</w:t>
            </w:r>
            <w:r>
              <w:rPr>
                <w:rFonts w:ascii="仿宋_GB2312" w:hAnsi="仿宋_GB2312" w:cs="仿宋_GB2312" w:eastAsia="仿宋_GB2312"/>
                <w:sz w:val="21"/>
                <w:color w:val="000000"/>
              </w:rPr>
              <w:t>。</w:t>
            </w:r>
            <w:r>
              <w:rPr>
                <w:rFonts w:ascii="仿宋_GB2312" w:hAnsi="仿宋_GB2312" w:cs="仿宋_GB2312" w:eastAsia="仿宋_GB2312"/>
                <w:sz w:val="21"/>
                <w:color w:val="000000"/>
              </w:rPr>
              <w:t>建设内容</w:t>
            </w:r>
            <w:r>
              <w:rPr>
                <w:rFonts w:ascii="仿宋_GB2312" w:hAnsi="仿宋_GB2312" w:cs="仿宋_GB2312" w:eastAsia="仿宋_GB2312"/>
                <w:sz w:val="21"/>
                <w:color w:val="000000"/>
              </w:rPr>
              <w:t>：为</w:t>
            </w:r>
            <w:r>
              <w:rPr>
                <w:rFonts w:ascii="仿宋_GB2312" w:hAnsi="仿宋_GB2312" w:cs="仿宋_GB2312" w:eastAsia="仿宋_GB2312"/>
                <w:sz w:val="21"/>
                <w:color w:val="000000"/>
              </w:rPr>
              <w:t>新建储藏冷库一座</w:t>
            </w:r>
            <w:r>
              <w:rPr>
                <w:rFonts w:ascii="仿宋_GB2312" w:hAnsi="仿宋_GB2312" w:cs="仿宋_GB2312" w:eastAsia="仿宋_GB2312"/>
                <w:sz w:val="21"/>
                <w:color w:val="000000"/>
              </w:rPr>
              <w:t>，</w:t>
            </w:r>
            <w:r>
              <w:rPr>
                <w:rFonts w:ascii="仿宋_GB2312" w:hAnsi="仿宋_GB2312" w:cs="仿宋_GB2312" w:eastAsia="仿宋_GB2312"/>
                <w:sz w:val="21"/>
                <w:color w:val="000000"/>
              </w:rPr>
              <w:t>二层框架结构，建筑面积 440.96平方米；新建饲料加工间一间，一层钢结构建筑，建筑面积300平方米</w:t>
            </w:r>
            <w:r>
              <w:rPr>
                <w:rFonts w:ascii="仿宋_GB2312" w:hAnsi="仿宋_GB2312" w:cs="仿宋_GB2312" w:eastAsia="仿宋_GB2312"/>
                <w:sz w:val="21"/>
                <w:color w:val="000000"/>
              </w:rPr>
              <w:t>；</w:t>
            </w:r>
            <w:r>
              <w:rPr>
                <w:rFonts w:ascii="仿宋_GB2312" w:hAnsi="仿宋_GB2312" w:cs="仿宋_GB2312" w:eastAsia="仿宋_GB2312"/>
                <w:sz w:val="21"/>
                <w:color w:val="000000"/>
              </w:rPr>
              <w:t>饲料加工机及配套设施、装卸传送带1套等配套设施。</w:t>
            </w:r>
          </w:p>
          <w:p>
            <w:pPr>
              <w:pStyle w:val="null3"/>
              <w:jc w:val="left"/>
            </w:pPr>
            <w:r>
              <w:rPr>
                <w:rFonts w:ascii="仿宋_GB2312" w:hAnsi="仿宋_GB2312" w:cs="仿宋_GB2312" w:eastAsia="仿宋_GB2312"/>
                <w:sz w:val="21"/>
                <w:b/>
                <w:color w:val="000000"/>
              </w:rPr>
              <w:t>二、编制依据</w:t>
            </w:r>
          </w:p>
          <w:p>
            <w:pPr>
              <w:pStyle w:val="null3"/>
              <w:ind w:firstLine="560"/>
              <w:jc w:val="left"/>
            </w:pPr>
            <w:r>
              <w:rPr>
                <w:rFonts w:ascii="仿宋_GB2312" w:hAnsi="仿宋_GB2312" w:cs="仿宋_GB2312" w:eastAsia="仿宋_GB2312"/>
                <w:sz w:val="21"/>
                <w:color w:val="000000"/>
              </w:rPr>
              <w:t>1、《陕西省住房和城乡建设厅关于印发2025陕西省建设工程费用规则等计价依据的通知》陕建管发〔2025〕10号文件；</w:t>
            </w:r>
          </w:p>
          <w:p>
            <w:pPr>
              <w:pStyle w:val="null3"/>
              <w:ind w:firstLine="560"/>
              <w:jc w:val="left"/>
            </w:pPr>
            <w:r>
              <w:rPr>
                <w:rFonts w:ascii="仿宋_GB2312" w:hAnsi="仿宋_GB2312" w:cs="仿宋_GB2312" w:eastAsia="仿宋_GB2312"/>
                <w:sz w:val="21"/>
                <w:color w:val="000000"/>
              </w:rPr>
              <w:t>2、《陕西省建设工程费用规则》（2025）、《建设工程工程量清单计价标准》（2025）、《房屋建筑与装修工程工程量计算标准》、《通用安装工程工程量计算标准》及其配套文件；</w:t>
            </w:r>
          </w:p>
          <w:p>
            <w:pPr>
              <w:pStyle w:val="null3"/>
              <w:ind w:firstLine="560"/>
              <w:jc w:val="left"/>
            </w:pPr>
            <w:r>
              <w:rPr>
                <w:rFonts w:ascii="仿宋_GB2312" w:hAnsi="仿宋_GB2312" w:cs="仿宋_GB2312" w:eastAsia="仿宋_GB2312"/>
                <w:sz w:val="21"/>
                <w:color w:val="000000"/>
              </w:rPr>
              <w:t>3、《陕西省房屋建筑与装饰工程消耗量定额》（2025）、《陕西省通用安装工程消耗量定额》（2025）、《陕西省建设工程施工机械台班费用定额》（2025）；</w:t>
            </w:r>
          </w:p>
          <w:p>
            <w:pPr>
              <w:pStyle w:val="null3"/>
              <w:ind w:firstLine="560"/>
              <w:jc w:val="left"/>
            </w:pPr>
            <w:r>
              <w:rPr>
                <w:rFonts w:ascii="仿宋_GB2312" w:hAnsi="仿宋_GB2312" w:cs="仿宋_GB2312" w:eastAsia="仿宋_GB2312"/>
                <w:sz w:val="21"/>
                <w:color w:val="000000"/>
              </w:rPr>
              <w:t>4、《陕西省房屋建筑与装饰工程基价表》（2025）、《陕西省通用安装工程基价表》（2025）；</w:t>
            </w:r>
          </w:p>
          <w:p>
            <w:pPr>
              <w:pStyle w:val="null3"/>
              <w:ind w:firstLine="56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、广联达计价软件GCCP7.0。</w:t>
            </w:r>
          </w:p>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饲料加工机</w:t>
            </w:r>
            <w:r>
              <w:rPr>
                <w:rFonts w:ascii="仿宋_GB2312" w:hAnsi="仿宋_GB2312" w:cs="仿宋_GB2312" w:eastAsia="仿宋_GB2312"/>
                <w:sz w:val="21"/>
                <w:b/>
                <w:color w:val="000000"/>
              </w:rPr>
              <w:t>、粉碎机及</w:t>
            </w:r>
            <w:r>
              <w:rPr>
                <w:rFonts w:ascii="仿宋_GB2312" w:hAnsi="仿宋_GB2312" w:cs="仿宋_GB2312" w:eastAsia="仿宋_GB2312"/>
                <w:sz w:val="21"/>
                <w:b/>
                <w:color w:val="000000"/>
              </w:rPr>
              <w:t>配套设施</w:t>
            </w:r>
            <w:r>
              <w:rPr>
                <w:rFonts w:ascii="仿宋_GB2312" w:hAnsi="仿宋_GB2312" w:cs="仿宋_GB2312" w:eastAsia="仿宋_GB2312"/>
                <w:sz w:val="21"/>
                <w:b/>
                <w:color w:val="000000"/>
              </w:rPr>
              <w:t>以暂估价形式计入，金额为29800.00元。</w:t>
            </w:r>
          </w:p>
          <w:p>
            <w:pPr>
              <w:pStyle w:val="null3"/>
              <w:jc w:val="left"/>
            </w:pPr>
            <w:r>
              <w:rPr>
                <w:rFonts w:ascii="仿宋_GB2312" w:hAnsi="仿宋_GB2312" w:cs="仿宋_GB2312" w:eastAsia="仿宋_GB2312"/>
                <w:sz w:val="21"/>
                <w:b/>
                <w:color w:val="000000"/>
              </w:rPr>
              <w:t>四、项目工期为：120天</w:t>
            </w:r>
          </w:p>
          <w:p>
            <w:pPr>
              <w:pStyle w:val="null3"/>
              <w:jc w:val="left"/>
            </w:pPr>
            <w:r>
              <w:rPr>
                <w:rFonts w:ascii="仿宋_GB2312" w:hAnsi="仿宋_GB2312" w:cs="仿宋_GB2312" w:eastAsia="仿宋_GB2312"/>
                <w:sz w:val="21"/>
                <w:b/>
                <w:color w:val="000000"/>
              </w:rPr>
              <w:t>五、本项目缺陷责任期为：2年</w:t>
            </w:r>
          </w:p>
          <w:p>
            <w:pPr>
              <w:pStyle w:val="null3"/>
              <w:jc w:val="left"/>
            </w:pPr>
            <w:r>
              <w:rPr>
                <w:rFonts w:ascii="仿宋_GB2312" w:hAnsi="仿宋_GB2312" w:cs="仿宋_GB2312" w:eastAsia="仿宋_GB2312"/>
                <w:sz w:val="21"/>
                <w:b/>
                <w:color w:val="000000"/>
              </w:rPr>
              <w:t>六、工程质量：达到国家及行业标准。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满⾜国家及⾏业现⾏技术规范标准，符合国家及⾏业验收合格标准。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以磋商⽂件要求为准。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在成交结果公⽰后，成交供应商向代理机构提交纸质响应⽂件叁份、分别胶装，加盖骑缝章，电⼦版U盘贰份，内容和通过电⼦化交易平台实施的政府采购项⽬提交的响应⽂件⼀致。2、保证⾦若以⾦融机构、担保机构出具的保函形式则须在开标前⼀个⼯作⽇告知采购代理机构（联系电话0916-2610065、邮箱1042853189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供应商应具备健全的财务会计制度、履⾏合同所需的设备和专业技术能⼒、依法缴纳税收和社会保障资⾦，以及参加本项⽬采购活动前3年内经营活动⽆重⼤违法记录；投标⼈未被列⼊“ 信⽤中国”⽹站(https://www.creditchina.gov.cn)“失信被执⾏⼈”“重⼤税收违法案件当事⼈名单”中，也未列⼊“中国政府采购⽹”(https://www.ccgp.gov.cn)的“政府采购严重违法失信⾏为记录名单”；拟参与本项⽬的投标⼈应按照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法定代表⼈⾝份证明或授权委托书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本采购包专⻔⾯向中⼩企业采购</w:t>
            </w:r>
          </w:p>
        </w:tc>
        <w:tc>
          <w:tcPr>
            <w:tcW w:type="dxa" w:w="3322"/>
          </w:tcPr>
          <w:p>
            <w:pPr>
              <w:pStyle w:val="null3"/>
            </w:pPr>
            <w:r>
              <w:rPr>
                <w:rFonts w:ascii="仿宋_GB2312" w:hAnsi="仿宋_GB2312" w:cs="仿宋_GB2312" w:eastAsia="仿宋_GB2312"/>
              </w:rPr>
              <w:t>本项⽬专⻔⾯向中⼩企业采购,供应商须提供《中⼩企业声明函》，供应商为监狱企业的 ，应提供监狱企业的证明⽂件；供应商为残疾⼈福利性单位的，应提供《残疾⼈福利性单位声明函》(监狱企业或残疾⼈福利性单位视同⼩型、微型企业)；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政主管部⻔核发的建筑⼯程施⼯总承包三级及以上资质，具有有效的安全⽣产许可证；拟派项⽬经理须具备建筑⼯程专业⼆级及以上注册建造师执业资格和有效的安全考核合格B证，且⽆在建项⽬（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响应⽂件按磋商⽂件要求进⾏电⼦签章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响应文件封面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响应文件封面 评审方案.docx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供应商提供针对本项⽬的施⼯⽅案，包括但不限于:①编制完善的施⼯组织设计；②本项⽬实施重难点分析；③劳动⼒保障⽅案；④机械设备清单及维护⽅案；⑤验收交付⽅案；⑥应急管理措施。以上各项内容全⾯明确、阐述条理清晰得18分，每缺⼀项扣3分，每项中的内容存在缺陷，扣1-2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供应商针对本项⽬有具体的质量保证措施。包括但不限于：①质量保证体系；②质量保证的具体措施。以上各项内容全⾯明确、阐述条理清晰得10分，每缺⼀项扣5分，每项中的内容存在缺陷，扣1-4分，扣完为⽌。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供应商针对本项⽬有具体的⼯期保证措施。包括但不限于：①具体可⾏的施⼯进度计划表（图）；②⼯期保证的具体措施。以上各项内容全⾯明确、阐述条理清晰得10分，每缺⼀项扣5分，每项中的内容存在缺陷，扣1-4分，扣完为⽌ 。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确保安全⽣产组织措施</w:t>
            </w:r>
          </w:p>
        </w:tc>
        <w:tc>
          <w:tcPr>
            <w:tcW w:type="dxa" w:w="2492"/>
          </w:tcPr>
          <w:p>
            <w:pPr>
              <w:pStyle w:val="null3"/>
            </w:pPr>
            <w:r>
              <w:rPr>
                <w:rFonts w:ascii="仿宋_GB2312" w:hAnsi="仿宋_GB2312" w:cs="仿宋_GB2312" w:eastAsia="仿宋_GB2312"/>
              </w:rPr>
              <w:t>供应商针对本项⽬有具体的安全⽣产组织措施。包括但不限于：①安全保证体系；②安全保证的具体措施。以上各项内容全⾯明确、阐述条理清晰得10分，每缺⼀项扣5分，每项中的内容存在缺陷，扣1-4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确保⽂明施⼯的技术组织措施及环境保护措施</w:t>
            </w:r>
          </w:p>
        </w:tc>
        <w:tc>
          <w:tcPr>
            <w:tcW w:type="dxa" w:w="2492"/>
          </w:tcPr>
          <w:p>
            <w:pPr>
              <w:pStyle w:val="null3"/>
            </w:pPr>
            <w:r>
              <w:rPr>
                <w:rFonts w:ascii="仿宋_GB2312" w:hAnsi="仿宋_GB2312" w:cs="仿宋_GB2312" w:eastAsia="仿宋_GB2312"/>
              </w:rPr>
              <w:t>供应商针对本项⽬有具体的确保⽂明施⼯及环境保护措施。包括但不限于：①⽂明施⼯保障体系；②⽂明施⼯保障措施；③环境保护体系；④环境保护措施；⑤扬尘治理措施。以上各项内容全⾯明确、阐述条理清晰得10分，每缺⼀项扣2分，每项中的内容存在缺陷，扣0.5-1.5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项⽬经理部组成⼈员</w:t>
            </w:r>
          </w:p>
        </w:tc>
        <w:tc>
          <w:tcPr>
            <w:tcW w:type="dxa" w:w="2492"/>
          </w:tcPr>
          <w:p>
            <w:pPr>
              <w:pStyle w:val="null3"/>
            </w:pPr>
            <w:r>
              <w:rPr>
                <w:rFonts w:ascii="仿宋_GB2312" w:hAnsi="仿宋_GB2312" w:cs="仿宋_GB2312" w:eastAsia="仿宋_GB2312"/>
              </w:rPr>
              <w:t>供应商针对本项⽬有具体的配置⼈员专业、数量、职称及相关经验，详细的实施⼈员安排，分⼯合理、责任明确。包括但不限于：①团队⼈员配置清单及岗位职责、且证书证件合格有效；②提供⼈员到场及不更换⼈员承诺。以上各项内容全⾯明确、阐述条理清晰得10分，每缺⼀项扣5分，每项中的内容存在缺陷，扣1-4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供应商提供2023年1⽉1⽇⾄今完成的类似业绩证明，每提供⼀份计2.0分，最⾼计2.0分；（以合同签订时间为准） 注：业绩须是供应商完成的类似项⽬，以成交通知书或协议书（合同）为准。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限价，即报价⼤于上限价视为⽆效标；2、以满⾜本次磋商⽂件要求的最低报价为评审基准价，其价格为满分；3、投标供应商报价得分=（评审基准价/报价）×30（本项⽬为专⻔⾯向中⼩企业采购项⽬，不再执⾏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详见附件：评审方案.docx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