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版本号：HCLG2026-02120260528003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干燥系统及高温高压真空热压炉及白光干涉形貌仪</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HCLG2026-021</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华春建设工程项目管理有限责任公司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华春建设工程项目管理有限责任公司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干燥系统及高温高压真空热压炉及白光干涉形貌仪</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HCLG2026-021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干燥系统及高温高压真空热压炉及白光干涉形貌仪</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采购干燥系统、高温高压真空热压炉、白光干涉形貌仪设备, 具体内容详见招标文件。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采购包1（干燥系统）：属于专门面向null采购。</w:t>
      </w:r>
    </w:p>
    <w:p>
      <w:pPr>
        <w:pStyle w:val="null3"/>
      </w:pPr>
      <w:r>
        <w:rPr>
          <w:rFonts w:ascii="仿宋_GB2312" w:hAnsi="仿宋_GB2312" w:cs="仿宋_GB2312" w:eastAsia="仿宋_GB2312"/>
        </w:rPr>
        <w:t>采购包2（高温高压真空热压炉）：属于专门面向null采购。</w:t>
      </w:r>
    </w:p>
    <w:p>
      <w:pPr>
        <w:pStyle w:val="null3"/>
      </w:pPr>
      <w:r>
        <w:rPr>
          <w:rFonts w:ascii="仿宋_GB2312" w:hAnsi="仿宋_GB2312" w:cs="仿宋_GB2312" w:eastAsia="仿宋_GB2312"/>
        </w:rPr>
        <w:t>采购包3（白光干涉形貌仪）：属于专门面向null采购。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务报表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以上形式的资料提供任何一种即可）</w:t>
      </w:r>
    </w:p>
    <w:p>
      <w:pPr>
        <w:pStyle w:val="null3"/>
      </w:pPr>
      <w:r>
        <w:rPr>
          <w:rFonts w:ascii="仿宋_GB2312" w:hAnsi="仿宋_GB2312" w:cs="仿宋_GB2312" w:eastAsia="仿宋_GB2312"/>
        </w:rPr>
        <w:t>3、税收缴纳证明：提供投标文件截止时间前一年内任意一个月的证明（时间以税款所属日期为准），凭据应有税务机关或代收机关的公章或业务专用章。依法免税或无须缴纳税收的投标人，应提供相应证明文件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4、社会保障资金缴纳证明：提提供投标文件截止时间前一年内任意一个月的社会保障资金缴存单据或社保机构开具的社会保险参保缴费情况证明，依法不需要缴纳社会保障资金的单位应提供相关证明材料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失信主体、严重失信主体名单的书面声明。本项目拒绝被列入失信被执行人、重大税收违法失信主体、严重失信主体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7、法定代表人授权书：法定代表人授权书及被授权人身份证复印件。（法定代表人直接投标只须提交其身份证明书）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务状况报告：财务报表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以上形式的资料提供任何一种即可）</w:t>
      </w:r>
    </w:p>
    <w:p>
      <w:pPr>
        <w:pStyle w:val="null3"/>
      </w:pPr>
      <w:r>
        <w:rPr>
          <w:rFonts w:ascii="仿宋_GB2312" w:hAnsi="仿宋_GB2312" w:cs="仿宋_GB2312" w:eastAsia="仿宋_GB2312"/>
        </w:rPr>
        <w:t>3、税收缴纳证明：提供投标文件截止时间前一年内任意一个月的证明（时间以税款所属日期为准），凭据应有税务机关或代收机关的公章或业务专用章。依法免税或无须缴纳税收的投标人，应提供相应证明文件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4、会保障资金缴纳证明：提提供投标文件截止时间前一年内任意一个月的社会保障资金缴存单据或社保机构开具的社会保险参保缴费情况证明，依法不需要缴纳社会保障资金的单位应提供相关证明材料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失信主体、严重失信主体名单的书面声明。本项目拒绝被列入失信被执行人、重大税收违法失信主体、严重失信主体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7、法定代表人授权书：法定代表人授权书及被授权人身份证复印件。（法定代表人直接投标只须提交其身份证明书）</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财务报表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以上形式的资料提供任何一种即可）</w:t>
      </w:r>
    </w:p>
    <w:p>
      <w:pPr>
        <w:pStyle w:val="null3"/>
      </w:pPr>
      <w:r>
        <w:rPr>
          <w:rFonts w:ascii="仿宋_GB2312" w:hAnsi="仿宋_GB2312" w:cs="仿宋_GB2312" w:eastAsia="仿宋_GB2312"/>
        </w:rPr>
        <w:t>3、税收缴纳证明：提供投标文件截止时间前一年内任意一个月的证明（时间以税款所属日期为准），凭据应有税务机关或代收机关的公章或业务专用章。依法免税或无须缴纳税收的投标人，应提供相应证明文件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4、社会保障资金缴纳证明：提提供投标文件截止时间前一年内任意一个月的社会保障资金缴存单据或社保机构开具的社会保险参保缴费情况证明，依法不需要缴纳社会保障资金的单位应提供相关证明材料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失信主体、严重失信主体名单的书面声明。本项目拒绝被列入失信被执行人、重大税收违法失信主体、严重失信主体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7、法定代表人授权书：法定代表人授权书及被授权人身份证复印件。（法定代表人直接投标只须提交其身份证明书）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俞博洋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029-82312890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华春建设工程项目管理有限责任公司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陕西省西安市碑林区西安市碑林区南二环西段21号华融国际商务大厦B-1701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王莉 解征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13259773661/02989115858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采购包1：490,000.00元</w:t>
            </w:r>
          </w:p>
          <w:p>
            <w:pPr>
              <w:pStyle w:val="null3"/>
            </w:pPr>
            <w:r>
              <w:rPr>
                <w:rFonts w:ascii="仿宋_GB2312" w:hAnsi="仿宋_GB2312" w:cs="仿宋_GB2312" w:eastAsia="仿宋_GB2312"/>
              </w:rPr>
              <w:t>采购包2：480,000.00元</w:t>
            </w:r>
          </w:p>
          <w:p>
            <w:pPr>
              <w:pStyle w:val="null3"/>
            </w:pPr>
            <w:r>
              <w:rPr>
                <w:rFonts w:ascii="仿宋_GB2312" w:hAnsi="仿宋_GB2312" w:cs="仿宋_GB2312" w:eastAsia="仿宋_GB2312"/>
              </w:rPr>
              <w:t>采购包3：520,000.00元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采购包2保证金金额：7,000.00元</w:t>
            </w:r>
          </w:p>
          <w:p>
            <w:pPr>
              <w:pStyle w:val="null3"/>
            </w:pPr>
            <w:r>
              <w:rPr>
                <w:rFonts w:ascii="仿宋_GB2312" w:hAnsi="仿宋_GB2312" w:cs="仿宋_GB2312" w:eastAsia="仿宋_GB2312"/>
              </w:rPr>
              <w:t>采购包3保证金金额：9,000.00元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开户名称：华春建设工程项目管理有限责任公司</w:t>
            </w:r>
          </w:p>
          <w:p>
            <w:pPr>
              <w:pStyle w:val="null3"/>
            </w:pPr>
            <w:r>
              <w:rPr>
                <w:rFonts w:ascii="仿宋_GB2312" w:hAnsi="仿宋_GB2312" w:cs="仿宋_GB2312" w:eastAsia="仿宋_GB2312"/>
              </w:rPr>
              <w:t>开户银行：平安银行西安分行营业部</w:t>
            </w:r>
          </w:p>
          <w:p>
            <w:pPr>
              <w:pStyle w:val="null3"/>
            </w:pPr>
            <w:r>
              <w:rPr>
                <w:rFonts w:ascii="仿宋_GB2312" w:hAnsi="仿宋_GB2312" w:cs="仿宋_GB2312" w:eastAsia="仿宋_GB2312"/>
              </w:rPr>
              <w:t>银行账号：30208471002889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说明：本采购包履约保证金为合同金额的5% 说明：履约保证金金额为合同总价的5%。在签订政府采购合同前，中标投标人向采购人缴纳履约保证金，最终验收合格后采购人无息退还。</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说明：本采购包履约保证金为合同金额的5% 说明：履约保证金金额为合同总价的5%。在签订政府采购合同前，中标投标人向采购人缴纳履约保证金，最终验收合格后采购人无息退还。</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说明：本采购包履约保证金为合同金额的5% 说明：履约保证金金额为合同总价的5%。在签订政府采购合同前，中标投标人向采购人缴纳履约保证金，最终验收合格后采购人无息退还。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代理服务费收费标准：1.代理服务费按约定由成交供应商支付，按包收取，领取成交通知书前，由成交供应商向采购代理机构缴纳代理服务费，一次性付清。 2.代理服务费参考国家计委《招标代理服务收费管理暂行办法》计价格[2002]1980号规定标准的62%收取。80万以下项目按代理协议约定支付3000元/包。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华春建设工程项目管理有限责任公司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华春建设工程项目管理有限责任公司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华春建设工程项目管理有限责任公司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详见招标文件及合同约定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详见招标文件及合同约定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联系人：王莉</w:t>
      </w:r>
    </w:p>
    <w:p>
      <w:pPr>
        <w:pStyle w:val="null3"/>
      </w:pPr>
      <w:r>
        <w:rPr>
          <w:rFonts w:ascii="仿宋_GB2312" w:hAnsi="仿宋_GB2312" w:cs="仿宋_GB2312" w:eastAsia="仿宋_GB2312"/>
        </w:rPr>
        <w:t>联系电话：13259773661</w:t>
      </w:r>
    </w:p>
    <w:p>
      <w:pPr>
        <w:pStyle w:val="null3"/>
      </w:pPr>
      <w:r>
        <w:rPr>
          <w:rFonts w:ascii="仿宋_GB2312" w:hAnsi="仿宋_GB2312" w:cs="仿宋_GB2312" w:eastAsia="仿宋_GB2312"/>
        </w:rPr>
        <w:t>地址：陕西省西安市碑林区南二环西段21号华融国际商务大厦B-1701</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采购干燥系统、高温高压真空热压炉、白光干涉形貌仪设备, 具体内容详见招标文件。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490,000.00</w:t>
      </w:r>
    </w:p>
    <w:p>
      <w:pPr>
        <w:pStyle w:val="null3"/>
      </w:pPr>
      <w:r>
        <w:rPr>
          <w:rFonts w:ascii="仿宋_GB2312" w:hAnsi="仿宋_GB2312" w:cs="仿宋_GB2312" w:eastAsia="仿宋_GB2312"/>
        </w:rPr>
        <w:t>采购包最高限价（元）: 440,000.00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干燥系统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490,000.00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480,000.00</w:t>
      </w:r>
    </w:p>
    <w:p>
      <w:pPr>
        <w:pStyle w:val="null3"/>
      </w:pPr>
      <w:r>
        <w:rPr>
          <w:rFonts w:ascii="仿宋_GB2312" w:hAnsi="仿宋_GB2312" w:cs="仿宋_GB2312" w:eastAsia="仿宋_GB2312"/>
        </w:rPr>
        <w:t>采购包最高限价（元）: 480,000.00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高温高压真空热压炉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480,000.00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520,000.00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白光干涉形貌仪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520,000.00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标的名称：干燥系统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rPr>
              <w:t>配置清单</w:t>
            </w:r>
          </w:p>
          <w:p>
            <w:pPr>
              <w:pStyle w:val="null3"/>
              <w:jc w:val="left"/>
            </w:pPr>
            <w:r>
              <w:rPr>
                <w:rFonts w:ascii="仿宋_GB2312" w:hAnsi="仿宋_GB2312" w:cs="仿宋_GB2312" w:eastAsia="仿宋_GB2312"/>
                <w:sz w:val="20"/>
              </w:rPr>
              <w:t>全自动超临界干燥仪主机</w:t>
            </w:r>
            <w:r>
              <w:rPr>
                <w:rFonts w:ascii="仿宋_GB2312" w:hAnsi="仿宋_GB2312" w:cs="仿宋_GB2312" w:eastAsia="仿宋_GB2312"/>
                <w:sz w:val="20"/>
              </w:rPr>
              <w:t>(尺寸70cm*60cm*55cm)</w:t>
            </w:r>
          </w:p>
          <w:p>
            <w:pPr>
              <w:pStyle w:val="null3"/>
              <w:jc w:val="left"/>
            </w:pPr>
            <w:r>
              <w:rPr>
                <w:rFonts w:ascii="仿宋_GB2312" w:hAnsi="仿宋_GB2312" w:cs="仿宋_GB2312" w:eastAsia="仿宋_GB2312"/>
                <w:sz w:val="20"/>
              </w:rPr>
              <w:t>冷冻干燥主机</w:t>
            </w:r>
          </w:p>
          <w:p>
            <w:pPr>
              <w:pStyle w:val="null3"/>
              <w:jc w:val="left"/>
            </w:pPr>
            <w:r>
              <w:rPr>
                <w:rFonts w:ascii="仿宋_GB2312" w:hAnsi="仿宋_GB2312" w:cs="仿宋_GB2312" w:eastAsia="仿宋_GB2312"/>
                <w:sz w:val="20"/>
              </w:rPr>
              <w:t>二氧化碳高压输送泵</w:t>
            </w:r>
          </w:p>
          <w:p>
            <w:pPr>
              <w:pStyle w:val="null3"/>
              <w:jc w:val="left"/>
            </w:pPr>
            <w:r>
              <w:rPr>
                <w:rFonts w:ascii="仿宋_GB2312" w:hAnsi="仿宋_GB2312" w:cs="仿宋_GB2312" w:eastAsia="仿宋_GB2312"/>
                <w:sz w:val="20"/>
              </w:rPr>
              <w:t>样品专用支架</w:t>
            </w:r>
            <w:r>
              <w:rPr>
                <w:rFonts w:ascii="仿宋_GB2312" w:hAnsi="仿宋_GB2312" w:cs="仿宋_GB2312" w:eastAsia="仿宋_GB2312"/>
                <w:sz w:val="20"/>
              </w:rPr>
              <w:t>2个</w:t>
            </w:r>
          </w:p>
          <w:p>
            <w:pPr>
              <w:pStyle w:val="null3"/>
              <w:jc w:val="left"/>
            </w:pPr>
            <w:r>
              <w:rPr>
                <w:rFonts w:ascii="仿宋_GB2312" w:hAnsi="仿宋_GB2312" w:cs="仿宋_GB2312" w:eastAsia="仿宋_GB2312"/>
                <w:sz w:val="20"/>
              </w:rPr>
              <w:t>样品池填充环</w:t>
            </w:r>
            <w:r>
              <w:rPr>
                <w:rFonts w:ascii="仿宋_GB2312" w:hAnsi="仿宋_GB2312" w:cs="仿宋_GB2312" w:eastAsia="仿宋_GB2312"/>
                <w:sz w:val="20"/>
              </w:rPr>
              <w:t>1个</w:t>
            </w:r>
          </w:p>
          <w:p>
            <w:pPr>
              <w:pStyle w:val="null3"/>
              <w:jc w:val="left"/>
            </w:pPr>
            <w:r>
              <w:rPr>
                <w:rFonts w:ascii="仿宋_GB2312" w:hAnsi="仿宋_GB2312" w:cs="仿宋_GB2312" w:eastAsia="仿宋_GB2312"/>
                <w:sz w:val="20"/>
              </w:rPr>
              <w:t>柔性高压</w:t>
            </w:r>
            <w:r>
              <w:rPr>
                <w:rFonts w:ascii="仿宋_GB2312" w:hAnsi="仿宋_GB2312" w:cs="仿宋_GB2312" w:eastAsia="仿宋_GB2312"/>
                <w:sz w:val="20"/>
              </w:rPr>
              <w:t>LCO2管线，1.5米</w:t>
            </w:r>
          </w:p>
          <w:p>
            <w:pPr>
              <w:pStyle w:val="null3"/>
              <w:jc w:val="left"/>
            </w:pPr>
            <w:r>
              <w:rPr>
                <w:rFonts w:ascii="仿宋_GB2312" w:hAnsi="仿宋_GB2312" w:cs="仿宋_GB2312" w:eastAsia="仿宋_GB2312"/>
                <w:sz w:val="20"/>
              </w:rPr>
              <w:t>外置过滤器（过滤精度：</w:t>
            </w:r>
            <w:r>
              <w:rPr>
                <w:rFonts w:ascii="仿宋_GB2312" w:hAnsi="仿宋_GB2312" w:cs="仿宋_GB2312" w:eastAsia="仿宋_GB2312"/>
                <w:sz w:val="20"/>
              </w:rPr>
              <w:t>0.5um）</w:t>
            </w:r>
          </w:p>
          <w:p>
            <w:pPr>
              <w:pStyle w:val="null3"/>
            </w:pPr>
            <w:r>
              <w:rPr>
                <w:rFonts w:ascii="仿宋_GB2312" w:hAnsi="仿宋_GB2312" w:cs="仿宋_GB2312" w:eastAsia="仿宋_GB2312"/>
                <w:sz w:val="20"/>
              </w:rPr>
              <w:t>备用样品室专用密封环</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0"/>
              </w:rPr>
              <w:t>干燥系统具体参数</w:t>
            </w:r>
          </w:p>
          <w:p>
            <w:pPr>
              <w:pStyle w:val="null3"/>
              <w:jc w:val="both"/>
            </w:pPr>
            <w:r>
              <w:rPr>
                <w:rFonts w:ascii="仿宋_GB2312" w:hAnsi="仿宋_GB2312" w:cs="仿宋_GB2312" w:eastAsia="仿宋_GB2312"/>
                <w:sz w:val="20"/>
              </w:rPr>
              <w:t>★1、</w:t>
            </w:r>
            <w:r>
              <w:rPr>
                <w:rFonts w:ascii="仿宋_GB2312" w:hAnsi="仿宋_GB2312" w:cs="仿宋_GB2312" w:eastAsia="仿宋_GB2312"/>
                <w:sz w:val="21"/>
              </w:rPr>
              <w:t>10</w:t>
            </w:r>
            <w:r>
              <w:rPr>
                <w:rFonts w:ascii="仿宋_GB2312" w:hAnsi="仿宋_GB2312" w:cs="仿宋_GB2312" w:eastAsia="仿宋_GB2312"/>
                <w:sz w:val="21"/>
              </w:rPr>
              <w:t>寸触摸屏操作，</w:t>
            </w:r>
            <w:r>
              <w:rPr>
                <w:rFonts w:ascii="仿宋_GB2312" w:hAnsi="仿宋_GB2312" w:cs="仿宋_GB2312" w:eastAsia="仿宋_GB2312"/>
                <w:sz w:val="21"/>
              </w:rPr>
              <w:t>PLC</w:t>
            </w:r>
            <w:r>
              <w:rPr>
                <w:rFonts w:ascii="仿宋_GB2312" w:hAnsi="仿宋_GB2312" w:cs="仿宋_GB2312" w:eastAsia="仿宋_GB2312"/>
                <w:sz w:val="21"/>
              </w:rPr>
              <w:t>程序控制</w:t>
            </w:r>
            <w:r>
              <w:rPr>
                <w:rFonts w:ascii="仿宋_GB2312" w:hAnsi="仿宋_GB2312" w:cs="仿宋_GB2312" w:eastAsia="仿宋_GB2312"/>
                <w:sz w:val="21"/>
              </w:rPr>
              <w:t>;</w:t>
            </w:r>
            <w:r>
              <w:rPr>
                <w:rFonts w:ascii="仿宋_GB2312" w:hAnsi="仿宋_GB2312" w:cs="仿宋_GB2312" w:eastAsia="仿宋_GB2312"/>
                <w:sz w:val="21"/>
              </w:rPr>
              <w:t>220V</w:t>
            </w:r>
            <w:r>
              <w:rPr>
                <w:rFonts w:ascii="仿宋_GB2312" w:hAnsi="仿宋_GB2312" w:cs="仿宋_GB2312" w:eastAsia="仿宋_GB2312"/>
                <w:sz w:val="21"/>
              </w:rPr>
              <w:t>电源，功率不超过</w:t>
            </w:r>
            <w:r>
              <w:rPr>
                <w:rFonts w:ascii="仿宋_GB2312" w:hAnsi="仿宋_GB2312" w:cs="仿宋_GB2312" w:eastAsia="仿宋_GB2312"/>
                <w:sz w:val="21"/>
              </w:rPr>
              <w:t>3000w</w:t>
            </w:r>
            <w:r>
              <w:rPr>
                <w:rFonts w:ascii="仿宋_GB2312" w:hAnsi="仿宋_GB2312" w:cs="仿宋_GB2312" w:eastAsia="仿宋_GB2312"/>
                <w:sz w:val="21"/>
              </w:rPr>
              <w:t>；</w:t>
            </w:r>
          </w:p>
          <w:p>
            <w:pPr>
              <w:pStyle w:val="null3"/>
              <w:jc w:val="both"/>
            </w:pPr>
            <w:r>
              <w:rPr>
                <w:rFonts w:ascii="仿宋_GB2312" w:hAnsi="仿宋_GB2312" w:cs="仿宋_GB2312" w:eastAsia="仿宋_GB2312"/>
                <w:sz w:val="20"/>
              </w:rPr>
              <w:t>2、内置不少于5种材料干燥流程可选</w:t>
            </w:r>
            <w:r>
              <w:rPr>
                <w:rFonts w:ascii="仿宋_GB2312" w:hAnsi="仿宋_GB2312" w:cs="仿宋_GB2312" w:eastAsia="仿宋_GB2312"/>
                <w:sz w:val="20"/>
              </w:rPr>
              <w:t>，需包含这三种，</w:t>
            </w:r>
            <w:r>
              <w:rPr>
                <w:rFonts w:ascii="仿宋_GB2312" w:hAnsi="仿宋_GB2312" w:cs="仿宋_GB2312" w:eastAsia="仿宋_GB2312"/>
                <w:sz w:val="20"/>
              </w:rPr>
              <w:t>扫描电镜样品、气凝胶样品、半导体晶圆片样品超临界干燥方案</w:t>
            </w:r>
            <w:r>
              <w:rPr>
                <w:rFonts w:ascii="仿宋_GB2312" w:hAnsi="仿宋_GB2312" w:cs="仿宋_GB2312" w:eastAsia="仿宋_GB2312"/>
                <w:sz w:val="20"/>
              </w:rPr>
              <w:t>,</w:t>
            </w:r>
            <w:r>
              <w:rPr>
                <w:rFonts w:ascii="仿宋_GB2312" w:hAnsi="仿宋_GB2312" w:cs="仿宋_GB2312" w:eastAsia="仿宋_GB2312"/>
                <w:sz w:val="20"/>
              </w:rPr>
              <w:t>支持自定义；</w:t>
            </w:r>
          </w:p>
          <w:p>
            <w:pPr>
              <w:pStyle w:val="null3"/>
              <w:jc w:val="both"/>
            </w:pPr>
            <w:r>
              <w:rPr>
                <w:rFonts w:ascii="仿宋_GB2312" w:hAnsi="仿宋_GB2312" w:cs="仿宋_GB2312" w:eastAsia="仿宋_GB2312"/>
                <w:sz w:val="20"/>
              </w:rPr>
              <w:t>3、干燥釜：容积≥3 L，直径≥200 mm，高度≥100 mm，数量：1个，316不锈钢材质整体加工，耐压压力0-20 MPa，附带出厂压力检测证明，配有电加热及保温系统，温度室温-100℃可调；</w:t>
            </w:r>
          </w:p>
          <w:p>
            <w:pPr>
              <w:pStyle w:val="null3"/>
              <w:jc w:val="both"/>
            </w:pPr>
            <w:r>
              <w:rPr>
                <w:rFonts w:ascii="仿宋_GB2312" w:hAnsi="仿宋_GB2312" w:cs="仿宋_GB2312" w:eastAsia="仿宋_GB2312"/>
                <w:sz w:val="20"/>
              </w:rPr>
              <w:t>▲4、干燥釜视窗：顶部具有视窗，可视直径：40 mm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▲5、分离釜：容积1L，316不锈钢材质一体加工，耐压压力0-20 MPa，配有电加热及保温系统，温度室温-100℃可调，具有视窗；</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CO₂</w:t>
            </w:r>
            <w:r>
              <w:rPr>
                <w:rFonts w:ascii="仿宋_GB2312" w:hAnsi="仿宋_GB2312" w:cs="仿宋_GB2312" w:eastAsia="仿宋_GB2312"/>
                <w:sz w:val="20"/>
              </w:rPr>
              <w:t>高压输送泵：</w:t>
            </w:r>
            <w:r>
              <w:rPr>
                <w:rFonts w:ascii="仿宋_GB2312" w:hAnsi="仿宋_GB2312" w:cs="仿宋_GB2312" w:eastAsia="仿宋_GB2312"/>
                <w:sz w:val="20"/>
              </w:rPr>
              <w:t>流速：</w:t>
            </w:r>
            <w:r>
              <w:rPr>
                <w:rFonts w:ascii="仿宋_GB2312" w:hAnsi="仿宋_GB2312" w:cs="仿宋_GB2312" w:eastAsia="仿宋_GB2312"/>
                <w:sz w:val="20"/>
              </w:rPr>
              <w:t>0-100 ml/min，压力0-40 MPa，内置压缩机泵头制冷，7寸触摸屏操作，恒流恒压模式可选</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CO₂</w:t>
            </w:r>
            <w:r>
              <w:rPr>
                <w:rFonts w:ascii="仿宋_GB2312" w:hAnsi="仿宋_GB2312" w:cs="仿宋_GB2312" w:eastAsia="仿宋_GB2312"/>
                <w:sz w:val="20"/>
              </w:rPr>
              <w:t>高压储罐：</w:t>
            </w:r>
            <w:r>
              <w:rPr>
                <w:rFonts w:ascii="仿宋_GB2312" w:hAnsi="仿宋_GB2312" w:cs="仿宋_GB2312" w:eastAsia="仿宋_GB2312"/>
                <w:sz w:val="20"/>
              </w:rPr>
              <w:t>容积</w:t>
            </w:r>
            <w:r>
              <w:rPr>
                <w:rFonts w:ascii="仿宋_GB2312" w:hAnsi="仿宋_GB2312" w:cs="仿宋_GB2312" w:eastAsia="仿宋_GB2312"/>
                <w:sz w:val="20"/>
              </w:rPr>
              <w:t>750 ml，316不锈钢材质一体加工，压缩机制冷系统，制冷范围-5℃-室温。设计耐压压力20 MPa</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冻干面积</w:t>
            </w:r>
            <w:r>
              <w:rPr>
                <w:rFonts w:ascii="仿宋_GB2312" w:hAnsi="仿宋_GB2312" w:cs="仿宋_GB2312" w:eastAsia="仿宋_GB2312"/>
                <w:sz w:val="20"/>
              </w:rPr>
              <w:t>≥0.2 m</w:t>
            </w:r>
            <w:r>
              <w:rPr>
                <w:rFonts w:ascii="仿宋_GB2312" w:hAnsi="仿宋_GB2312" w:cs="仿宋_GB2312" w:eastAsia="仿宋_GB2312"/>
                <w:sz w:val="20"/>
              </w:rPr>
              <w:t>2</w:t>
            </w:r>
            <w:r>
              <w:rPr>
                <w:rFonts w:ascii="仿宋_GB2312" w:hAnsi="仿宋_GB2312" w:cs="仿宋_GB2312" w:eastAsia="仿宋_GB2312"/>
                <w:sz w:val="20"/>
              </w:rPr>
              <w:t>；冷阱温度</w:t>
            </w:r>
            <w:r>
              <w:rPr>
                <w:rFonts w:ascii="仿宋_GB2312" w:hAnsi="仿宋_GB2312" w:cs="仿宋_GB2312" w:eastAsia="仿宋_GB2312"/>
                <w:sz w:val="20"/>
              </w:rPr>
              <w:t>≤-80 ℃；层板温度≤-50 ℃；捕水能力≥4 L；有冻干自动控制系统</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气路控制系统：自动控制的高压背压阀及微调阀组，排气流速范围：</w:t>
            </w:r>
            <w:r>
              <w:rPr>
                <w:rFonts w:ascii="仿宋_GB2312" w:hAnsi="仿宋_GB2312" w:cs="仿宋_GB2312" w:eastAsia="仿宋_GB2312"/>
                <w:sz w:val="20"/>
              </w:rPr>
              <w:t>10 ml/min-20 L/min</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10、</w:t>
            </w:r>
            <w:r>
              <w:rPr>
                <w:rFonts w:ascii="仿宋_GB2312" w:hAnsi="仿宋_GB2312" w:cs="仿宋_GB2312" w:eastAsia="仿宋_GB2312"/>
                <w:sz w:val="20"/>
              </w:rPr>
              <w:t>CO₂</w:t>
            </w:r>
            <w:r>
              <w:rPr>
                <w:rFonts w:ascii="仿宋_GB2312" w:hAnsi="仿宋_GB2312" w:cs="仿宋_GB2312" w:eastAsia="仿宋_GB2312"/>
                <w:sz w:val="20"/>
              </w:rPr>
              <w:t>循环系统：</w:t>
            </w:r>
            <w:r>
              <w:rPr>
                <w:rFonts w:ascii="仿宋_GB2312" w:hAnsi="仿宋_GB2312" w:cs="仿宋_GB2312" w:eastAsia="仿宋_GB2312"/>
                <w:sz w:val="20"/>
              </w:rPr>
              <w:t>耐高压管路和双级过滤系统组成</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11、安全系统：</w:t>
            </w:r>
            <w:r>
              <w:rPr>
                <w:rFonts w:ascii="仿宋_GB2312" w:hAnsi="仿宋_GB2312" w:cs="仿宋_GB2312" w:eastAsia="仿宋_GB2312"/>
                <w:sz w:val="20"/>
              </w:rPr>
              <w:t>所有高压容器均配有自动泄压系统，软件具有超压报警和自动停止功能</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12、316L不锈钢管路，耐压40 MPa，管径为1/8英寸</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13、加热系统：</w:t>
            </w:r>
            <w:r>
              <w:rPr>
                <w:rFonts w:ascii="仿宋_GB2312" w:hAnsi="仿宋_GB2312" w:cs="仿宋_GB2312" w:eastAsia="仿宋_GB2312"/>
                <w:sz w:val="20"/>
              </w:rPr>
              <w:t>电加热温控，两路温度传感器，控制范围：室温</w:t>
            </w:r>
            <w:r>
              <w:rPr>
                <w:rFonts w:ascii="仿宋_GB2312" w:hAnsi="仿宋_GB2312" w:cs="仿宋_GB2312" w:eastAsia="仿宋_GB2312"/>
                <w:sz w:val="20"/>
              </w:rPr>
              <w:t>~100℃可调，控温精度 ±1℃</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14、</w:t>
            </w:r>
            <w:r>
              <w:rPr>
                <w:rFonts w:ascii="仿宋_GB2312" w:hAnsi="仿宋_GB2312" w:cs="仿宋_GB2312" w:eastAsia="仿宋_GB2312"/>
                <w:sz w:val="20"/>
              </w:rPr>
              <w:t>完备的过滤系统，外置和内置</w:t>
            </w:r>
            <w:r>
              <w:rPr>
                <w:rFonts w:ascii="仿宋_GB2312" w:hAnsi="仿宋_GB2312" w:cs="仿宋_GB2312" w:eastAsia="仿宋_GB2312"/>
                <w:sz w:val="20"/>
              </w:rPr>
              <w:t>0.5 μm过滤器保护样品与阀门</w:t>
            </w:r>
            <w:r>
              <w:rPr>
                <w:rFonts w:ascii="仿宋_GB2312" w:hAnsi="仿宋_GB2312" w:cs="仿宋_GB2312" w:eastAsia="仿宋_GB2312"/>
                <w:sz w:val="20"/>
              </w:rPr>
              <w:t>；</w:t>
            </w:r>
          </w:p>
          <w:p>
            <w:pPr>
              <w:pStyle w:val="null3"/>
            </w:pPr>
            <w:r>
              <w:rPr>
                <w:rFonts w:ascii="仿宋_GB2312" w:hAnsi="仿宋_GB2312" w:cs="仿宋_GB2312" w:eastAsia="仿宋_GB2312"/>
                <w:sz w:val="20"/>
              </w:rPr>
              <w:t>15、外观：台式款，桌面放置，占地面积≤1</w:t>
            </w:r>
            <w:r>
              <w:rPr>
                <w:rFonts w:ascii="仿宋_GB2312" w:hAnsi="仿宋_GB2312" w:cs="仿宋_GB2312" w:eastAsia="仿宋_GB2312"/>
                <w:sz w:val="21"/>
              </w:rPr>
              <w:t>m</w:t>
            </w:r>
            <w:r>
              <w:rPr>
                <w:rFonts w:ascii="仿宋_GB2312" w:hAnsi="仿宋_GB2312" w:cs="仿宋_GB2312" w:eastAsia="仿宋_GB2312"/>
                <w:sz w:val="21"/>
                <w:vertAlign w:val="superscript"/>
              </w:rPr>
              <w:t>2</w:t>
            </w:r>
            <w:r>
              <w:rPr>
                <w:rFonts w:ascii="仿宋_GB2312" w:hAnsi="仿宋_GB2312" w:cs="仿宋_GB2312" w:eastAsia="仿宋_GB2312"/>
                <w:sz w:val="20"/>
              </w:rPr>
              <w:t>，操作简便。</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标的名称：高温高压真空热压炉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配置清单</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 ▲高温高压真空热压炉包含加热系统、加压系统、真空系统、控制系统</w:t>
            </w:r>
          </w:p>
          <w:p>
            <w:pPr>
              <w:pStyle w:val="null3"/>
            </w:pPr>
            <w:r>
              <w:rPr>
                <w:rFonts w:ascii="仿宋_GB2312" w:hAnsi="仿宋_GB2312" w:cs="仿宋_GB2312" w:eastAsia="仿宋_GB2312"/>
                <w:sz w:val="20"/>
              </w:rPr>
              <w:t>2. ▲炉腔的工作区尺寸：Φ250×250mm（直径×高）；可烧制样品的直径≥Φ80mm；</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0"/>
              </w:rPr>
              <w:t>加压系统</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 ▲最大工作压力：30T；</w:t>
            </w:r>
          </w:p>
          <w:p>
            <w:pPr>
              <w:pStyle w:val="null3"/>
              <w:jc w:val="both"/>
            </w:pPr>
            <w:r>
              <w:rPr>
                <w:rFonts w:ascii="仿宋_GB2312" w:hAnsi="仿宋_GB2312" w:cs="仿宋_GB2312" w:eastAsia="仿宋_GB2312"/>
                <w:sz w:val="20"/>
              </w:rPr>
              <w:t>2. 压头直径：≥Φ100mm；</w:t>
            </w:r>
          </w:p>
          <w:p>
            <w:pPr>
              <w:pStyle w:val="null3"/>
              <w:jc w:val="both"/>
            </w:pPr>
            <w:r>
              <w:rPr>
                <w:rFonts w:ascii="仿宋_GB2312" w:hAnsi="仿宋_GB2312" w:cs="仿宋_GB2312" w:eastAsia="仿宋_GB2312"/>
                <w:sz w:val="20"/>
              </w:rPr>
              <w:t>3. 压头位移：100mm；</w:t>
            </w:r>
          </w:p>
          <w:p>
            <w:pPr>
              <w:pStyle w:val="null3"/>
              <w:jc w:val="both"/>
            </w:pPr>
            <w:r>
              <w:rPr>
                <w:rFonts w:ascii="仿宋_GB2312" w:hAnsi="仿宋_GB2312" w:cs="仿宋_GB2312" w:eastAsia="仿宋_GB2312"/>
                <w:sz w:val="20"/>
              </w:rPr>
              <w:t>4. ▲位移显示精度：0.02mm；</w:t>
            </w:r>
          </w:p>
          <w:p>
            <w:pPr>
              <w:pStyle w:val="null3"/>
              <w:jc w:val="both"/>
            </w:pPr>
            <w:r>
              <w:rPr>
                <w:rFonts w:ascii="仿宋_GB2312" w:hAnsi="仿宋_GB2312" w:cs="仿宋_GB2312" w:eastAsia="仿宋_GB2312"/>
                <w:sz w:val="20"/>
              </w:rPr>
              <w:t>5. 最小工作压力：1吨；</w:t>
            </w:r>
          </w:p>
          <w:p>
            <w:pPr>
              <w:pStyle w:val="null3"/>
              <w:jc w:val="both"/>
            </w:pPr>
            <w:r>
              <w:rPr>
                <w:rFonts w:ascii="仿宋_GB2312" w:hAnsi="仿宋_GB2312" w:cs="仿宋_GB2312" w:eastAsia="仿宋_GB2312"/>
                <w:sz w:val="20"/>
              </w:rPr>
              <w:t>6. ▲压力控制精度：1%。</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0"/>
              </w:rPr>
              <w:t>加热系统</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 ▲最高温度：2300℃；工作温度：常温-2200℃；</w:t>
            </w:r>
          </w:p>
          <w:p>
            <w:pPr>
              <w:pStyle w:val="null3"/>
              <w:jc w:val="both"/>
            </w:pPr>
            <w:r>
              <w:rPr>
                <w:rFonts w:ascii="仿宋_GB2312" w:hAnsi="仿宋_GB2312" w:cs="仿宋_GB2312" w:eastAsia="仿宋_GB2312"/>
                <w:sz w:val="20"/>
              </w:rPr>
              <w:t>2. ▲温度均匀性：±5℃；</w:t>
            </w:r>
          </w:p>
          <w:p>
            <w:pPr>
              <w:pStyle w:val="null3"/>
              <w:jc w:val="both"/>
            </w:pPr>
            <w:r>
              <w:rPr>
                <w:rFonts w:ascii="仿宋_GB2312" w:hAnsi="仿宋_GB2312" w:cs="仿宋_GB2312" w:eastAsia="仿宋_GB2312"/>
                <w:sz w:val="20"/>
              </w:rPr>
              <w:t>3. ▲升温速率：25℃-1200℃：≥20℃/min；1200℃-1800℃：≥9℃/min；1800℃-2000℃：≥3℃/min；</w:t>
            </w:r>
          </w:p>
          <w:p>
            <w:pPr>
              <w:pStyle w:val="null3"/>
              <w:jc w:val="both"/>
            </w:pP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0"/>
              </w:rPr>
              <w:t>真空系统</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 ▲极限真空度：≤8×10-4Pa（空炉冷态）；</w:t>
            </w:r>
          </w:p>
          <w:p>
            <w:pPr>
              <w:pStyle w:val="null3"/>
              <w:jc w:val="both"/>
            </w:pPr>
            <w:r>
              <w:rPr>
                <w:rFonts w:ascii="仿宋_GB2312" w:hAnsi="仿宋_GB2312" w:cs="仿宋_GB2312" w:eastAsia="仿宋_GB2312"/>
                <w:sz w:val="20"/>
              </w:rPr>
              <w:t>2. ▲工作真空度：≤5×10-2Pa（空炉1600℃）；</w:t>
            </w:r>
          </w:p>
          <w:p>
            <w:pPr>
              <w:pStyle w:val="null3"/>
            </w:pPr>
            <w:r>
              <w:rPr>
                <w:rFonts w:ascii="仿宋_GB2312" w:hAnsi="仿宋_GB2312" w:cs="仿宋_GB2312" w:eastAsia="仿宋_GB2312"/>
                <w:sz w:val="20"/>
              </w:rPr>
              <w:t>3. ▲压升率：≤0.5Pa/h；</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0"/>
              </w:rPr>
              <w:t>控制系统</w:t>
            </w:r>
            <w:r>
              <w:rPr>
                <w:rFonts w:ascii="仿宋_GB2312" w:hAnsi="仿宋_GB2312" w:cs="仿宋_GB2312" w:eastAsia="仿宋_GB2312"/>
                <w:sz w:val="20"/>
              </w:rPr>
              <w:t>:</w:t>
            </w:r>
          </w:p>
          <w:p>
            <w:pPr>
              <w:pStyle w:val="null3"/>
              <w:ind w:left="360"/>
              <w:jc w:val="left"/>
            </w:pPr>
            <w:r>
              <w:rPr>
                <w:rFonts w:ascii="仿宋_GB2312" w:hAnsi="仿宋_GB2312" w:cs="仿宋_GB2312" w:eastAsia="仿宋_GB2312"/>
                <w:sz w:val="20"/>
              </w:rPr>
              <w:t>1.</w:t>
            </w:r>
            <w:r>
              <w:rPr>
                <w:rFonts w:ascii="仿宋_GB2312" w:hAnsi="仿宋_GB2312" w:cs="仿宋_GB2312" w:eastAsia="仿宋_GB2312"/>
                <w:sz w:val="20"/>
              </w:rPr>
              <w:t>配有液压机；</w:t>
            </w:r>
            <w:r>
              <w:rPr>
                <w:rFonts w:ascii="仿宋_GB2312" w:hAnsi="仿宋_GB2312" w:cs="仿宋_GB2312" w:eastAsia="仿宋_GB2312"/>
                <w:sz w:val="20"/>
              </w:rPr>
              <w:t>公称力</w:t>
            </w:r>
            <w:r>
              <w:rPr>
                <w:rFonts w:ascii="仿宋_GB2312" w:hAnsi="仿宋_GB2312" w:cs="仿宋_GB2312" w:eastAsia="仿宋_GB2312"/>
                <w:sz w:val="20"/>
              </w:rPr>
              <w:t>≥</w:t>
            </w:r>
            <w:r>
              <w:rPr>
                <w:rFonts w:ascii="仿宋_GB2312" w:hAnsi="仿宋_GB2312" w:cs="仿宋_GB2312" w:eastAsia="仿宋_GB2312"/>
                <w:sz w:val="20"/>
              </w:rPr>
              <w:t>300KN</w:t>
            </w:r>
          </w:p>
          <w:p>
            <w:pPr>
              <w:pStyle w:val="null3"/>
            </w:pPr>
            <w:r>
              <w:rPr>
                <w:rFonts w:ascii="仿宋_GB2312" w:hAnsi="仿宋_GB2312" w:cs="仿宋_GB2312" w:eastAsia="仿宋_GB2312"/>
                <w:sz w:val="20"/>
              </w:rPr>
              <w:t>2.</w:t>
            </w:r>
            <w:r>
              <w:rPr>
                <w:rFonts w:ascii="仿宋_GB2312" w:hAnsi="仿宋_GB2312" w:cs="仿宋_GB2312" w:eastAsia="仿宋_GB2312"/>
                <w:sz w:val="20"/>
              </w:rPr>
              <w:t>对设备进行自动控制，并通过工控机及软件对各工艺参数（温度、真空度、压力，位移）实现动态显示、记录。</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标的名称：白光干涉形貌仪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1、★物镜倍率≥10X；</w:t>
            </w:r>
            <w:r>
              <w:br/>
            </w:r>
            <w:r>
              <w:rPr>
                <w:rFonts w:ascii="仿宋_GB2312" w:hAnsi="仿宋_GB2312" w:cs="仿宋_GB2312" w:eastAsia="仿宋_GB2312"/>
              </w:rPr>
              <w:t xml:space="preserve"> 2、▲测量模式包含：垂直扫描干涉测量模式(VSI)和相移涉测量模式(PSI)两种模式；</w:t>
            </w:r>
            <w:r>
              <w:br/>
            </w:r>
            <w:r>
              <w:rPr>
                <w:rFonts w:ascii="仿宋_GB2312" w:hAnsi="仿宋_GB2312" w:cs="仿宋_GB2312" w:eastAsia="仿宋_GB2312"/>
              </w:rPr>
              <w:t xml:space="preserve"> 3、仪器显示分辨率≤0.1nm；</w:t>
            </w:r>
            <w:r>
              <w:br/>
            </w:r>
            <w:r>
              <w:rPr>
                <w:rFonts w:ascii="仿宋_GB2312" w:hAnsi="仿宋_GB2312" w:cs="仿宋_GB2312" w:eastAsia="仿宋_GB2312"/>
              </w:rPr>
              <w:t xml:space="preserve"> 4、测量扫描装置：压电陶瓷材料扫描器；</w:t>
            </w:r>
            <w:r>
              <w:br/>
            </w:r>
            <w:r>
              <w:rPr>
                <w:rFonts w:ascii="仿宋_GB2312" w:hAnsi="仿宋_GB2312" w:cs="仿宋_GB2312" w:eastAsia="仿宋_GB2312"/>
              </w:rPr>
              <w:t xml:space="preserve"> 5、▲测量垂直（Z轴）分辨率≤0.1nm；</w:t>
            </w:r>
            <w:r>
              <w:br/>
            </w:r>
            <w:r>
              <w:rPr>
                <w:rFonts w:ascii="仿宋_GB2312" w:hAnsi="仿宋_GB2312" w:cs="仿宋_GB2312" w:eastAsia="仿宋_GB2312"/>
              </w:rPr>
              <w:t xml:space="preserve"> 6、▲测量精度：1σ粗糙度RMS重复性≤0.005nm；</w:t>
            </w:r>
            <w:r>
              <w:br/>
            </w:r>
            <w:r>
              <w:rPr>
                <w:rFonts w:ascii="仿宋_GB2312" w:hAnsi="仿宋_GB2312" w:cs="仿宋_GB2312" w:eastAsia="仿宋_GB2312"/>
              </w:rPr>
              <w:t xml:space="preserve"> 7、▲测量精度：1σ台阶测量重复性≤0.1%；</w:t>
            </w:r>
            <w:r>
              <w:br/>
            </w:r>
            <w:r>
              <w:rPr>
                <w:rFonts w:ascii="仿宋_GB2312" w:hAnsi="仿宋_GB2312" w:cs="仿宋_GB2312" w:eastAsia="仿宋_GB2312"/>
              </w:rPr>
              <w:t xml:space="preserve"> 8、▲测量扫描速度可调节，Z轴最大扫描速度≥200μm/s;</w:t>
            </w:r>
            <w:r>
              <w:br/>
            </w:r>
            <w:r>
              <w:rPr>
                <w:rFonts w:ascii="仿宋_GB2312" w:hAnsi="仿宋_GB2312" w:cs="仿宋_GB2312" w:eastAsia="仿宋_GB2312"/>
              </w:rPr>
              <w:t xml:space="preserve"> 9、▲单次Z轴测量扫描范围≥4000μm；</w:t>
            </w:r>
            <w:r>
              <w:br/>
            </w:r>
            <w:r>
              <w:rPr>
                <w:rFonts w:ascii="仿宋_GB2312" w:hAnsi="仿宋_GB2312" w:cs="仿宋_GB2312" w:eastAsia="仿宋_GB2312"/>
              </w:rPr>
              <w:t xml:space="preserve"> 10、白光光源：中心波长为520nm；</w:t>
            </w:r>
            <w:r>
              <w:br/>
            </w:r>
            <w:r>
              <w:rPr>
                <w:rFonts w:ascii="仿宋_GB2312" w:hAnsi="仿宋_GB2312" w:cs="仿宋_GB2312" w:eastAsia="仿宋_GB2312"/>
              </w:rPr>
              <w:t xml:space="preserve"> 11、扫描系统支持曝光时间、增益、亮度等的调节；</w:t>
            </w:r>
            <w:r>
              <w:br/>
            </w:r>
            <w:r>
              <w:rPr>
                <w:rFonts w:ascii="仿宋_GB2312" w:hAnsi="仿宋_GB2312" w:cs="仿宋_GB2312" w:eastAsia="仿宋_GB2312"/>
              </w:rPr>
              <w:t xml:space="preserve"> 12、减震模块为加压充气隔离台。</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接采购人通知后60个日历日完成供货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接采购人书面通知后90个日历日完成供货。</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接采购人书面通知后60个日历日完成供货。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西安理工大学金花校区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西安理工大学金花校区</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西安理工大学金花校区</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进度款，国产设备付款方式以“合同签订后5个工作日内，达到付款条件起5个工作日内，支付合同总金额的40.0%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 设备运抵甲方指定地点并经甲方初步查验无误后7个工作日内，达到付款条件起7个工作日内，支付合同总金额的30.0%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进度款，设备安装调试完成，经甲方验收合格并签署《验收合格报告》后，乙方开具全额合法有效的增值税专用发票，达到付款条件起7个工作日内，支付合同总金额的30.0%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 国产设备付款方式以“合同签订后5个工作日内，达到付款条件起5个工作日内，支付合同总金额的40.0%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进度款，设备运抵甲方指定地点并经甲方初步查验无误后7个工作日内 ，达到付款条件起7个工作日内，支付合同总金额的30.0%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进度款，设备安装调试完成，经甲方验收合格并签署《验收合格报告》后，乙方开具全额合法有效的增值税专用发票，达到付款条件起7个工作日内，支付合同总金额的30.0%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进度款，付款条件说明： 国产设备付款方式以“合同签订后5个工作日内，达到付款条件起5个工作日内，支付合同总金额的40.0%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进度款，设备运抵甲方指定地点并经甲方初步查验无误后7个工作日内，达到付款条件起7个工作日内，支付合同总金额的30.0%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 设备安装调试完成，经甲方验收合格并签署《验收合格报告》后，乙方开具全额合法有效的增值税专用发票，达到付款条件起7个工作日内，支付合同总金额的30.0%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标的的验收标准：（1）验收依据招标文件、投标文件及技术澄清文件（函））；国家/行业标准、规范（如GB、ISO、IEC等）。（2）验收流程①到货初检（采购人、中标人共同参与）：检查外包装完整性、防伪标识、运输损伤情况；核对货物型号、数量、规格是否与合同一致；检查随机文件（合格证、说明书、保修卡等）。②安装调试验收设备安装符合GB 50231-2009《机械设备安装工程施工及验收通用规范》；调试记录完整。③性能测试验收（关键指标实测）连续运行3次实验无故障；关键参数与投标文件承诺值对比（允许±3%偏差）。④最终验收签署《验收报告》，产品保修期自验收合格之日起算，由中标人提供产品保修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依据：招标文件、投标文件及技术澄清文件（函））；国家/行业标准、规范（如GB、ISO、IEC等）。（2）验收流程：①到货初检（采购人、中标人共同参与）：检查外包装完整性、防伪标识、运输损伤情况；核对货物型号、数量、规格是否与合同一致；检查随机文件（合格证、说明书、保修卡等）。②安装调试验收：设备安装符合GB 50231-2009《机械设备安装工程施工及验收通用规范》；调试记录完整。③性能测试验收（关键指标实测）：连续运行48小时无故障；关键参数与投标文件承诺值对比（允许±3%偏差）。④最终验收：签署《验收报告》，产品保修期自验收合格之日起算，由中标人提供产品保修文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（1）验收依据：招标文件、投标文件及技术澄清文件（函））； 国家/行业标准、规范（如GB、ISO、IEC等）。（2）验收流程：①到货初检（采购人、中标人共同参与）：检查外包装完整性、防伪标识、运输损伤情况；核对货物型号、数量、规格是否与合同一致；检查随机文件（合格证、说明书、保修卡等）。②安装调试验收：调试记录完整。③性能测试验收（关键指标实测）：关键参数与投标文件承诺值对比。④最终验收 签署《验收报告》，产品保修期自验收合格之日起算，由中标人提供产品保修文件。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产品保修期（三包期）内，修理、更换、退货要求：（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2）不符约定处理：如交付品种、型号、规格不符合同约定的，由中标人负责退换，由此产生的一切费用及给采购人造成的相关损失由中标人全部承担并赔偿相应损失；（3）不能修理或调换：如不能修理或者不能调换的，按不能交货处理，因此给采购人造成的所有经济损失中标人应予全额赔偿；（4）质保服务：保修期内由中标人免费质保，采购人报修后三日内投标人必须响应，否则将依据有关法律、法规进行追偿；（5）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 2、采购标的的安装调试及配套工程、质量保证、售后服务等要求：（1）安装调试要求，安装标准：根据用户要求和实验室实际情况制定安装方案；调试周期：连续3次实验无故障运行测试；人员培训：提供相关操作人员培训资料。（2）配套工程基础施工：包含安装设备所需高空作业车及各种工具（需提前2日做好准备）。（3）质量保证以采购人的要求为准，为采购人提供全新的货物(包括零部件)；整机免费保修1年，其他按照国家新三包规定办理。（4）售后服务响应时限：享受1小时快速响应并提出解决方案，小修12小时内上门解决，中修1天内解决，大修3天内解决。</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产品保修期（三包期）内，修理、更换、退货要求：（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2）不符约定处理：如交付品种、型号、规格不符合同约定的，由中标人负责退换，由此产生的一切费用及给采购人造成的相关损失由中标人全部承担并赔偿相应损失；（3）不能修理或调换：如不能修理或者不能调换的，按不能交货处理，因此给采购人造成的所有经济损失中标人应予全额赔偿；（4）质保服务：保修期内由中标人免费质保，采购人报修后三日内投标人必须响应，否则将依据有关法律、法规进行追偿；（5）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 2、采购标的的安装调试及配套工程、质量保证、售后服务等要求：（1）安装调试要求：安装标准：执行GB50231-2009《机械设备安装工程施工及验收通用规范》调试周期：连续72小时无故障运行测试；人员培训：提供相关操作人员培训资料。（2）配套工程基础施工：包含安装设备所需高空作业车及各种工具（需提前2日做好准备）。（3）质量保证：设备质保期自验合格起开始计算，质保期最少1年。质保期内如设备出现故障，厂商在接到本单位技术咨询或故障信息后，应于2小时内做出电话答复，现场处理应于48小时内赶至现场处理。质保期外，厂商应继续提供免费技术支持，以成本价提供配件。在设备使用寿命期内，厂商保证对本单位设备维修。质保期满后厂商可提供有偿服务，响应时间2小时，48小时内到达现场负责维修。（4）售后服务响应时限：享受2小时快速响应，48小时内到达现场负责维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产品保修期（三包期）内（自验收合格之日起1年），修理、更换、退货要求：（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2）不符约定处理：如交付品种、型号、规格不符合同约定的，由中标人负责退换，由此产生的一切费用及给采购人造成的相关损失由中标人全部承担并赔偿相应损失；（3）不能修理或调换：如不能修理或者不能调换的，按不能交货处理，因此给采购人造成的所有经济损失中标人应予全额赔偿；（4）质保服务：保修期内由中标人免费质保，采购人报修后三日内投标人必须响应，否则将依据有关法律、法规进行追偿；（5）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 2、采购标的的安装调试及配套工程、质量保证、售后服务等要求：（1）安装调试要求安装标准：根据用户要求和实验室实际情况制定安装方案；人员培训：提供相关操作人员培训资料。（2）质量保证货物要求：以采购人的要求为准，为采购人提供全新的货物（包括零部件）。（3）售后服务响应时限：工作日4小时内在线响应并提供解决方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中标供应商未按合同约定的交货日期交货的，每逾期一日，向采购人支付逾期交付货物价款的1%的违约金，但不超过合同总金额的10%。中标供应商支付逾期交货违约金并不免除其交货的责任。 如中标供应商在政府采购合同规定的交货日期后10天内仍未能交货，则视为中标供应商不能交货，采购人有权解除政府采购合同，中标供应商除退还已收取的货款外，还应向采购人偿付政府采购合同总金额10%的违约金。 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中标供应商未按合同约定的交货日期交货的，每逾期一日，向采购人支付逾期交付货物价款的1%的违约金，但不超过合同总金额的10%。中标供应商支付逾期交货违约金并不免除其交货的责任。 如中标供应商在政府采购合同规定的交货日期后10天内仍未能交货，则视为中标供应商不能交货，采购人有权解除政府采购合同，中标供应商除退还已收取的货款外，还应向采购人偿付政府采购合同总金额10%的违约金。 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中标供应商未按合同约定的交货日期交货的，每逾期一日，向采购人支付逾期交付货物价款的1%的违约金，但不超过合同总金额的10%。中标供应商支付逾期交货违约金并不免除其交货的责任。 如中标供应商在政府采购合同规定的交货日期后10天内仍未能交货，则视为中标供应商不能交货，采购人有权解除政府采购合同，中标供应商除退还已收取的货款外，还应向采购人偿付政府采购合同总金额10%的违约金。 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为顺利推进政府采购电子化交易平台应用工作，投标人需要在线提交所有通过电子化交易平台实施的政府采购项目的投标文件。同时，中标人在领取中标通知书时需提交纸质版投标文件正本壹份、副本叁份。质版文件内容应与电子版文件内容保持一致。纸质版投标文件的正本和副本应采用粘贴方式左侧装订，不得采用活页夹的可随时拆换的方式装订，不得有零散页。应按档案要求必须编制目录，无少页、缺页的现象，并连续页码。 2.本项目依次按照采购包1、采购包2、采购包3进行评审。各投标人均可就本招标项目上述采购包中的其中一 个或多个采购包投标，但多个采购包只允许中标其中一个。如多个采购包为第一中标候选人，则按照采购包号从前到后的顺序 只推荐为其中一个采购包的第一中标候选人。 3、因系统录入问题，本项目付款支付约定说明如下，以本说明为准：包1付款方式:分期付款。合同签订后5个工作日内，甲方向乙方支付合同总价的40%，设备运抵甲方指定地点并经甲方初步查验无误后7个工作日内，甲方向乙方预付合同总价的30%；设备安装调试完成，经甲方验收合格并签署《验收合格报告》后，乙方开具全额合法有效的增值税专用发票，甲方7个工作日内向乙方支付合同总价的30%。包2付款方式：分期付款。合同签订后5个工作日内，甲方向乙方支付合同总价的40%，设备运抵甲方指定地点并经甲方初步查验无误后7个工作日内，甲方向乙方预付合同总价的30%；设备安装调试完成，经甲方验收合格并签署《验收合格报告》后，乙方开具全额合法有效的增值税专用发票，甲方7个工作日内向乙方支付合同总价的30%。包3付款方式:分期付款。合同签订后5个工作日内，甲方向乙方支付合同总价的40%，设备运抵甲方指定地点并经甲方初步查验无误后7个工作日内，甲方向乙方预付合同总价的30%；设备安装调试完成，经甲方验收合格并签署《验收合格报告》后，乙方开具全额合法有效的增值税专用发票，甲方7个工作日内向乙方支付合同总价的30%。 4、本项目落实的政府采购政策： （1）《政府采购促进中小企业发展管理办法》（财库〔2020〕46号）；（2）《财政部 司法部关于政府采购支持监狱企业发展有关问题的通知》（财库〔2014〕68号）；（3）《国务院办公厅关于建立政府强制采购节能产品制度的通知》（国发办〔2007〕51号）；（4）《关于印发节能产品政府采购品目清单的通知》（财库〔2019〕19号）；（5）《关于印发环境标志产品政府采购品目清单的通知》（财库〔2019〕18号）；（6）《三部门联合发布关于促进残疾人就业政府采购政策的通知》（财库〔2017〕141号）；（7）《财政部 发展改革委 生态环境部 市场监管总局关于调整优化节能产品、环境标志产品政府采购执行机制的通知》（财库〔2019〕9号）；（8）陕西省财政厅关于印发《陕西省中小企业政府采购信用融资办法》（陕财办采〔2018〕23号）；（9）《财政部 农业农村部 国家乡村振兴局关于运用政府采购政策支持乡村产业振兴的通知》（财库〔2021〕19 号）；（10）《财政部 农业农村部 国家乡村振兴局 中华全国供销合作总社关于印发&lt;关于深入开展政府采购脱贫地区农副产品工作推进乡村产业振兴的实施意见&gt;的通知》（财库〔2021〕20 号）；（11）《陕西省财政厅关于加快推进我省中小企业政府采购信用融资工作的通知》（陕财办采〔2020〕15号）；（12）《关于进一步加强政府绿色采购有关问题的通知》（陕财办采〔2021〕29号）；（13）《陕西省财政厅、中国人民银行西安分行关于深入推进政府采购信用融资业务的通知》（陕财办采〔2023〕5号）；（14）《国务院办公厅关于在政府采购中实施本国产品标准及相关政策的通知》（国办发〔2025〕34号）；（15）《关于推动解决政府采购异常低价问题的通知》（财库〔2026〕2号）（16）其他需要落实的政府采购政策，详见采购文件。如有最新颁布的政府采购政策，按最新的文件执行。 5、以保函形式交纳投标保证金的，投标人应在投标截止时间前将保函扫描成清晰的PDF文件，发送至邮箱373791152@qq.com（邮件命名：项目编号+采购包号+项目名称），并将保函原件单独递交至代理机构财务；投标人应在投标文件中附保函复印件或扫描件。保函必须由具有开具投标保函资格的单位开具；若投标人违约，开具保函单位承担连带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务报表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以上形式的资料提供任何一种即可）</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提供投标文件截止时间前一年内任意一个月的证明（时间以税款所属日期为准），凭据应有税务机关或代收机关的公章或业务专用章。依法免税或无须缴纳税收的投标人，应提供相应证明文件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提提供投标文件截止时间前一年内任意一个月的社会保障资金缴存单据或社保机构开具的社会保险参保缴费情况证明，依法不需要缴纳社会保障资金的单位应提供相关证明材料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失信主体、严重失信主体名单的书面声明。本项目拒绝被列入失信被执行人、重大税收违法失信主体、严重失信主体的投标人参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法定代表人授权书及被授权人身份证复印件。（法定代表人直接投标只须提交其身份证明书）</w:t>
            </w:r>
          </w:p>
        </w:tc>
        <w:tc>
          <w:tcPr>
            <w:tcW w:type="dxa" w:w="1661"/>
          </w:tcPr>
          <w:p>
            <w:pPr>
              <w:pStyle w:val="null3"/>
            </w:pPr>
            <w:r>
              <w:rPr>
                <w:rFonts w:ascii="仿宋_GB2312" w:hAnsi="仿宋_GB2312" w:cs="仿宋_GB2312" w:eastAsia="仿宋_GB2312"/>
              </w:rPr>
              <w:t>投标人资格条件证明文件.docx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务状况报告</w:t>
            </w:r>
          </w:p>
        </w:tc>
        <w:tc>
          <w:tcPr>
            <w:tcW w:type="dxa" w:w="3322"/>
          </w:tcPr>
          <w:p>
            <w:pPr>
              <w:pStyle w:val="null3"/>
            </w:pPr>
            <w:r>
              <w:rPr>
                <w:rFonts w:ascii="仿宋_GB2312" w:hAnsi="仿宋_GB2312" w:cs="仿宋_GB2312" w:eastAsia="仿宋_GB2312"/>
              </w:rPr>
              <w:t>财务报表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以上形式的资料提供任何一种即可）</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提供投标文件截止时间前一年内任意一个月的证明（时间以税款所属日期为准），凭据应有税务机关或代收机关的公章或业务专用章。依法免税或无须缴纳税收的投标人，应提供相应证明文件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会保障资金缴纳证明</w:t>
            </w:r>
          </w:p>
        </w:tc>
        <w:tc>
          <w:tcPr>
            <w:tcW w:type="dxa" w:w="3322"/>
          </w:tcPr>
          <w:p>
            <w:pPr>
              <w:pStyle w:val="null3"/>
            </w:pPr>
            <w:r>
              <w:rPr>
                <w:rFonts w:ascii="仿宋_GB2312" w:hAnsi="仿宋_GB2312" w:cs="仿宋_GB2312" w:eastAsia="仿宋_GB2312"/>
              </w:rPr>
              <w:t>提提供投标文件截止时间前一年内任意一个月的社会保障资金缴存单据或社保机构开具的社会保险参保缴费情况证明，依法不需要缴纳社会保障资金的单位应提供相关证明材料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失信主体、严重失信主体名单的书面声明。本项目拒绝被列入失信被执行人、重大税收违法失信主体、严重失信主体的投标人参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法定代表人授权书及被授权人身份证复印件。（法定代表人直接投标只须提交其身份证明书）</w:t>
            </w:r>
          </w:p>
        </w:tc>
        <w:tc>
          <w:tcPr>
            <w:tcW w:type="dxa" w:w="1661"/>
          </w:tcPr>
          <w:p>
            <w:pPr>
              <w:pStyle w:val="null3"/>
            </w:pPr>
            <w:r>
              <w:rPr>
                <w:rFonts w:ascii="仿宋_GB2312" w:hAnsi="仿宋_GB2312" w:cs="仿宋_GB2312" w:eastAsia="仿宋_GB2312"/>
              </w:rPr>
              <w:t>投标人资格条件证明文件.docx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报表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以上形式的资料提供任何一种即可）</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提供投标文件截止时间前一年内任意一个月的证明（时间以税款所属日期为准），凭据应有税务机关或代收机关的公章或业务专用章。依法免税或无须缴纳税收的投标人，应提供相应证明文件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提提供投标文件截止时间前一年内任意一个月的社会保障资金缴存单据或社保机构开具的社会保险参保缴费情况证明，依法不需要缴纳社会保障资金的单位应提供相关证明材料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失信主体、严重失信主体名单的书面声明。本项目拒绝被列入失信被执行人、重大税收违法失信主体、严重失信主体的投标人参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法定代表人授权书及被授权人身份证复印件。（法定代表人直接投标只须提交其身份证明书）</w:t>
            </w:r>
          </w:p>
        </w:tc>
        <w:tc>
          <w:tcPr>
            <w:tcW w:type="dxa" w:w="1661"/>
          </w:tcPr>
          <w:p>
            <w:pPr>
              <w:pStyle w:val="null3"/>
            </w:pPr>
            <w:r>
              <w:rPr>
                <w:rFonts w:ascii="仿宋_GB2312" w:hAnsi="仿宋_GB2312" w:cs="仿宋_GB2312" w:eastAsia="仿宋_GB2312"/>
              </w:rPr>
              <w:t>投标人资格条件证明文件.docx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投标人认为有必要说明的问题.docx 开标一览表 分项报价表 商务应答表.docx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遵循公平竞争的原则，没有弄虚作假、恶意串通或妨碍其他供应商的竞争行为，损害采购人或者其他供应商的合法权益；弄虚作假、相互串通的情形见附注</w:t>
            </w:r>
          </w:p>
        </w:tc>
        <w:tc>
          <w:tcPr>
            <w:tcW w:type="dxa" w:w="1661"/>
          </w:tcPr>
          <w:p>
            <w:pPr>
              <w:pStyle w:val="null3"/>
            </w:pPr>
            <w:r>
              <w:rPr>
                <w:rFonts w:ascii="仿宋_GB2312" w:hAnsi="仿宋_GB2312" w:cs="仿宋_GB2312" w:eastAsia="仿宋_GB2312"/>
              </w:rPr>
              <w:t>陕西省政府采购供应商拒绝政府采购领域商业贿赂承诺书.docx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投标人名称与营业执照一致</w:t>
            </w:r>
          </w:p>
        </w:tc>
        <w:tc>
          <w:tcPr>
            <w:tcW w:type="dxa" w:w="3322"/>
          </w:tcPr>
          <w:p>
            <w:pPr>
              <w:pStyle w:val="null3"/>
            </w:pPr>
            <w:r>
              <w:rPr>
                <w:rFonts w:ascii="仿宋_GB2312" w:hAnsi="仿宋_GB2312" w:cs="仿宋_GB2312" w:eastAsia="仿宋_GB2312"/>
              </w:rPr>
              <w:t>投标人名称与营业执照一致（合格）投标人名称与营业执照不一致（不合格）</w:t>
            </w:r>
          </w:p>
        </w:tc>
        <w:tc>
          <w:tcPr>
            <w:tcW w:type="dxa" w:w="1661"/>
          </w:tcPr>
          <w:p>
            <w:pPr>
              <w:pStyle w:val="null3"/>
            </w:pPr>
            <w:r>
              <w:rPr>
                <w:rFonts w:ascii="仿宋_GB2312" w:hAnsi="仿宋_GB2312" w:cs="仿宋_GB2312" w:eastAsia="仿宋_GB2312"/>
              </w:rPr>
              <w:t>开标一览表 投标人资格条件证明文件.docx 分项报价表 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1.按招标文件要求的数量、计量单位、货币进行报价； 2.投标人的投标报价高于采购预算（最高限价）的，响应文件按无效处理。</w:t>
            </w:r>
          </w:p>
        </w:tc>
        <w:tc>
          <w:tcPr>
            <w:tcW w:type="dxa" w:w="1661"/>
          </w:tcPr>
          <w:p>
            <w:pPr>
              <w:pStyle w:val="null3"/>
            </w:pPr>
            <w:r>
              <w:rPr>
                <w:rFonts w:ascii="仿宋_GB2312" w:hAnsi="仿宋_GB2312" w:cs="仿宋_GB2312" w:eastAsia="仿宋_GB2312"/>
              </w:rPr>
              <w:t>开标一览表 分项报价表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商务响应满足第三章3.4商务要求及3.5其他要求（合格），任意一条不满足（不合格）。</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履约保证金</w:t>
            </w:r>
          </w:p>
        </w:tc>
        <w:tc>
          <w:tcPr>
            <w:tcW w:type="dxa" w:w="3322"/>
          </w:tcPr>
          <w:p>
            <w:pPr>
              <w:pStyle w:val="null3"/>
            </w:pPr>
            <w:r>
              <w:rPr>
                <w:rFonts w:ascii="仿宋_GB2312" w:hAnsi="仿宋_GB2312" w:cs="仿宋_GB2312" w:eastAsia="仿宋_GB2312"/>
              </w:rPr>
              <w:t>满足招标文件关于“合同签订后5个工作日内，供应商向采购人缴纳履约保证金（合同金额的5%）”的要求（合格），不满足（不合格）。招标文件未约定收取履约保证金的可不提交。</w:t>
            </w:r>
          </w:p>
        </w:tc>
        <w:tc>
          <w:tcPr>
            <w:tcW w:type="dxa" w:w="1661"/>
          </w:tcPr>
          <w:p>
            <w:pPr>
              <w:pStyle w:val="null3"/>
            </w:pPr>
            <w:r>
              <w:rPr>
                <w:rFonts w:ascii="仿宋_GB2312" w:hAnsi="仿宋_GB2312" w:cs="仿宋_GB2312" w:eastAsia="仿宋_GB2312"/>
              </w:rPr>
              <w:t>履约保证金承诺函.docx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招标文件或法律法规明确规定响应无效的事项</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分项报价表 商务应答表.docx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遵循公平竞争的原则，没有弄虚作假、恶意串通或妨碍其他供应商的竞争行为，损害采购人或者其他供应商的合法权益；弄虚作假、相互串通的情形见附注。</w:t>
            </w:r>
          </w:p>
        </w:tc>
        <w:tc>
          <w:tcPr>
            <w:tcW w:type="dxa" w:w="1661"/>
          </w:tcPr>
          <w:p>
            <w:pPr>
              <w:pStyle w:val="null3"/>
            </w:pPr>
            <w:r>
              <w:rPr>
                <w:rFonts w:ascii="仿宋_GB2312" w:hAnsi="仿宋_GB2312" w:cs="仿宋_GB2312" w:eastAsia="仿宋_GB2312"/>
              </w:rPr>
              <w:t>陕西省政府采购供应商拒绝政府采购领域商业贿赂承诺书.docx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投标人名称与营业执照一致</w:t>
            </w:r>
          </w:p>
        </w:tc>
        <w:tc>
          <w:tcPr>
            <w:tcW w:type="dxa" w:w="3322"/>
          </w:tcPr>
          <w:p>
            <w:pPr>
              <w:pStyle w:val="null3"/>
            </w:pPr>
            <w:r>
              <w:rPr>
                <w:rFonts w:ascii="仿宋_GB2312" w:hAnsi="仿宋_GB2312" w:cs="仿宋_GB2312" w:eastAsia="仿宋_GB2312"/>
              </w:rPr>
              <w:t>投标人名称与营业执照一致（合格）投标人名称与营业执照不一致（不合格）</w:t>
            </w:r>
          </w:p>
        </w:tc>
        <w:tc>
          <w:tcPr>
            <w:tcW w:type="dxa" w:w="1661"/>
          </w:tcPr>
          <w:p>
            <w:pPr>
              <w:pStyle w:val="null3"/>
            </w:pPr>
            <w:r>
              <w:rPr>
                <w:rFonts w:ascii="仿宋_GB2312" w:hAnsi="仿宋_GB2312" w:cs="仿宋_GB2312" w:eastAsia="仿宋_GB2312"/>
              </w:rPr>
              <w:t>开标一览表 投标人资格条件证明文件.docx 分项报价表 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1.按招标文件要求的数量、计量单位、货币进行报价； 2.投标人的投标报价高于采购预算（最高限价）的，响应文件按无效处理。</w:t>
            </w:r>
          </w:p>
        </w:tc>
        <w:tc>
          <w:tcPr>
            <w:tcW w:type="dxa" w:w="1661"/>
          </w:tcPr>
          <w:p>
            <w:pPr>
              <w:pStyle w:val="null3"/>
            </w:pPr>
            <w:r>
              <w:rPr>
                <w:rFonts w:ascii="仿宋_GB2312" w:hAnsi="仿宋_GB2312" w:cs="仿宋_GB2312" w:eastAsia="仿宋_GB2312"/>
              </w:rPr>
              <w:t>开标一览表 分项报价表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商务响应满足第三章3.4商务要求及3.5其他要求（合格），任意一条不满足（不合格）。</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履约保证金</w:t>
            </w:r>
          </w:p>
        </w:tc>
        <w:tc>
          <w:tcPr>
            <w:tcW w:type="dxa" w:w="3322"/>
          </w:tcPr>
          <w:p>
            <w:pPr>
              <w:pStyle w:val="null3"/>
            </w:pPr>
            <w:r>
              <w:rPr>
                <w:rFonts w:ascii="仿宋_GB2312" w:hAnsi="仿宋_GB2312" w:cs="仿宋_GB2312" w:eastAsia="仿宋_GB2312"/>
              </w:rPr>
              <w:t>满足招标文件关于“合同签订后5个工作日内，供应商向采购人缴纳履约保证金（合同金额的5%）”的要求（合格），不满足（不合格）。招标文件未约定收取履约保证金的可不提交。</w:t>
            </w:r>
          </w:p>
        </w:tc>
        <w:tc>
          <w:tcPr>
            <w:tcW w:type="dxa" w:w="1661"/>
          </w:tcPr>
          <w:p>
            <w:pPr>
              <w:pStyle w:val="null3"/>
            </w:pPr>
            <w:r>
              <w:rPr>
                <w:rFonts w:ascii="仿宋_GB2312" w:hAnsi="仿宋_GB2312" w:cs="仿宋_GB2312" w:eastAsia="仿宋_GB2312"/>
              </w:rPr>
              <w:t>履约保证金承诺函.docx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招标文件或法律法规明确规定响应无效的事项</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分项报价表 商务应答表.docx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遵循公平竞争的原则，没有弄虚作假、恶意串通或妨碍其他供应商的竞争行为，损害采购人或者其他供应商的合法权益；弄虚作假、相互串通的情形见附注。</w:t>
            </w:r>
          </w:p>
        </w:tc>
        <w:tc>
          <w:tcPr>
            <w:tcW w:type="dxa" w:w="1661"/>
          </w:tcPr>
          <w:p>
            <w:pPr>
              <w:pStyle w:val="null3"/>
            </w:pPr>
            <w:r>
              <w:rPr>
                <w:rFonts w:ascii="仿宋_GB2312" w:hAnsi="仿宋_GB2312" w:cs="仿宋_GB2312" w:eastAsia="仿宋_GB2312"/>
              </w:rPr>
              <w:t>陕西省政府采购供应商拒绝政府采购领域商业贿赂承诺书.docx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投标人名称与营业执照一致</w:t>
            </w:r>
          </w:p>
        </w:tc>
        <w:tc>
          <w:tcPr>
            <w:tcW w:type="dxa" w:w="3322"/>
          </w:tcPr>
          <w:p>
            <w:pPr>
              <w:pStyle w:val="null3"/>
            </w:pPr>
            <w:r>
              <w:rPr>
                <w:rFonts w:ascii="仿宋_GB2312" w:hAnsi="仿宋_GB2312" w:cs="仿宋_GB2312" w:eastAsia="仿宋_GB2312"/>
              </w:rPr>
              <w:t>投标人名称与营业执照一致（合格）投标人名称与营业执照不一致（不合格）。</w:t>
            </w:r>
          </w:p>
        </w:tc>
        <w:tc>
          <w:tcPr>
            <w:tcW w:type="dxa" w:w="1661"/>
          </w:tcPr>
          <w:p>
            <w:pPr>
              <w:pStyle w:val="null3"/>
            </w:pPr>
            <w:r>
              <w:rPr>
                <w:rFonts w:ascii="仿宋_GB2312" w:hAnsi="仿宋_GB2312" w:cs="仿宋_GB2312" w:eastAsia="仿宋_GB2312"/>
              </w:rPr>
              <w:t>开标一览表 投标人资格条件证明文件.docx 分项报价表 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1.按招标文件要求的数量、计量单位、货币进行报价； 2.投标人的投标报价高于采购预算（最高限价）的，响应文件按无效处理。</w:t>
            </w:r>
          </w:p>
        </w:tc>
        <w:tc>
          <w:tcPr>
            <w:tcW w:type="dxa" w:w="1661"/>
          </w:tcPr>
          <w:p>
            <w:pPr>
              <w:pStyle w:val="null3"/>
            </w:pPr>
            <w:r>
              <w:rPr>
                <w:rFonts w:ascii="仿宋_GB2312" w:hAnsi="仿宋_GB2312" w:cs="仿宋_GB2312" w:eastAsia="仿宋_GB2312"/>
              </w:rPr>
              <w:t>开标一览表 分项报价表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商务响应满足第三章3.4商务要求及3.5其他要求（合格），任意一条不满足（不合格）。</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履约保证金</w:t>
            </w:r>
          </w:p>
        </w:tc>
        <w:tc>
          <w:tcPr>
            <w:tcW w:type="dxa" w:w="3322"/>
          </w:tcPr>
          <w:p>
            <w:pPr>
              <w:pStyle w:val="null3"/>
            </w:pPr>
            <w:r>
              <w:rPr>
                <w:rFonts w:ascii="仿宋_GB2312" w:hAnsi="仿宋_GB2312" w:cs="仿宋_GB2312" w:eastAsia="仿宋_GB2312"/>
              </w:rPr>
              <w:t>满足招标文件关于“合同签订后5个工作日内，供应商向采购人缴纳履约保证金（合同金额的5%）”的要求（合格），不满足（不合格）。招标文件未约定收取履约保证金的可不提交。</w:t>
            </w:r>
          </w:p>
        </w:tc>
        <w:tc>
          <w:tcPr>
            <w:tcW w:type="dxa" w:w="1661"/>
          </w:tcPr>
          <w:p>
            <w:pPr>
              <w:pStyle w:val="null3"/>
            </w:pPr>
            <w:r>
              <w:rPr>
                <w:rFonts w:ascii="仿宋_GB2312" w:hAnsi="仿宋_GB2312" w:cs="仿宋_GB2312" w:eastAsia="仿宋_GB2312"/>
              </w:rPr>
              <w:t>履约保证金承诺函.docx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招标文件或法律法规明确规定响应无效的事项</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参数响应</w:t>
            </w:r>
          </w:p>
        </w:tc>
        <w:tc>
          <w:tcPr>
            <w:tcW w:type="dxa" w:w="2492"/>
          </w:tcPr>
          <w:p>
            <w:pPr>
              <w:pStyle w:val="null3"/>
            </w:pPr>
            <w:r>
              <w:rPr>
                <w:rFonts w:ascii="仿宋_GB2312" w:hAnsi="仿宋_GB2312" w:cs="仿宋_GB2312" w:eastAsia="仿宋_GB2312"/>
              </w:rPr>
              <w:t>所投产品技术参数清楚、明确并能逐条响应招标文件第四章“技术参数表”中所有参数要求，得30分。 其中： （1）★参数为实质性参数，需提供相关证明材料（加盖投标人公章国家认可的第三方检测机构出具的检测报告、技术白皮书、官网截图任意一种），不满足项目要求直接予以废标。 （2）▲项（共4项）满分12分，每项负偏离扣3分，扣完为止。 （3）未标项（共9项）满分18分，每项负偏离扣2分，扣完为止。 注：标注“▲”和“★”的参数须提供相关技术指标证明材料予以佐证，提供的佐证材料如下：加盖投标人公章国家认可的第三方检测机构出具的检测报告、技术白皮书、官网截图任意一种。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w:t>
            </w:r>
          </w:p>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技术参数..docx</w:t>
            </w:r>
          </w:p>
          <w:p>
            <w:pPr>
              <w:pStyle w:val="null3"/>
            </w:pPr>
            <w:r>
              <w:rPr>
                <w:rFonts w:ascii="仿宋_GB2312" w:hAnsi="仿宋_GB2312" w:cs="仿宋_GB2312" w:eastAsia="仿宋_GB2312"/>
              </w:rPr>
              <w:t>节能环保.docx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投标人需针对本项目提供完整的项目实施方案。内容包含：①供货组织及进度安排②对接及运输方案③调试方案④人员、物力调配安排。 二、评审标准 1、完整性：方案必须全面，对评审内容中的各项要求有详细描述； 2、可实施性：切合本项目实际情况，提出步骤清晰、合理的方案； 3、针对性：方案能够紧扣项目实际情况，内容科学合理。 三、赋分依据（满分6分） ①供货组织及进度安排。对供应商提供的“完整性、可实施性、针对性”进行评定，每个评审标准最高得0.5分，此项满分1.5分。； ②对接及运输方案:对供应商提供的“完整性、可实施性、针对性”进行评定，每个评审标准最高得0.5分，此项满分1.5分。； ③安装调试方案:对供应商提供的“完整性、可实施性、针对性”进行评定，每个评审标准最高得0.5分，此项满分1.5分。； ④人员、物力调配安排：对供应商提供的“完整性、可实施性、针对性”进行评定，每个评审标准最高得0.5分，此项满分1.5分。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根据项目实际需求，提供质量保证方案。内容包含：①产品性能②使用寿命及效果③交货及安装时间。 二、评审标准 1.可实施性：切合本项目实际情况，提出步骤清晰、合理的方案； 2.针对性：方案能够紧扣项目实际情况，内容科学合理。 三、赋分依据（满分4分） ①产品性能：对供应商提供的“可实施性、针对性”进行评定，每个评审标准最高得1分，满分2分； ②使用寿命及效果:对供应商提的“可实施性、针对性”进行评定，每个评审标准最高得0.5分，满分1分； ③交货及安装时间:对供应商提供的“可实施性、针对性”进行评定，每个评审标准最高得0.5分，满分1分。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提供投标人2023年5月1日以来类似项目业绩（以合同签订日期为准），每份合格业绩合同计1分，满分5分。 赋分依据：需提供完整业绩合同复印件，并加盖投标人公章。前述两种证明材料提供一方可得分，否则不得分。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根据项目实际需求提供售后服务方案。内容包含：①售后服务范围②响应时间及方式③故障处理及补救措施④定期回访及维护。 二、评审标准 1.完整性：方案必须全面，对评审内容中的各项要求有详细描述； 2.可实施性：切合本项目实际情况，提出步骤清晰、合理的方案； 3.针对性：方案能够紧扣项目实际情况，内容科学合理。 三、赋分依据（满分6分） ①售后服务范围：对供应商提供的“完整性、可实施性、针对性”进行评定，每个评审标准最高得0.5分，满分1.5分； ②响应时间及方式:对供应商提供的“完整性、可实施性、针对性”进行评定，每个评审标准最高得0.5分，满分1.5分； ③故障处理及补救措施:对供应商提供的“完整性、可实施性、针对性”进行评定，每个评审标准最高得，满分1.5分； ④定期回访及维护:对供应商提供的“完整性、可实施性、针对性”进行评定，每个评审标准最高得0.5分，满分1.5分。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针对本项目的特点和需求等内容提供增值服务承诺（例如：硬件、软件更新、配件更换服务等增值服务）。每提供一项承诺，得2分，满分6分。无承诺不得分。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增值服务.docx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承诺质保期在满足招标文件（1年）要求的基础上，每增加一年得1分，满3分。无承诺不得分。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质保期.docx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有效投标⼈的最低报价为评标基准价得40分，其他各投标⼈的报价得分按下列公式计算：（评标基准价/投标报价）×40％×100。 备注：根据《国务院办公厅关于在政府采购中实施本国产品标准及相关政策的通知 》（国办发〔2025〕34号），政府采购活动中既有本国产品⼜有⾮本国产品参与竞争的，依法对本国产品给予价格评审优惠，对本国产品的报价给予20%的价格扣除，⽤扣除后的价格参与评审。当采购项⽬或者采购包中含有多种产品，投标⼈为该采购项⽬或者采购包提供的符合本国产品标准的产品成本之和占该投标⼈提供的全部产品成本之和的⽐例达到80%以上时，依法对该投标⼈提供的全部产品给予价格评审优惠，即对该投标⼈提供的全部产品的总报价给予20%的价格扣除，⽤扣除后的价格参与评审。</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所投产品技术参数清楚、明确并能逐条响应招标文件第四章“技术参数表”中所有参数要求，得27分。其中： （1）▲项（共11项）满分22分，每项负偏离扣2分，扣完为止。 （2）未标项（共5项）满分5分，每项负偏离扣1分，扣完为止。 注：标注“▲”的参数须提供相关技术指标证明材料予以佐证，提供的佐证材料如下：加盖投标人公章国家认可的第三方检测机构出具的检测报告、技术白皮书、官网截图任意一种。</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技术参数..docx</w:t>
            </w:r>
          </w:p>
          <w:p>
            <w:pPr>
              <w:pStyle w:val="null3"/>
            </w:pPr>
            <w:r>
              <w:rPr>
                <w:rFonts w:ascii="仿宋_GB2312" w:hAnsi="仿宋_GB2312" w:cs="仿宋_GB2312" w:eastAsia="仿宋_GB2312"/>
              </w:rPr>
              <w:t>节能环保.docx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投标人需针对本项目提供完整的项目实施方案。内容包含：①供货组织及进度安排②对接及运输方案③调试方案④人员、物力调配安排。 二、评审标准 1、完整性：方案必须全面，对评审内容中的各项要求有详细描述； 2、可实施性：切合本项目实际情况，提出步骤清晰、合理的方案； 3、针对性：方案能够紧扣项目实际情况，内容科学合理。 三、赋分依据（满分6分） ①供货组织及进度安排：对供应商提供的“完整性、可实施性、针对性”进行评定，每个评审标准最高得0.5分，此项满分1.5分。； ②对接及运输方案:对供应商提供的“完整性、可实施性、针对性”进行评定，每个评审标准最高得0.5分，此项满分1.5分。； ③安装调试方案:对供应商提供的“完整性、可实施性、针对性”进行评定，每个评审标准最高得0.5分，此项满分1.5分。； ④人员、物力调配安排：对供应商提供的“完整性、可实施性、针对性”进行评定，每个评审标准最高得0.5分，此项满分1.5分。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根据项目实际需求，提供质量保证方案。内容包含：①产品性能②使用寿命及效果③交货及安装时间。 二、评审标准 1.可实施性：切合本项目实际情况，提出步骤清晰、合理的方案； 2.针对性：方案能够紧扣项目实际情况，内容科学合理。 三、赋分依据（满分4分） ①产品性能：对供应商提供的“可实施性、针对性”进行评定，每个评审标准最高得1分，满分2分； ②使用寿命及效果:对供应商提供的“可实施性、针对性”进行评定，每个评审标准最高得0.5分，满分1分； ③交货及安装时间:对供应商提供的“可实施性、针对性”进行评定，每个评审标准最高得0.5分，满分1分。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投标人在采购人对于技术培训要求的基础上，提供优化后的产品培训方案，保障采购人能更快更顺利的投入使用，包括但不限于：① 培训计划，含培训计划表、地点、时间及培训对象人数等；② 培训内容，含所提供产品的原理和技术性能、操作维护方法、排除故障等。方案各部分内容全面详细、阐述条理清晰详尽、符合本项目采购需求得3分；以上分项每缺少一项内容扣2分；有某一项不完整或不符合实际要求或不满足实施要求或套用其他项目内容的扣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提供投标人2023年5月1日以来类似项目业绩（以合同签订日期为准），每份合格业绩合同计1分，满分6分。 赋分依据：需提供完整业绩合同复印件，并加盖投标人公章。前述两种证明材料提供一方可得分，否则不得分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根据项目实际需求提供售后服务方案。内容包含：①售后服务范围②响应时间及方式③故障处理及补救措施④定期回访及维护。 二、评审标准 1.完整性：方案必须全面，对评审内容中的各项要求有详细描述； 2.可实施性：切合本项目实际情况，提出步骤清晰、合理的方案； 3.针对性：方案能够紧扣项目实际情况，内容科学合理。 三、赋分依据（满分6分） ①售后服务范围：对供应商提供的“完整性、可实施性、针对性”进行评定，每个评审标准最高得0.5分，满分1.5分； ②响应时间及方式:对供应商提供的“完整性、可实施性、针对性”进行评定，每个评审标准最高得0.5分，满分1.5分； ③故障处理及补救措施:对供应商提供的“完整性、可实施性、针对性”进行评定，每个评审标准最高得0.5分，满分1.5分； ④定期回访及维护:对供应商提供的“完整性、可实施性、针对性”进行评定，每个评审标准最高得0.5分，满分1.5分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售后服务docx.docx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针对本项目的特点和需求等内容提供增值服务承诺（例如：硬件、软件更新、配件更换服务等增值服务）。每提供一项承诺，得1分，满分3分。无承诺不得分。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增值服务.docx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承诺质保期在满足招标文件（1年）要求的基础上，每增加一年得1分，满1分。无承诺不得分。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质保期.docx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w:t>
            </w:r>
          </w:p>
          <w:p>
            <w:pPr>
              <w:pStyle w:val="null3"/>
            </w:pPr>
            <w:r>
              <w:rPr>
                <w:rFonts w:ascii="仿宋_GB2312" w:hAnsi="仿宋_GB2312" w:cs="仿宋_GB2312" w:eastAsia="仿宋_GB2312"/>
              </w:rPr>
              <w:t>投标人认为有必要说明的问题.docx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有效投标⼈的最低报价为评标基准价得40分，其他各投标⼈的报价得分按下列公式计算：（评标基准价/投标报价）×40％×100。 备注：根据《国务院办公厅关于在政府采购中实施本国产品标准及相关政策的通知 》（国办发〔2025〕34号），政府采购活动中既有本国产品⼜有⾮本国产品参与竞争的，依法对本国产品给予价格评审优惠，对本国产品的报价给予20%的价格扣除，⽤扣除后的价格参与评审。当采购项⽬或者采购包中含有多种产品，投标⼈为该采购项⽬或者采购包提供的符合本国产品标准的产品成本之和占该投标⼈提供的全部产品成本之和的⽐例达到80%以上时，依法对该投标⼈提供的全部产品给予价格评审优惠，即对该投标⼈提供的全部产品的总报价给予20%的价格扣除，⽤扣除后的价格参与评审。</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所投产品技术参数清楚、明确并能逐条响应招标文件第四章“技术参数表”中所有参数要求，得28分。其中： （1）★参数为实质性参数，需提供相关证明材料（加盖投标人公章国家认可的第三方检测机构出具的检测报告、技术白皮书、官网截图任意一种），不满足项目要求直接予以废标。 （2）▲项（共6项）满分 18分，每项负偏离扣3分，扣完为止。 （3）未标项（共5项）满分10分，每项负偏离扣2分，扣完为止。 注：标注“▲”和“★”的参数须提供相关技术指标证明材料予以佐证，提供的佐证材料如下：加盖投标人公章国家认可的第三方检测机构出具的检测报告、技术白皮书、官网截图任意一种。</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技术参数..docx</w:t>
            </w:r>
          </w:p>
          <w:p>
            <w:pPr>
              <w:pStyle w:val="null3"/>
            </w:pPr>
            <w:r>
              <w:rPr>
                <w:rFonts w:ascii="仿宋_GB2312" w:hAnsi="仿宋_GB2312" w:cs="仿宋_GB2312" w:eastAsia="仿宋_GB2312"/>
              </w:rPr>
              <w:t>节能环保.docx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投标人需针对本项目提供完整的项目实施方案。内容包含：①供货组织及进度安排②对接及运输方案③调试方案④人员、物力调配安排。 二、评审标准 1、完整性：方案必须全面，对评审内容中的各项要求有详细描述； 2、可实施性：切合本项目实际情况，提出步骤清晰、合理的方案； 3、针对性：方案能够紧扣项目实际情况，内容科学合理。 三、赋分依据（满分6分） ①供货组织及进度安排：对供应商提供的“完整性、可实施性、针对性”进行评定，每个评审标准最高得0.5分，此项满分1.5分。； ②对接及运输方案:对供应商提供的“完整性、可实施性、针对性”进行评定，每个评审标准最高得0.5分，此项满分1.5分。； ③安装调试方案:对供应商提供的“完整性、可实施性、针对性”进行评定，每个评审标准最高得0.5分，此项满分1.5分。； ④人员、物力调配安排：对供应商提供的“完整性、可实施性、针对性”进行评定，每个评审标准最高得0.5分，此项满分1.5分。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根据项目实际需求，提供质量保证方案。内容包含：①产品性能②使用寿命及效果③交货及安装时间。 二、评审标准 1.可实施性：切合本项目实际情况，提出步骤清晰、合理的方案； 2.针对性：方案能够紧扣项目实际情况，内容科学合理。 三、赋分依据（满分4分） ①产品性能：对供应商提供的“可实施性、针对性”进行评定，每个评审标准最高得1分，满分2分； ②使用寿命及效果:对供应商提供的“可实施性、针对性”进行评定，每个评审标准最高得0.5分，满分1分； ③交货及安装时间:对供应商提供的“可实施性、针对性”进行评定，每个评审标准最高得0.5分，满分1分。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在采购人对于技术培训要求的基础上，提供优化后的产品培训方案，保障采购人能更快更顺利的投入使用，包括但不限于：①培训计划，含培训计划表、地点、时间及培训对象人数等；②培训内容，含所提供产品的原理和技术性能、操作维护方法、排除故障等。方案各部分内容全面详细、阐述条理清晰详尽、符合本项目采购需求得6分；以上分项每缺少一项内容扣3分；有某一项不完整或不符合实际要求或不满足实施要求或套用其他项目内容的扣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提供投标人2023年5月1日以来类似项目业绩（以合同签订日期为准），每份合格业绩合同计1分，满分6分。 赋分依据：需提供完整业绩合同复印件，并加盖投标人公章。前述两种证明材料提供一方可得分，否则不得分。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根据项目实际需求提供售后服务方案。内容包含：①售后服务范围②响应时间及方式③故障处理及补救措施④定期回访及维护。 二、评审标准 1.完整性：方案必须全面，对评审内容中的各项要求有详细描述； 2.可实施性：切合本项目实际情况，提出步骤清晰、合理的方案； 3.针对性：方案能够紧扣项目实际情况，内容科学合理。 三、赋分依据（满分6分） ①售后服务范围：对供应商提供的“完整性、可实施性、针对性”进行评定，每个评审标准最高得0.5分，满分1.5分； ②响应时间及方式:对供应商提供的“完整性、可实施性、针对性”进行评定，每个评审标准最高得0.5分，满分1.5分； ③故障处理及补救措施:对供应商提供的“完整性、可实施性、针对性”进行评定，每个评审标准最高得0.5分，满分1.5分； ④定期回访及维护:对供应商提供的“完整性、可实施性、针对性”进行评定，每个评审标准最高得0.5分，满分1.5分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售后服务docx.docx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承诺质保期在满足招标文件（1年）要求的基础上，每增加一年得1分，满4分。无承诺不得分。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质保期.docx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w:t>
            </w:r>
          </w:p>
          <w:p>
            <w:pPr>
              <w:pStyle w:val="null3"/>
            </w:pPr>
            <w:r>
              <w:rPr>
                <w:rFonts w:ascii="仿宋_GB2312" w:hAnsi="仿宋_GB2312" w:cs="仿宋_GB2312" w:eastAsia="仿宋_GB2312"/>
              </w:rPr>
              <w:t>投标人认为有必要说明的问题.docx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有效投标⼈的最低报价为评标基准价得40分，其他各投标⼈的报价得分按下列公式计算：（评标基准价/投标报价）×40％×100。 备注：根据《国务院办公厅关于在政府采购中实施本国产品标准及相关政策的通知 》（国办发〔2025〕34号），政府采购活动中既有本国产品⼜有⾮本国产品参与竞争的，依法对本国产品给予价格评审优惠，对本国产品的报价给予20%的价格扣除，⽤扣除后的价格参与评审。当采购项⽬或者采购包中含有多种产品，投标⼈为该采购项⽬或者采购包提供的符合本国产品标准的产品成本之和占该投标⼈提供的全部产品成本之和的⽐例达到80%以上时，依法对该投标⼈提供的全部产品给予价格评审优惠，即对该投标⼈提供的全部产品的总报价给予20%的价格扣除，⽤扣除后的价格参与评审。</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详见附件：技术参数..docx</w:t>
      </w:r>
    </w:p>
    <w:p>
      <w:pPr>
        <w:pStyle w:val="null3"/>
        <w:ind w:firstLine="960"/>
      </w:pPr>
      <w:r>
        <w:rPr>
          <w:rFonts w:ascii="仿宋_GB2312" w:hAnsi="仿宋_GB2312" w:cs="仿宋_GB2312" w:eastAsia="仿宋_GB2312"/>
        </w:rPr>
        <w:t>详见附件：节能环保.docx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详见附件：增值服务.docx</w:t>
      </w:r>
    </w:p>
    <w:p>
      <w:pPr>
        <w:pStyle w:val="null3"/>
        <w:ind w:firstLine="960"/>
      </w:pPr>
      <w:r>
        <w:rPr>
          <w:rFonts w:ascii="仿宋_GB2312" w:hAnsi="仿宋_GB2312" w:cs="仿宋_GB2312" w:eastAsia="仿宋_GB2312"/>
        </w:rPr>
        <w:t>详见附件：质保期.docx</w:t>
      </w:r>
    </w:p>
    <w:p>
      <w:pPr>
        <w:pStyle w:val="null3"/>
        <w:ind w:firstLine="960"/>
      </w:pPr>
      <w:r>
        <w:rPr>
          <w:rFonts w:ascii="仿宋_GB2312" w:hAnsi="仿宋_GB2312" w:cs="仿宋_GB2312" w:eastAsia="仿宋_GB2312"/>
        </w:rPr>
        <w:t>详见附件：售后服务docx.docx</w:t>
      </w:r>
    </w:p>
    <w:p>
      <w:pPr>
        <w:pStyle w:val="null3"/>
        <w:ind w:firstLine="960"/>
      </w:pPr>
      <w:r>
        <w:rPr>
          <w:rFonts w:ascii="仿宋_GB2312" w:hAnsi="仿宋_GB2312" w:cs="仿宋_GB2312" w:eastAsia="仿宋_GB2312"/>
        </w:rPr>
        <w:t>详见附件：投标人资格条件证明文件.docx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详见附件：履约保证金承诺函.docx</w:t>
      </w:r>
    </w:p>
    <w:p>
      <w:pPr>
        <w:pStyle w:val="null3"/>
        <w:ind w:firstLine="960"/>
      </w:pPr>
      <w:r>
        <w:rPr>
          <w:rFonts w:ascii="仿宋_GB2312" w:hAnsi="仿宋_GB2312" w:cs="仿宋_GB2312" w:eastAsia="仿宋_GB2312"/>
        </w:rPr>
        <w:t>详见附件：投标人认为有必要说明的问题.docx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详见附件：技术参数..docx</w:t>
      </w:r>
    </w:p>
    <w:p>
      <w:pPr>
        <w:pStyle w:val="null3"/>
        <w:ind w:firstLine="960"/>
      </w:pPr>
      <w:r>
        <w:rPr>
          <w:rFonts w:ascii="仿宋_GB2312" w:hAnsi="仿宋_GB2312" w:cs="仿宋_GB2312" w:eastAsia="仿宋_GB2312"/>
        </w:rPr>
        <w:t>详见附件：节能环保.docx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详见附件：增值服务.docx</w:t>
      </w:r>
    </w:p>
    <w:p>
      <w:pPr>
        <w:pStyle w:val="null3"/>
        <w:ind w:firstLine="960"/>
      </w:pPr>
      <w:r>
        <w:rPr>
          <w:rFonts w:ascii="仿宋_GB2312" w:hAnsi="仿宋_GB2312" w:cs="仿宋_GB2312" w:eastAsia="仿宋_GB2312"/>
        </w:rPr>
        <w:t>详见附件：质保期.docx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详见附件：售后服务docx.docx</w:t>
      </w:r>
    </w:p>
    <w:p>
      <w:pPr>
        <w:pStyle w:val="null3"/>
        <w:ind w:firstLine="960"/>
      </w:pPr>
      <w:r>
        <w:rPr>
          <w:rFonts w:ascii="仿宋_GB2312" w:hAnsi="仿宋_GB2312" w:cs="仿宋_GB2312" w:eastAsia="仿宋_GB2312"/>
        </w:rPr>
        <w:t>详见附件：投标人资格条件证明文件.docx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详见附件：履约保证金承诺函.docx</w:t>
      </w:r>
    </w:p>
    <w:p>
      <w:pPr>
        <w:pStyle w:val="null3"/>
        <w:ind w:firstLine="960"/>
      </w:pPr>
      <w:r>
        <w:rPr>
          <w:rFonts w:ascii="仿宋_GB2312" w:hAnsi="仿宋_GB2312" w:cs="仿宋_GB2312" w:eastAsia="仿宋_GB2312"/>
        </w:rPr>
        <w:t>详见附件：投标人认为有必要说明的问题.docx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详见附件：技术参数..docx</w:t>
      </w:r>
    </w:p>
    <w:p>
      <w:pPr>
        <w:pStyle w:val="null3"/>
        <w:ind w:firstLine="960"/>
      </w:pPr>
      <w:r>
        <w:rPr>
          <w:rFonts w:ascii="仿宋_GB2312" w:hAnsi="仿宋_GB2312" w:cs="仿宋_GB2312" w:eastAsia="仿宋_GB2312"/>
        </w:rPr>
        <w:t>详见附件：节能环保.docx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详见附件：质保期.docx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详见附件：售后服务docx.docx</w:t>
      </w:r>
    </w:p>
    <w:p>
      <w:pPr>
        <w:pStyle w:val="null3"/>
        <w:ind w:firstLine="960"/>
      </w:pPr>
      <w:r>
        <w:rPr>
          <w:rFonts w:ascii="仿宋_GB2312" w:hAnsi="仿宋_GB2312" w:cs="仿宋_GB2312" w:eastAsia="仿宋_GB2312"/>
        </w:rPr>
        <w:t>详见附件：投标人资格条件证明文件.docx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详见附件：履约保证金承诺函.docx</w:t>
      </w:r>
    </w:p>
    <w:p>
      <w:pPr>
        <w:pStyle w:val="null3"/>
        <w:ind w:firstLine="960"/>
      </w:pPr>
      <w:r>
        <w:rPr>
          <w:rFonts w:ascii="仿宋_GB2312" w:hAnsi="仿宋_GB2312" w:cs="仿宋_GB2312" w:eastAsia="仿宋_GB2312"/>
        </w:rPr>
        <w:t>详见附件：投标人认为有必要说明的问题.docx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详见附件：西安理工大学重大设备更新项目设备采购合同.docx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