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版本号：华采FW【2026】05号20260820001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飞秒激光器维保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华采FW【2026】05号</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飞秒激光器维保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华采FW【2026】05号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飞秒激光器维保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1、维保设备品牌型号：强生眼力健激光角膜手术仪（iFS Laser System），2、维保范围:包含除耗材外维修保养所需的所有零备件，3、维保服务期限：3年，4、采购预算:44.55万元/年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采购包1（飞秒激光器维保）：属于专门面向中小企业采购。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2、供应商资格承诺函：提供“汉中市政府采购供应商资格承诺函”;</w:t>
      </w:r>
    </w:p>
    <w:p>
      <w:pPr>
        <w:pStyle w:val="null3"/>
      </w:pPr>
      <w:r>
        <w:rPr>
          <w:rFonts w:ascii="仿宋_GB2312" w:hAnsi="仿宋_GB2312" w:cs="仿宋_GB2312" w:eastAsia="仿宋_GB2312"/>
        </w:rPr>
        <w:t>3、法定代表人授权委托书：投标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4、企业资格：投标供应商应具有医疗器械经营许可证或经营备案凭证。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陕西省汉中市汉台区荔枝路智诚雅居二层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曾世刚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开户名称：华睿诚项目管理有限公司汉中分公司</w:t>
            </w:r>
          </w:p>
          <w:p>
            <w:pPr>
              <w:pStyle w:val="null3"/>
            </w:pPr>
            <w:r>
              <w:rPr>
                <w:rFonts w:ascii="仿宋_GB2312" w:hAnsi="仿宋_GB2312" w:cs="仿宋_GB2312" w:eastAsia="仿宋_GB2312"/>
              </w:rPr>
              <w:t>开户银行：长安银行汉中兴元路支行</w:t>
            </w:r>
          </w:p>
          <w:p>
            <w:pPr>
              <w:pStyle w:val="null3"/>
            </w:pPr>
            <w:r>
              <w:rPr>
                <w:rFonts w:ascii="仿宋_GB2312" w:hAnsi="仿宋_GB2312" w:cs="仿宋_GB2312" w:eastAsia="仿宋_GB2312"/>
              </w:rPr>
              <w:t>银行账号：8060 6060 1421 002 099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代理服务费收费标准：参照《招标代理服务收费管理暂⾏办法》所规定的收费标准计取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提供维保服务中所使用的备件及软件均得到合法授权，不受第三方提出的侵犯专利权、著作权、商标权和工业设计权等的起诉。如果任何第三方提出由投标人所提供的维保服务所引起的侵权指控，投标人须自付费用与第三方交涉，如果法院作出不可上诉的、确定该侵权指控成立的判决，投标人应依据该判决承担责任、费用和经济赔偿，导致采购人不能正常使用设备的应退还该设备的项目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供应商投标文件内承诺的所有服务内容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联系人：曾世刚</w:t>
      </w:r>
    </w:p>
    <w:p>
      <w:pPr>
        <w:pStyle w:val="null3"/>
      </w:pPr>
      <w:r>
        <w:rPr>
          <w:rFonts w:ascii="仿宋_GB2312" w:hAnsi="仿宋_GB2312" w:cs="仿宋_GB2312" w:eastAsia="仿宋_GB2312"/>
        </w:rPr>
        <w:t>联系电话：0916-2533877</w:t>
      </w:r>
    </w:p>
    <w:p>
      <w:pPr>
        <w:pStyle w:val="null3"/>
      </w:pPr>
      <w:r>
        <w:rPr>
          <w:rFonts w:ascii="仿宋_GB2312" w:hAnsi="仿宋_GB2312" w:cs="仿宋_GB2312" w:eastAsia="仿宋_GB2312"/>
        </w:rPr>
        <w:t>地址：汉中市汉台区荔枝路智诚雅居⼆楼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1、维保设备品牌型号：强生眼力健激光角膜手术仪（iFS Laser System），2、维保范围:包含除耗材外维修保养所需的所有零备件，3、维保服务期限：3年，4、采购预算:44.55万元/年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445,500.00</w:t>
      </w:r>
    </w:p>
    <w:p>
      <w:pPr>
        <w:pStyle w:val="null3"/>
      </w:pPr>
      <w:r>
        <w:rPr>
          <w:rFonts w:ascii="仿宋_GB2312" w:hAnsi="仿宋_GB2312" w:cs="仿宋_GB2312" w:eastAsia="仿宋_GB2312"/>
        </w:rPr>
        <w:t>采购包最高限价（元）: 445,500.00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飞秒激光器维保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标的名称：飞秒激光器维保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飞秒激光角膜手术仪</w:t>
            </w:r>
            <w:r>
              <w:rPr>
                <w:rFonts w:ascii="仿宋_GB2312" w:hAnsi="仿宋_GB2312" w:cs="仿宋_GB2312" w:eastAsia="仿宋_GB2312"/>
                <w:sz w:val="24"/>
              </w:rPr>
              <w:t>iFS每年四次维护保养，维修次数不限；包含除耗材外维修保养所需的所有零备件（耗材为：管道密码锥镜的套包PI）</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iFS定期的维护保养包括：电气安全检查、激光引擎内外光路清洁及准直检查、循环冷却系统检查、能量系统检查校准、物镜悬浮力度检查校准、制瓣厚度检查及校准，总体运行状态检查等，并提供定期维护保养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供应商报价包含本项目维修所需要的技术服务费及差旅住宿等所有费用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整机状况必须经</w:t>
            </w:r>
            <w:r>
              <w:rPr>
                <w:rFonts w:ascii="仿宋_GB2312" w:hAnsi="仿宋_GB2312" w:cs="仿宋_GB2312" w:eastAsia="仿宋_GB2312"/>
                <w:sz w:val="24"/>
              </w:rPr>
              <w:t>采购人和</w:t>
            </w:r>
            <w:r>
              <w:rPr>
                <w:rFonts w:ascii="仿宋_GB2312" w:hAnsi="仿宋_GB2312" w:cs="仿宋_GB2312" w:eastAsia="仿宋_GB2312"/>
                <w:sz w:val="24"/>
              </w:rPr>
              <w:t>中标</w:t>
            </w:r>
            <w:r>
              <w:rPr>
                <w:rFonts w:ascii="仿宋_GB2312" w:hAnsi="仿宋_GB2312" w:cs="仿宋_GB2312" w:eastAsia="仿宋_GB2312"/>
                <w:sz w:val="24"/>
              </w:rPr>
              <w:t>供应商共同</w:t>
            </w:r>
            <w:r>
              <w:rPr>
                <w:rFonts w:ascii="仿宋_GB2312" w:hAnsi="仿宋_GB2312" w:cs="仿宋_GB2312" w:eastAsia="仿宋_GB2312"/>
                <w:sz w:val="24"/>
              </w:rPr>
              <w:t>核查确认后才可签订</w:t>
            </w:r>
            <w:r>
              <w:rPr>
                <w:rFonts w:ascii="仿宋_GB2312" w:hAnsi="仿宋_GB2312" w:cs="仿宋_GB2312" w:eastAsia="仿宋_GB2312"/>
                <w:sz w:val="24"/>
              </w:rPr>
              <w:t>维保合同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保修期间的设备零件免费维修更换，更换下来的不良品由供应商自行处理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维修用配件应为生产商原厂供应，保证维修后达到</w:t>
            </w:r>
            <w:r>
              <w:rPr>
                <w:rFonts w:ascii="仿宋_GB2312" w:hAnsi="仿宋_GB2312" w:cs="仿宋_GB2312" w:eastAsia="仿宋_GB2312"/>
                <w:sz w:val="24"/>
              </w:rPr>
              <w:t>原厂使用状态。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远程维修服务：</w:t>
            </w:r>
            <w:r>
              <w:rPr>
                <w:rFonts w:ascii="仿宋_GB2312" w:hAnsi="仿宋_GB2312" w:cs="仿宋_GB2312" w:eastAsia="仿宋_GB2312"/>
                <w:sz w:val="24"/>
              </w:rPr>
              <w:t>维保期间采购人</w:t>
            </w:r>
            <w:r>
              <w:rPr>
                <w:rFonts w:ascii="仿宋_GB2312" w:hAnsi="仿宋_GB2312" w:cs="仿宋_GB2312" w:eastAsia="仿宋_GB2312"/>
                <w:sz w:val="24"/>
              </w:rPr>
              <w:t>可通过电话、网络等手段免费</w:t>
            </w:r>
            <w:r>
              <w:rPr>
                <w:rFonts w:ascii="仿宋_GB2312" w:hAnsi="仿宋_GB2312" w:cs="仿宋_GB2312" w:eastAsia="仿宋_GB2312"/>
                <w:sz w:val="24"/>
              </w:rPr>
              <w:t>获得</w:t>
            </w:r>
            <w:r>
              <w:rPr>
                <w:rFonts w:ascii="仿宋_GB2312" w:hAnsi="仿宋_GB2312" w:cs="仿宋_GB2312" w:eastAsia="仿宋_GB2312"/>
                <w:sz w:val="24"/>
              </w:rPr>
              <w:t>技术支持，中标供应商所代表服务机构需提供全国范围内开通的售后服务热线电话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报修响应时间：收到报修电话后</w:t>
            </w:r>
            <w:r>
              <w:rPr>
                <w:rFonts w:ascii="仿宋_GB2312" w:hAnsi="仿宋_GB2312" w:cs="仿宋_GB2312" w:eastAsia="仿宋_GB2312"/>
                <w:sz w:val="24"/>
              </w:rPr>
              <w:t>4小时内回电，48小时内提供现场服务，具体时间可与使用科室协商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必要的其它服务，如：临床技术咨询、开展新术式（角膜移植术、</w:t>
            </w:r>
            <w:r>
              <w:rPr>
                <w:rFonts w:ascii="仿宋_GB2312" w:hAnsi="仿宋_GB2312" w:cs="仿宋_GB2312" w:eastAsia="仿宋_GB2312"/>
                <w:sz w:val="24"/>
              </w:rPr>
              <w:t>ICL激光无刀切口手术、高度散光松解术…）的现场临床培训服务，持续提供设备原厂必要的软件、硬件升级以及相关性能的提升并持续监控设备等</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设备版本保证不低于目前厂家发布的最新版本</w:t>
            </w:r>
            <w:r>
              <w:rPr>
                <w:rFonts w:ascii="仿宋_GB2312" w:hAnsi="仿宋_GB2312" w:cs="仿宋_GB2312" w:eastAsia="仿宋_GB2312"/>
                <w:sz w:val="24"/>
              </w:rPr>
              <w:t>2.70.17</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供应商能合法获得原厂的维修密码，且完整有效地使用维修程序解决相应故障</w:t>
            </w:r>
            <w:r>
              <w:rPr>
                <w:rFonts w:ascii="仿宋_GB2312" w:hAnsi="仿宋_GB2312" w:cs="仿宋_GB2312" w:eastAsia="仿宋_GB2312"/>
                <w:sz w:val="24"/>
              </w:rPr>
              <w:t>，</w:t>
            </w:r>
            <w:r>
              <w:rPr>
                <w:rFonts w:ascii="仿宋_GB2312" w:hAnsi="仿宋_GB2312" w:cs="仿宋_GB2312" w:eastAsia="仿宋_GB2312"/>
                <w:sz w:val="24"/>
              </w:rPr>
              <w:t>提供厂家出具的相关证明材料</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供应商所代表的服务机构需在国内设有专业、数量充足</w:t>
            </w:r>
            <w:r>
              <w:rPr>
                <w:rFonts w:ascii="仿宋_GB2312" w:hAnsi="仿宋_GB2312" w:cs="仿宋_GB2312" w:eastAsia="仿宋_GB2312"/>
                <w:sz w:val="24"/>
              </w:rPr>
              <w:t>的</w:t>
            </w:r>
            <w:r>
              <w:rPr>
                <w:rFonts w:ascii="仿宋_GB2312" w:hAnsi="仿宋_GB2312" w:cs="仿宋_GB2312" w:eastAsia="仿宋_GB2312"/>
                <w:sz w:val="24"/>
              </w:rPr>
              <w:t>设备</w:t>
            </w:r>
            <w:r>
              <w:rPr>
                <w:rFonts w:ascii="仿宋_GB2312" w:hAnsi="仿宋_GB2312" w:cs="仿宋_GB2312" w:eastAsia="仿宋_GB2312"/>
                <w:sz w:val="24"/>
              </w:rPr>
              <w:t>原厂</w:t>
            </w:r>
            <w:r>
              <w:rPr>
                <w:rFonts w:ascii="仿宋_GB2312" w:hAnsi="仿宋_GB2312" w:cs="仿宋_GB2312" w:eastAsia="仿宋_GB2312"/>
                <w:sz w:val="24"/>
              </w:rPr>
              <w:t>零备件仓库</w:t>
            </w:r>
            <w:r>
              <w:rPr>
                <w:rFonts w:ascii="仿宋_GB2312" w:hAnsi="仿宋_GB2312" w:cs="仿宋_GB2312" w:eastAsia="仿宋_GB2312"/>
                <w:sz w:val="24"/>
              </w:rPr>
              <w:t>，</w:t>
            </w:r>
            <w:r>
              <w:rPr>
                <w:rFonts w:ascii="仿宋_GB2312" w:hAnsi="仿宋_GB2312" w:cs="仿宋_GB2312" w:eastAsia="仿宋_GB2312"/>
                <w:sz w:val="24"/>
              </w:rPr>
              <w:t>备件需为全新零部件，提供相关照片及进货渠道等证明材料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投标人应保证提供维保服务中所使用的备件及软件均得到合法授权，不受第三方提出的侵犯专利权、著作权、商标权和工业设计权等的起诉。如果任何第三方提出由投标人所提供的维保服务所引起的侵权指控，投标人须自付费用与第三方交涉，如果法院作出不可上诉的、确定该侵权指控成立的判决，投标人应依据该判决承担责任、费用和经济赔偿，导致采购人不能正常使用设备的应退还该设备的项目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维保服务期内设备正常运行，服务期限内全年开机天数：≥95％</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进度款，维保年度最后一个月，达到付款条件起30个工作日内，支付合同总金额的10.0%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向采购人当地人民法院提起诉讼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投标供应商应具有医疗器械经营许可证或经营备案凭证。</w:t>
            </w:r>
          </w:p>
        </w:tc>
        <w:tc>
          <w:tcPr>
            <w:tcW w:type="dxa" w:w="1661"/>
          </w:tcPr>
          <w:p>
            <w:pPr>
              <w:pStyle w:val="null3"/>
            </w:pPr>
            <w:r>
              <w:rPr>
                <w:rFonts w:ascii="仿宋_GB2312" w:hAnsi="仿宋_GB2312" w:cs="仿宋_GB2312" w:eastAsia="仿宋_GB2312"/>
              </w:rPr>
              <w:t>资格证明材料内容及格式.docx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商务应答表1.docx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技术参数与性能指标评审</w:t>
            </w:r>
          </w:p>
        </w:tc>
        <w:tc>
          <w:tcPr>
            <w:tcW w:type="dxa" w:w="2492"/>
          </w:tcPr>
          <w:p>
            <w:pPr>
              <w:pStyle w:val="null3"/>
            </w:pPr>
            <w:r>
              <w:rPr>
                <w:rFonts w:ascii="仿宋_GB2312" w:hAnsi="仿宋_GB2312" w:cs="仿宋_GB2312" w:eastAsia="仿宋_GB2312"/>
              </w:rPr>
              <w:t>技术参数与性能指标：完全响应或优于采购要求得40分，带有“▲”标识的一项不满足扣6分，没有“▲”标识的一项不满足扣3分，扣完为止。带有“▲”项需提供相关证明材料。</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详细评审-1、技术参数与性能指标应答表.docx</w:t>
            </w:r>
          </w:p>
          <w:p>
            <w:pPr>
              <w:pStyle w:val="null3"/>
            </w:pPr>
            <w:r>
              <w:rPr>
                <w:rFonts w:ascii="仿宋_GB2312" w:hAnsi="仿宋_GB2312" w:cs="仿宋_GB2312" w:eastAsia="仿宋_GB2312"/>
              </w:rPr>
              <w:t>商务应答表1.docx</w:t>
            </w:r>
          </w:p>
        </w:tc>
      </w:tr>
      <w:tr>
        <w:tc>
          <w:tcPr>
            <w:tcW w:type="dxa" w:w="831"/>
            <w:vMerge/>
          </w:tcPr>
          <w:p/>
        </w:tc>
        <w:tc>
          <w:tcPr>
            <w:tcW w:type="dxa" w:w="1661"/>
          </w:tcPr>
          <w:p>
            <w:pPr>
              <w:pStyle w:val="null3"/>
            </w:pPr>
            <w:r>
              <w:rPr>
                <w:rFonts w:ascii="仿宋_GB2312" w:hAnsi="仿宋_GB2312" w:cs="仿宋_GB2312" w:eastAsia="仿宋_GB2312"/>
              </w:rPr>
              <w:t>保养、维护方案</w:t>
            </w:r>
          </w:p>
        </w:tc>
        <w:tc>
          <w:tcPr>
            <w:tcW w:type="dxa" w:w="2492"/>
          </w:tcPr>
          <w:p>
            <w:pPr>
              <w:pStyle w:val="null3"/>
            </w:pPr>
            <w:r>
              <w:rPr>
                <w:rFonts w:ascii="仿宋_GB2312" w:hAnsi="仿宋_GB2312" w:cs="仿宋_GB2312" w:eastAsia="仿宋_GB2312"/>
              </w:rPr>
              <w:t>供应商对本项目提供完善的保养、维护方案：（1）设备保养方案，（2）设备维修方案。 ⽅案各部分内容全⾯详细、阐述条理清晰详尽、符合本项⽬采购需求得20分；⽅案每缺⼀项，以20分为基础扣10分 ，扣完为⽌；⽅案内容每有⼀处瑕疵，以20分为基础扣5分，扣完为⽌。 注：评审内容“瑕疵”是指出现以下任意⼀项：内容粗略、逻辑混乱、描述过于简单、与项⽬特点不匹配、逻辑漏洞、出现常识性错误、存在不适⽤本项⽬实际情况的情形或只有标题没有实质性内容等。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详细评审-2、保养、维护方案.docx</w:t>
            </w:r>
          </w:p>
          <w:p>
            <w:pPr>
              <w:pStyle w:val="null3"/>
            </w:pPr>
            <w:r>
              <w:rPr>
                <w:rFonts w:ascii="仿宋_GB2312" w:hAnsi="仿宋_GB2312" w:cs="仿宋_GB2312" w:eastAsia="仿宋_GB2312"/>
              </w:rPr>
              <w:t>商务应答表1.docx</w:t>
            </w:r>
          </w:p>
        </w:tc>
      </w:tr>
      <w:tr>
        <w:tc>
          <w:tcPr>
            <w:tcW w:type="dxa" w:w="831"/>
            <w:vMerge/>
          </w:tcPr>
          <w:p/>
        </w:tc>
        <w:tc>
          <w:tcPr>
            <w:tcW w:type="dxa" w:w="1661"/>
          </w:tcPr>
          <w:p>
            <w:pPr>
              <w:pStyle w:val="null3"/>
            </w:pPr>
            <w:r>
              <w:rPr>
                <w:rFonts w:ascii="仿宋_GB2312" w:hAnsi="仿宋_GB2312" w:cs="仿宋_GB2312" w:eastAsia="仿宋_GB2312"/>
              </w:rPr>
              <w:t>故障紧急应急预案</w:t>
            </w:r>
          </w:p>
        </w:tc>
        <w:tc>
          <w:tcPr>
            <w:tcW w:type="dxa" w:w="2492"/>
          </w:tcPr>
          <w:p>
            <w:pPr>
              <w:pStyle w:val="null3"/>
            </w:pPr>
            <w:r>
              <w:rPr>
                <w:rFonts w:ascii="仿宋_GB2312" w:hAnsi="仿宋_GB2312" w:cs="仿宋_GB2312" w:eastAsia="仿宋_GB2312"/>
              </w:rPr>
              <w:t>供应商对设备可能出现的突发事件问题及重大故障，有具体可行的应急预案措施和解决方案：预案各部分内容全⾯详细、阐述条理清晰详尽、符合本项⽬采购需求得10分；⽅案内容每有⼀处瑕疵，以10分为基础扣5分，扣完为⽌。 注：评审内容“瑕疵”是指出现以下任意⼀项：内容粗略、逻辑混乱、描述过于简单、与项⽬特点不匹配、逻辑漏洞、出现常识性错误、存在不适⽤本项⽬实际情况的情形或只有标题没有实质性内容等。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详细评审-3、故障紧急应急预案.docx</w:t>
            </w:r>
          </w:p>
          <w:p>
            <w:pPr>
              <w:pStyle w:val="null3"/>
            </w:pPr>
            <w:r>
              <w:rPr>
                <w:rFonts w:ascii="仿宋_GB2312" w:hAnsi="仿宋_GB2312" w:cs="仿宋_GB2312" w:eastAsia="仿宋_GB2312"/>
              </w:rPr>
              <w:t>商务应答表1.docx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供应商对本项目维保服务提供切实可行的服务质量保证方案措施：方案各部分内容全⾯详细、阐述条理清晰详尽、符合本项⽬采购需求得5分；⽅案内容每有⼀处瑕疵，以5分为基础扣2.5分，扣完为⽌。 注：评审内容“瑕疵”是指出现以下任意⼀项：内容粗略、逻辑混乱、描述过于简单、与项⽬特点不匹配、逻辑漏洞、出现常识性错误、存在不适⽤本项⽬实际情况的情形或只有标题没有实质性内容等。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详细评审-4、服务质量保证措施.docx</w:t>
            </w:r>
          </w:p>
          <w:p>
            <w:pPr>
              <w:pStyle w:val="null3"/>
            </w:pPr>
            <w:r>
              <w:rPr>
                <w:rFonts w:ascii="仿宋_GB2312" w:hAnsi="仿宋_GB2312" w:cs="仿宋_GB2312" w:eastAsia="仿宋_GB2312"/>
              </w:rPr>
              <w:t>商务应答表1.docx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出现故障响应时间、人员到场时间、故障恢复时效及后续服务提供完整的服务承诺，服务承诺内容全⾯详细、阐述条理清晰详尽、符合本项⽬采购需求得5分；⽅案内容每有⼀处瑕疵，以5分为基础扣2.5分，扣完为⽌。 注：评审内容“瑕疵”是指出现以下任意⼀项：内容粗略、逻辑混乱、描述过于简单、与项⽬特点不匹配、逻辑漏洞、出现常识性错误、存在不适⽤本项⽬实际情况的情形或只有标题没有实质性内容等。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详细评审-5、服务承诺.docx</w:t>
            </w:r>
          </w:p>
          <w:p>
            <w:pPr>
              <w:pStyle w:val="null3"/>
            </w:pPr>
            <w:r>
              <w:rPr>
                <w:rFonts w:ascii="仿宋_GB2312" w:hAnsi="仿宋_GB2312" w:cs="仿宋_GB2312" w:eastAsia="仿宋_GB2312"/>
              </w:rPr>
              <w:t>商务应答表1.docx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供应商针对本项目配备专业的维修技术负责人。 具有有效的维修资格证书得3分，具有通过设备生产商原厂培训考核并持有有效维修资格证书得5分。 以供应商提供的相关维修资格证书为准。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详细评审-6、技术负责人.docx</w:t>
            </w:r>
          </w:p>
          <w:p>
            <w:pPr>
              <w:pStyle w:val="null3"/>
            </w:pPr>
            <w:r>
              <w:rPr>
                <w:rFonts w:ascii="仿宋_GB2312" w:hAnsi="仿宋_GB2312" w:cs="仿宋_GB2312" w:eastAsia="仿宋_GB2312"/>
              </w:rPr>
              <w:t>商务应答表1.docx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供应商2021年1月1日至投标截止之日（以合同签订时间为准）承担过本次维保设备的维保业绩，每提供一份得2.5分，最高得5分。提供合同复印件，未提供不得分。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详细评审-7、类似业绩.docx</w:t>
            </w:r>
          </w:p>
          <w:p>
            <w:pPr>
              <w:pStyle w:val="null3"/>
            </w:pPr>
            <w:r>
              <w:rPr>
                <w:rFonts w:ascii="仿宋_GB2312" w:hAnsi="仿宋_GB2312" w:cs="仿宋_GB2312" w:eastAsia="仿宋_GB2312"/>
              </w:rPr>
              <w:t>商务应答表1.docx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 一按照下列公式计算： 投标报价得分=（评标基准价/投标报价）×价格分值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详见附件：详细评审-1、技术参数与性能指标应答表.docx</w:t>
      </w:r>
    </w:p>
    <w:p>
      <w:pPr>
        <w:pStyle w:val="null3"/>
        <w:ind w:firstLine="960"/>
      </w:pPr>
      <w:r>
        <w:rPr>
          <w:rFonts w:ascii="仿宋_GB2312" w:hAnsi="仿宋_GB2312" w:cs="仿宋_GB2312" w:eastAsia="仿宋_GB2312"/>
        </w:rPr>
        <w:t>详见附件：详细评审-2、保养、维护方案.docx</w:t>
      </w:r>
    </w:p>
    <w:p>
      <w:pPr>
        <w:pStyle w:val="null3"/>
        <w:ind w:firstLine="960"/>
      </w:pPr>
      <w:r>
        <w:rPr>
          <w:rFonts w:ascii="仿宋_GB2312" w:hAnsi="仿宋_GB2312" w:cs="仿宋_GB2312" w:eastAsia="仿宋_GB2312"/>
        </w:rPr>
        <w:t>详见附件：详细评审-3、故障紧急应急预案.docx</w:t>
      </w:r>
    </w:p>
    <w:p>
      <w:pPr>
        <w:pStyle w:val="null3"/>
        <w:ind w:firstLine="960"/>
      </w:pPr>
      <w:r>
        <w:rPr>
          <w:rFonts w:ascii="仿宋_GB2312" w:hAnsi="仿宋_GB2312" w:cs="仿宋_GB2312" w:eastAsia="仿宋_GB2312"/>
        </w:rPr>
        <w:t>详见附件：详细评审-4、服务质量保证措施.docx</w:t>
      </w:r>
    </w:p>
    <w:p>
      <w:pPr>
        <w:pStyle w:val="null3"/>
        <w:ind w:firstLine="960"/>
      </w:pPr>
      <w:r>
        <w:rPr>
          <w:rFonts w:ascii="仿宋_GB2312" w:hAnsi="仿宋_GB2312" w:cs="仿宋_GB2312" w:eastAsia="仿宋_GB2312"/>
        </w:rPr>
        <w:t>详见附件：详细评审-5、服务承诺.docx</w:t>
      </w:r>
    </w:p>
    <w:p>
      <w:pPr>
        <w:pStyle w:val="null3"/>
        <w:ind w:firstLine="960"/>
      </w:pPr>
      <w:r>
        <w:rPr>
          <w:rFonts w:ascii="仿宋_GB2312" w:hAnsi="仿宋_GB2312" w:cs="仿宋_GB2312" w:eastAsia="仿宋_GB2312"/>
        </w:rPr>
        <w:t>详见附件：详细评审-6、技术负责人.docx</w:t>
      </w:r>
    </w:p>
    <w:p>
      <w:pPr>
        <w:pStyle w:val="null3"/>
        <w:ind w:firstLine="960"/>
      </w:pPr>
      <w:r>
        <w:rPr>
          <w:rFonts w:ascii="仿宋_GB2312" w:hAnsi="仿宋_GB2312" w:cs="仿宋_GB2312" w:eastAsia="仿宋_GB2312"/>
        </w:rPr>
        <w:t>详见附件：详细评审-7、类似业绩.docx</w:t>
      </w:r>
    </w:p>
    <w:p>
      <w:pPr>
        <w:pStyle w:val="null3"/>
        <w:ind w:firstLine="960"/>
      </w:pPr>
      <w:r>
        <w:rPr>
          <w:rFonts w:ascii="仿宋_GB2312" w:hAnsi="仿宋_GB2312" w:cs="仿宋_GB2312" w:eastAsia="仿宋_GB2312"/>
        </w:rPr>
        <w:t>详见附件：资格证明材料内容及格式.docx</w:t>
      </w:r>
    </w:p>
    <w:p>
      <w:pPr>
        <w:pStyle w:val="null3"/>
        <w:ind w:firstLine="960"/>
      </w:pPr>
      <w:r>
        <w:rPr>
          <w:rFonts w:ascii="仿宋_GB2312" w:hAnsi="仿宋_GB2312" w:cs="仿宋_GB2312" w:eastAsia="仿宋_GB2312"/>
        </w:rPr>
        <w:t>详见附件：商务应答表1.docx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