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DA8F55">
      <w:pPr>
        <w:adjustRightInd w:val="0"/>
        <w:snapToGrid w:val="0"/>
        <w:spacing w:line="360" w:lineRule="auto"/>
        <w:jc w:val="left"/>
        <w:rPr>
          <w:rFonts w:hint="default" w:ascii="宋体" w:hAnsi="宋体" w:eastAsia="宋体" w:cs="宋体"/>
          <w:b/>
          <w:sz w:val="28"/>
          <w:szCs w:val="28"/>
          <w:highlight w:val="none"/>
          <w:lang w:val="en-US" w:eastAsia="zh-CN"/>
        </w:rPr>
      </w:pPr>
      <w:bookmarkStart w:id="0" w:name="OLE_LINK9"/>
      <w:r>
        <w:rPr>
          <w:rFonts w:hint="eastAsia" w:ascii="Times New Roman" w:hAnsi="宋体" w:eastAsia="微软雅黑" w:cs="宋体"/>
          <w:b/>
          <w:kern w:val="2"/>
          <w:sz w:val="28"/>
          <w:szCs w:val="28"/>
          <w:highlight w:val="none"/>
          <w:lang w:val="en-US" w:eastAsia="zh-CN" w:bidi="ar-SA"/>
        </w:rPr>
        <w:t>government procurement project</w:t>
      </w:r>
      <w:bookmarkEnd w:id="0"/>
    </w:p>
    <w:p w14:paraId="5F754C63">
      <w:pPr>
        <w:adjustRightInd w:val="0"/>
        <w:snapToGrid w:val="0"/>
        <w:spacing w:line="360" w:lineRule="auto"/>
        <w:jc w:val="left"/>
        <w:rPr>
          <w:rFonts w:hint="eastAsia" w:ascii="宋体" w:hAnsi="宋体" w:eastAsia="宋体" w:cs="宋体"/>
          <w:b/>
          <w:sz w:val="28"/>
          <w:szCs w:val="28"/>
          <w:highlight w:val="none"/>
          <w:lang w:eastAsia="zh-CN"/>
        </w:rPr>
      </w:pPr>
      <w:r>
        <w:rPr>
          <w:rFonts w:hint="eastAsia" w:ascii="Times New Roman" w:hAnsi="宋体" w:eastAsia="微软雅黑" w:cs="宋体"/>
          <w:b/>
          <w:kern w:val="2"/>
          <w:sz w:val="28"/>
          <w:szCs w:val="28"/>
          <w:highlight w:val="none"/>
          <w:lang w:val="en-US" w:eastAsia="zh-CN" w:bidi="ar-SA"/>
        </w:rPr>
        <w:t>Project Number: ZMZB2026YLYY-282</w:t>
      </w:r>
    </w:p>
    <w:p w14:paraId="4E766031">
      <w:pPr>
        <w:tabs>
          <w:tab w:val="left" w:pos="2336"/>
        </w:tabs>
        <w:adjustRightInd w:val="0"/>
        <w:snapToGrid w:val="0"/>
        <w:spacing w:line="360" w:lineRule="auto"/>
        <w:rPr>
          <w:rFonts w:ascii="宋体" w:hAnsi="宋体" w:cs="宋体"/>
          <w:b/>
          <w:bCs/>
          <w:sz w:val="48"/>
          <w:szCs w:val="48"/>
          <w:highlight w:val="none"/>
        </w:rPr>
      </w:pPr>
      <w:r>
        <w:rPr>
          <w:rFonts w:hint="eastAsia" w:ascii="Times New Roman" w:hAnsi="宋体" w:eastAsia="微软雅黑" w:cs="宋体"/>
          <w:b/>
          <w:kern w:val="2"/>
          <w:sz w:val="44"/>
          <w:szCs w:val="44"/>
          <w:highlight w:val="none"/>
          <w:lang w:val="en-US" w:eastAsia="zh-CN" w:bidi="ar-SA"/>
        </w:rPr>
        <w:tab/>
      </w:r>
    </w:p>
    <w:p w14:paraId="1289C580">
      <w:pPr>
        <w:adjustRightInd w:val="0"/>
        <w:snapToGrid w:val="0"/>
        <w:spacing w:line="360" w:lineRule="auto"/>
        <w:jc w:val="center"/>
        <w:rPr>
          <w:rFonts w:hint="eastAsia" w:ascii="宋体" w:hAnsi="宋体" w:eastAsia="宋体" w:cs="宋体"/>
          <w:b/>
          <w:bCs/>
          <w:sz w:val="48"/>
          <w:szCs w:val="48"/>
          <w:highlight w:val="none"/>
          <w:lang w:eastAsia="zh-CN"/>
        </w:rPr>
      </w:pPr>
      <w:r>
        <w:rPr>
          <w:rFonts w:hint="eastAsia" w:ascii="Times New Roman" w:hAnsi="宋体" w:eastAsia="微软雅黑" w:cs="宋体"/>
          <w:b/>
          <w:bCs/>
          <w:kern w:val="2"/>
          <w:sz w:val="48"/>
          <w:szCs w:val="48"/>
          <w:highlight w:val="none"/>
          <w:lang w:val="en-US" w:eastAsia="zh-CN" w:bidi="ar-SA"/>
        </w:rPr>
        <w:t>Yangling Demonstration Zone Hospital</w:t>
      </w:r>
    </w:p>
    <w:p w14:paraId="70BFB9EC">
      <w:pPr>
        <w:adjustRightInd w:val="0"/>
        <w:snapToGrid w:val="0"/>
        <w:spacing w:line="360" w:lineRule="auto"/>
        <w:jc w:val="center"/>
        <w:rPr>
          <w:rFonts w:hint="eastAsia" w:ascii="宋体" w:hAnsi="宋体" w:eastAsia="宋体" w:cs="宋体"/>
          <w:b/>
          <w:bCs/>
          <w:sz w:val="48"/>
          <w:szCs w:val="48"/>
          <w:highlight w:val="none"/>
          <w:lang w:eastAsia="zh-CN"/>
        </w:rPr>
      </w:pPr>
      <w:r>
        <w:rPr>
          <w:rFonts w:hint="eastAsia" w:ascii="Times New Roman" w:hAnsi="宋体" w:eastAsia="微软雅黑" w:cs="宋体"/>
          <w:b/>
          <w:bCs/>
          <w:kern w:val="2"/>
          <w:sz w:val="48"/>
          <w:szCs w:val="48"/>
          <w:highlight w:val="none"/>
          <w:lang w:val="en-US" w:eastAsia="zh-CN" w:bidi="ar-SA"/>
        </w:rPr>
        <w:t>Procurement Project for Digital Subtraction Angiography (DSA) Equipment</w:t>
      </w:r>
    </w:p>
    <w:p w14:paraId="03E679A7">
      <w:pPr>
        <w:pStyle w:val="11"/>
        <w:rPr>
          <w:highlight w:val="none"/>
        </w:rPr>
      </w:pPr>
    </w:p>
    <w:p w14:paraId="52F141D8">
      <w:pPr>
        <w:rPr>
          <w:highlight w:val="none"/>
        </w:rPr>
      </w:pPr>
    </w:p>
    <w:p w14:paraId="607BCDD6">
      <w:pPr>
        <w:adjustRightInd w:val="0"/>
        <w:snapToGrid w:val="0"/>
        <w:spacing w:line="360" w:lineRule="auto"/>
        <w:jc w:val="left"/>
        <w:rPr>
          <w:rFonts w:ascii="宋体" w:hAnsi="宋体" w:cs="宋体"/>
          <w:highlight w:val="none"/>
        </w:rPr>
      </w:pPr>
      <w:r>
        <w:rPr>
          <w:rFonts w:hint="eastAsia" w:ascii="宋体" w:hAnsi="宋体" w:cs="宋体"/>
          <w:highlight w:val="none"/>
        </w:rPr>
        <w:drawing>
          <wp:anchor distT="0" distB="0" distL="114300" distR="114300" simplePos="0" relativeHeight="251660288" behindDoc="0" locked="0" layoutInCell="1" allowOverlap="1">
            <wp:simplePos x="0" y="0"/>
            <wp:positionH relativeFrom="column">
              <wp:posOffset>1672590</wp:posOffset>
            </wp:positionH>
            <wp:positionV relativeFrom="paragraph">
              <wp:posOffset>50165</wp:posOffset>
            </wp:positionV>
            <wp:extent cx="2095500" cy="1087120"/>
            <wp:effectExtent l="0" t="0" r="0" b="17780"/>
            <wp:wrapSquare wrapText="bothSides"/>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26"/>
                    <a:stretch>
                      <a:fillRect/>
                    </a:stretch>
                  </pic:blipFill>
                  <pic:spPr>
                    <a:xfrm>
                      <a:off x="0" y="0"/>
                      <a:ext cx="2095500" cy="1087120"/>
                    </a:xfrm>
                    <a:prstGeom prst="rect">
                      <a:avLst/>
                    </a:prstGeom>
                    <a:noFill/>
                    <a:ln>
                      <a:noFill/>
                    </a:ln>
                  </pic:spPr>
                </pic:pic>
              </a:graphicData>
            </a:graphic>
          </wp:anchor>
        </w:drawing>
      </w:r>
    </w:p>
    <w:p w14:paraId="05255289">
      <w:pPr>
        <w:pStyle w:val="11"/>
        <w:rPr>
          <w:rFonts w:ascii="宋体" w:hAnsi="宋体" w:cs="宋体"/>
          <w:highlight w:val="none"/>
        </w:rPr>
      </w:pPr>
    </w:p>
    <w:p w14:paraId="79BC50A9">
      <w:pPr>
        <w:rPr>
          <w:rFonts w:ascii="宋体" w:hAnsi="宋体" w:cs="宋体"/>
          <w:highlight w:val="none"/>
        </w:rPr>
      </w:pPr>
    </w:p>
    <w:p w14:paraId="4C225702">
      <w:pPr>
        <w:pStyle w:val="11"/>
        <w:rPr>
          <w:rFonts w:ascii="宋体" w:hAnsi="宋体" w:cs="宋体"/>
          <w:highlight w:val="none"/>
        </w:rPr>
      </w:pPr>
    </w:p>
    <w:p w14:paraId="183DF1F0">
      <w:pPr>
        <w:rPr>
          <w:highlight w:val="none"/>
        </w:rPr>
      </w:pPr>
    </w:p>
    <w:p w14:paraId="2207381D">
      <w:pPr>
        <w:rPr>
          <w:rFonts w:ascii="宋体" w:hAnsi="宋体" w:cs="宋体"/>
          <w:b/>
          <w:sz w:val="52"/>
          <w:szCs w:val="52"/>
          <w:highlight w:val="none"/>
        </w:rPr>
      </w:pPr>
    </w:p>
    <w:p w14:paraId="1F1A41CC">
      <w:pPr>
        <w:rPr>
          <w:rFonts w:ascii="宋体" w:hAnsi="宋体" w:cs="宋体"/>
          <w:highlight w:val="none"/>
        </w:rPr>
      </w:pPr>
    </w:p>
    <w:p w14:paraId="25A925BC">
      <w:pPr>
        <w:tabs>
          <w:tab w:val="left" w:pos="0"/>
        </w:tabs>
        <w:adjustRightInd w:val="0"/>
        <w:snapToGrid w:val="0"/>
        <w:spacing w:line="360" w:lineRule="auto"/>
        <w:jc w:val="center"/>
        <w:rPr>
          <w:rFonts w:hint="eastAsia" w:ascii="宋体" w:hAnsi="宋体" w:eastAsia="宋体" w:cs="宋体"/>
          <w:b/>
          <w:sz w:val="96"/>
          <w:szCs w:val="96"/>
          <w:highlight w:val="none"/>
          <w:lang w:eastAsia="zh-CN"/>
        </w:rPr>
      </w:pPr>
      <w:r>
        <w:rPr>
          <w:rFonts w:hint="eastAsia" w:ascii="Times New Roman" w:hAnsi="宋体" w:eastAsia="微软雅黑" w:cs="宋体"/>
          <w:b/>
          <w:kern w:val="2"/>
          <w:sz w:val="72"/>
          <w:szCs w:val="72"/>
          <w:highlight w:val="none"/>
          <w:lang w:val="en-US" w:eastAsia="zh-CN" w:bidi="ar-SA"/>
        </w:rPr>
        <w:t>Open Tender Documents</w:t>
      </w:r>
    </w:p>
    <w:p w14:paraId="2331F40B">
      <w:pPr>
        <w:adjustRightInd w:val="0"/>
        <w:snapToGrid w:val="0"/>
        <w:spacing w:line="360" w:lineRule="auto"/>
        <w:jc w:val="both"/>
        <w:rPr>
          <w:rFonts w:ascii="宋体" w:hAnsi="宋体" w:cs="宋体"/>
          <w:b/>
          <w:sz w:val="32"/>
          <w:szCs w:val="32"/>
          <w:highlight w:val="none"/>
        </w:rPr>
      </w:pPr>
    </w:p>
    <w:p w14:paraId="6CB5F415">
      <w:pPr>
        <w:adjustRightInd w:val="0"/>
        <w:snapToGrid w:val="0"/>
        <w:spacing w:line="360" w:lineRule="auto"/>
        <w:jc w:val="both"/>
        <w:rPr>
          <w:rFonts w:ascii="宋体" w:hAnsi="宋体" w:cs="宋体"/>
          <w:b/>
          <w:sz w:val="32"/>
          <w:szCs w:val="32"/>
          <w:highlight w:val="none"/>
        </w:rPr>
      </w:pPr>
    </w:p>
    <w:p w14:paraId="14098CAF">
      <w:pPr>
        <w:adjustRightInd w:val="0"/>
        <w:snapToGrid w:val="0"/>
        <w:spacing w:line="360" w:lineRule="auto"/>
        <w:jc w:val="both"/>
        <w:rPr>
          <w:rFonts w:ascii="宋体" w:hAnsi="宋体" w:cs="宋体"/>
          <w:b/>
          <w:sz w:val="32"/>
          <w:szCs w:val="32"/>
          <w:highlight w:val="none"/>
        </w:rPr>
      </w:pPr>
    </w:p>
    <w:p w14:paraId="0385314C">
      <w:pPr>
        <w:adjustRightInd w:val="0"/>
        <w:snapToGrid w:val="0"/>
        <w:spacing w:line="360" w:lineRule="auto"/>
        <w:jc w:val="center"/>
        <w:rPr>
          <w:rFonts w:hint="eastAsia" w:ascii="宋体" w:hAnsi="宋体" w:eastAsia="宋体" w:cs="宋体"/>
          <w:b/>
          <w:sz w:val="36"/>
          <w:szCs w:val="36"/>
          <w:highlight w:val="none"/>
          <w:lang w:eastAsia="zh-CN"/>
        </w:rPr>
      </w:pPr>
      <w:r>
        <w:rPr>
          <w:rFonts w:hint="eastAsia" w:ascii="Times New Roman" w:hAnsi="宋体" w:eastAsia="微软雅黑" w:cs="宋体"/>
          <w:b/>
          <w:kern w:val="2"/>
          <w:sz w:val="36"/>
          <w:szCs w:val="36"/>
          <w:highlight w:val="none"/>
          <w:lang w:val="en-US" w:eastAsia="zh-CN" w:bidi="ar-SA"/>
        </w:rPr>
        <w:t>Shaanxi Zhuoqi Project Management Co., Ltd.</w:t>
      </w:r>
    </w:p>
    <w:p w14:paraId="7CDA2A47">
      <w:pPr>
        <w:adjustRightInd w:val="0"/>
        <w:snapToGrid w:val="0"/>
        <w:spacing w:line="600" w:lineRule="auto"/>
        <w:jc w:val="center"/>
        <w:rPr>
          <w:rFonts w:hint="eastAsia" w:ascii="宋体" w:hAnsi="宋体" w:eastAsia="宋体" w:cs="宋体"/>
          <w:b/>
          <w:sz w:val="40"/>
          <w:szCs w:val="40"/>
          <w:highlight w:val="none"/>
          <w:lang w:eastAsia="zh-CN"/>
        </w:rPr>
        <w:sectPr>
          <w:headerReference r:id="rId4" w:type="first"/>
          <w:footerReference r:id="rId6" w:type="first"/>
          <w:headerReference r:id="rId3" w:type="default"/>
          <w:footerReference r:id="rId5" w:type="default"/>
          <w:pgSz w:w="11906" w:h="16838"/>
          <w:pgMar w:top="1440" w:right="1486" w:bottom="1440" w:left="1800" w:header="851" w:footer="992" w:gutter="0"/>
          <w:pgNumType w:start="1"/>
          <w:cols w:space="720" w:num="1"/>
          <w:docGrid w:type="lines" w:linePitch="312" w:charSpace="0"/>
        </w:sectPr>
      </w:pPr>
      <w:r>
        <w:rPr>
          <w:rFonts w:hint="eastAsia" w:ascii="Times New Roman" w:hAnsi="宋体" w:eastAsia="微软雅黑" w:cs="宋体"/>
          <w:b/>
          <w:kern w:val="2"/>
          <w:sz w:val="36"/>
          <w:szCs w:val="36"/>
          <w:highlight w:val="none"/>
          <w:lang w:val="en-US" w:eastAsia="zh-CN" w:bidi="ar-SA"/>
        </w:rPr>
        <w:t>July 2026</w:t>
      </w:r>
    </w:p>
    <w:p w14:paraId="68665D56">
      <w:pPr>
        <w:pStyle w:val="21"/>
        <w:tabs>
          <w:tab w:val="right" w:leader="dot" w:pos="8306"/>
        </w:tabs>
        <w:spacing w:line="360" w:lineRule="auto"/>
        <w:jc w:val="center"/>
        <w:rPr>
          <w:rFonts w:hint="eastAsia" w:ascii="宋体" w:hAnsi="宋体" w:eastAsia="宋体" w:cs="宋体"/>
          <w:b/>
          <w:bCs/>
          <w:sz w:val="36"/>
          <w:szCs w:val="36"/>
          <w:highlight w:val="none"/>
          <w:lang w:eastAsia="zh-CN"/>
        </w:rPr>
      </w:pPr>
      <w:r>
        <w:rPr>
          <w:rFonts w:hint="eastAsia" w:ascii="Times New Roman" w:hAnsi="宋体" w:eastAsia="微软雅黑" w:cs="宋体"/>
          <w:b/>
          <w:bCs/>
          <w:kern w:val="2"/>
          <w:sz w:val="36"/>
          <w:szCs w:val="36"/>
          <w:highlight w:val="none"/>
          <w:lang w:val="en-US" w:eastAsia="zh-CN" w:bidi="ar-SA"/>
        </w:rPr>
        <w:t>catalogue</w:t>
      </w:r>
    </w:p>
    <w:p w14:paraId="69D2215C">
      <w:pPr>
        <w:jc w:val="center"/>
        <w:rPr>
          <w:highlight w:val="none"/>
        </w:rPr>
      </w:pPr>
    </w:p>
    <w:sdt>
      <w:sdtPr>
        <w:rPr>
          <w:rFonts w:ascii="宋体" w:hAnsi="宋体" w:eastAsia="宋体" w:cs="Times New Roman"/>
          <w:kern w:val="2"/>
          <w:sz w:val="21"/>
          <w:szCs w:val="22"/>
          <w:highlight w:val="none"/>
          <w:lang w:val="en-US" w:eastAsia="zh-CN" w:bidi="ar-SA"/>
        </w:rPr>
        <w:id w:val="147476418"/>
        <w15:color w:val="DBDBDB"/>
        <w:docPartObj>
          <w:docPartGallery w:val="Table of Contents"/>
          <w:docPartUnique/>
        </w:docPartObj>
      </w:sdtPr>
      <w:sdtEndPr>
        <w:rPr>
          <w:rFonts w:ascii="宋体" w:hAnsi="宋体" w:eastAsia="宋体" w:cs="Times New Roman"/>
          <w:kern w:val="2"/>
          <w:sz w:val="21"/>
          <w:szCs w:val="22"/>
          <w:highlight w:val="none"/>
          <w:lang w:val="en-US" w:eastAsia="zh-CN" w:bidi="ar-SA"/>
        </w:rPr>
      </w:sdtEndPr>
      <w:sdtContent>
        <w:p w14:paraId="2583FF21">
          <w:pPr>
            <w:spacing w:before="0" w:beforeLines="0" w:after="0" w:afterLines="0" w:line="240" w:lineRule="auto"/>
            <w:ind w:left="0" w:leftChars="0" w:right="0" w:rightChars="0" w:firstLine="0" w:firstLineChars="0"/>
            <w:jc w:val="center"/>
            <w:rPr>
              <w:highlight w:val="none"/>
            </w:rPr>
          </w:pPr>
        </w:p>
        <w:p w14:paraId="27AE4ECE">
          <w:pPr>
            <w:pStyle w:val="21"/>
            <w:tabs>
              <w:tab w:val="right" w:leader="dot" w:pos="8400"/>
            </w:tabs>
          </w:pPr>
          <w:r>
            <w:rPr>
              <w:highlight w:val="none"/>
            </w:rPr>
            <w:fldChar w:fldCharType="begin"/>
          </w:r>
          <w:r>
            <w:rPr>
              <w:highlight w:val="none"/>
            </w:rPr>
            <w:instrText xml:space="preserve">TOC \o "1-2" \h \u </w:instrText>
          </w:r>
          <w:r>
            <w:rPr>
              <w:highlight w:val="none"/>
            </w:rPr>
            <w:fldChar w:fldCharType="separate"/>
          </w:r>
          <w:r>
            <w:rPr>
              <w:highlight w:val="none"/>
            </w:rPr>
            <w:fldChar w:fldCharType="begin"/>
          </w:r>
          <w:r>
            <w:rPr>
              <w:highlight w:val="none"/>
            </w:rPr>
            <w:instrText xml:space="preserve"> HYPERLINK \l _Toc7066 </w:instrText>
          </w:r>
          <w:r>
            <w:rPr>
              <w:highlight w:val="none"/>
            </w:rPr>
            <w:fldChar w:fldCharType="separate"/>
          </w:r>
          <w:r>
            <w:rPr>
              <w:rFonts w:hint="eastAsia" w:ascii="Times New Roman" w:hAnsi="宋体" w:eastAsia="微软雅黑" w:cs="宋体"/>
              <w:kern w:val="44"/>
              <w:szCs w:val="20"/>
              <w:highlight w:val="none"/>
              <w:lang w:val="en-US" w:eastAsia="zh-CN" w:bidi="ar-SA"/>
            </w:rPr>
            <w:t>Part 1: Tender Announcement</w:t>
          </w:r>
          <w:r>
            <w:tab/>
          </w:r>
          <w:r>
            <w:fldChar w:fldCharType="begin"/>
          </w:r>
          <w:r>
            <w:instrText xml:space="preserve"> PAGEREF _Toc7066 \h </w:instrText>
          </w:r>
          <w:r>
            <w:fldChar w:fldCharType="separate"/>
          </w:r>
          <w:r>
            <w:t>1</w:t>
          </w:r>
          <w:r>
            <w:fldChar w:fldCharType="end"/>
          </w:r>
          <w:r>
            <w:rPr>
              <w:highlight w:val="none"/>
            </w:rPr>
            <w:fldChar w:fldCharType="end"/>
          </w:r>
        </w:p>
        <w:p w14:paraId="48E70180">
          <w:pPr>
            <w:pStyle w:val="21"/>
            <w:tabs>
              <w:tab w:val="right" w:leader="dot" w:pos="8400"/>
            </w:tabs>
          </w:pPr>
          <w:r>
            <w:rPr>
              <w:highlight w:val="none"/>
            </w:rPr>
            <w:fldChar w:fldCharType="begin"/>
          </w:r>
          <w:r>
            <w:rPr>
              <w:highlight w:val="none"/>
            </w:rPr>
            <w:instrText xml:space="preserve"> HYPERLINK \l _Toc11352 </w:instrText>
          </w:r>
          <w:r>
            <w:rPr>
              <w:highlight w:val="none"/>
            </w:rPr>
            <w:fldChar w:fldCharType="separate"/>
          </w:r>
          <w:r>
            <w:rPr>
              <w:rFonts w:hint="eastAsia" w:ascii="Times New Roman" w:hAnsi="宋体" w:eastAsia="微软雅黑" w:cs="宋体"/>
              <w:kern w:val="44"/>
              <w:szCs w:val="36"/>
              <w:highlight w:val="none"/>
              <w:lang w:val="en-US" w:eastAsia="zh-CN" w:bidi="ar-SA"/>
            </w:rPr>
            <w:t>Part Two: Supplementary Table for Supplier Guidelines</w:t>
          </w:r>
          <w:r>
            <w:tab/>
          </w:r>
          <w:r>
            <w:fldChar w:fldCharType="begin"/>
          </w:r>
          <w:r>
            <w:instrText xml:space="preserve"> PAGEREF _Toc11352 \h </w:instrText>
          </w:r>
          <w:r>
            <w:fldChar w:fldCharType="separate"/>
          </w:r>
          <w:r>
            <w:t>7</w:t>
          </w:r>
          <w:r>
            <w:fldChar w:fldCharType="end"/>
          </w:r>
          <w:r>
            <w:rPr>
              <w:highlight w:val="none"/>
            </w:rPr>
            <w:fldChar w:fldCharType="end"/>
          </w:r>
        </w:p>
        <w:p w14:paraId="31339D19">
          <w:pPr>
            <w:pStyle w:val="21"/>
            <w:tabs>
              <w:tab w:val="right" w:leader="dot" w:pos="8400"/>
            </w:tabs>
          </w:pPr>
          <w:r>
            <w:rPr>
              <w:highlight w:val="none"/>
            </w:rPr>
            <w:fldChar w:fldCharType="begin"/>
          </w:r>
          <w:r>
            <w:rPr>
              <w:highlight w:val="none"/>
            </w:rPr>
            <w:instrText xml:space="preserve"> HYPERLINK \l _Toc31407 </w:instrText>
          </w:r>
          <w:r>
            <w:rPr>
              <w:highlight w:val="none"/>
            </w:rPr>
            <w:fldChar w:fldCharType="separate"/>
          </w:r>
          <w:r>
            <w:rPr>
              <w:rFonts w:hint="eastAsia" w:ascii="Times New Roman" w:hAnsi="宋体" w:eastAsia="微软雅黑" w:cs="宋体"/>
              <w:kern w:val="44"/>
              <w:szCs w:val="36"/>
              <w:highlight w:val="none"/>
              <w:lang w:val="en-US" w:eastAsia="zh-CN" w:bidi="ar-SA"/>
            </w:rPr>
            <w:t>Part Three: Supplier Guidelines</w:t>
          </w:r>
          <w:r>
            <w:tab/>
          </w:r>
          <w:r>
            <w:fldChar w:fldCharType="begin"/>
          </w:r>
          <w:r>
            <w:instrText xml:space="preserve"> PAGEREF _Toc31407 \h </w:instrText>
          </w:r>
          <w:r>
            <w:fldChar w:fldCharType="separate"/>
          </w:r>
          <w:r>
            <w:t>16</w:t>
          </w:r>
          <w:r>
            <w:fldChar w:fldCharType="end"/>
          </w:r>
          <w:r>
            <w:rPr>
              <w:highlight w:val="none"/>
            </w:rPr>
            <w:fldChar w:fldCharType="end"/>
          </w:r>
        </w:p>
        <w:p w14:paraId="0B0A638A">
          <w:pPr>
            <w:pStyle w:val="22"/>
            <w:tabs>
              <w:tab w:val="right" w:leader="dot" w:pos="8400"/>
            </w:tabs>
          </w:pPr>
          <w:r>
            <w:rPr>
              <w:highlight w:val="none"/>
            </w:rPr>
            <w:fldChar w:fldCharType="begin"/>
          </w:r>
          <w:r>
            <w:rPr>
              <w:highlight w:val="none"/>
            </w:rPr>
            <w:instrText xml:space="preserve"> HYPERLINK \l _Toc32679 </w:instrText>
          </w:r>
          <w:r>
            <w:rPr>
              <w:highlight w:val="none"/>
            </w:rPr>
            <w:fldChar w:fldCharType="separate"/>
          </w:r>
          <w:r>
            <w:rPr>
              <w:rFonts w:hint="eastAsia" w:ascii="Times New Roman" w:hAnsi="宋体" w:eastAsia="微软雅黑" w:cs="宋体"/>
              <w:kern w:val="2"/>
              <w:szCs w:val="36"/>
              <w:highlight w:val="none"/>
              <w:lang w:val="en-US" w:eastAsia="zh-CN" w:bidi="ar-SA"/>
            </w:rPr>
            <w:t>I. General Provisions</w:t>
          </w:r>
          <w:r>
            <w:tab/>
          </w:r>
          <w:r>
            <w:fldChar w:fldCharType="begin"/>
          </w:r>
          <w:r>
            <w:instrText xml:space="preserve"> PAGEREF _Toc32679 \h </w:instrText>
          </w:r>
          <w:r>
            <w:fldChar w:fldCharType="separate"/>
          </w:r>
          <w:r>
            <w:t>16</w:t>
          </w:r>
          <w:r>
            <w:fldChar w:fldCharType="end"/>
          </w:r>
          <w:r>
            <w:rPr>
              <w:highlight w:val="none"/>
            </w:rPr>
            <w:fldChar w:fldCharType="end"/>
          </w:r>
        </w:p>
        <w:p w14:paraId="16C295BF">
          <w:pPr>
            <w:pStyle w:val="22"/>
            <w:tabs>
              <w:tab w:val="right" w:leader="dot" w:pos="8400"/>
            </w:tabs>
          </w:pPr>
          <w:r>
            <w:rPr>
              <w:highlight w:val="none"/>
            </w:rPr>
            <w:fldChar w:fldCharType="begin"/>
          </w:r>
          <w:r>
            <w:rPr>
              <w:highlight w:val="none"/>
            </w:rPr>
            <w:instrText xml:space="preserve"> HYPERLINK \l _Toc2999 </w:instrText>
          </w:r>
          <w:r>
            <w:rPr>
              <w:highlight w:val="none"/>
            </w:rPr>
            <w:fldChar w:fldCharType="separate"/>
          </w:r>
          <w:r>
            <w:rPr>
              <w:rFonts w:hint="eastAsia" w:ascii="Times New Roman" w:hAnsi="宋体" w:eastAsia="微软雅黑" w:cs="宋体"/>
              <w:kern w:val="2"/>
              <w:szCs w:val="28"/>
              <w:highlight w:val="none"/>
              <w:lang w:val="en-US" w:eastAsia="zh-CN" w:bidi="ar-SA"/>
            </w:rPr>
            <w:t>II. Tender Documents</w:t>
          </w:r>
          <w:r>
            <w:tab/>
          </w:r>
          <w:r>
            <w:fldChar w:fldCharType="begin"/>
          </w:r>
          <w:r>
            <w:instrText xml:space="preserve"> PAGEREF _Toc2999 \h </w:instrText>
          </w:r>
          <w:r>
            <w:fldChar w:fldCharType="separate"/>
          </w:r>
          <w:r>
            <w:t>19</w:t>
          </w:r>
          <w:r>
            <w:fldChar w:fldCharType="end"/>
          </w:r>
          <w:r>
            <w:rPr>
              <w:highlight w:val="none"/>
            </w:rPr>
            <w:fldChar w:fldCharType="end"/>
          </w:r>
        </w:p>
        <w:p w14:paraId="166F4846">
          <w:pPr>
            <w:pStyle w:val="22"/>
            <w:tabs>
              <w:tab w:val="right" w:leader="dot" w:pos="8400"/>
            </w:tabs>
          </w:pPr>
          <w:r>
            <w:rPr>
              <w:highlight w:val="none"/>
            </w:rPr>
            <w:fldChar w:fldCharType="begin"/>
          </w:r>
          <w:r>
            <w:rPr>
              <w:highlight w:val="none"/>
            </w:rPr>
            <w:instrText xml:space="preserve"> HYPERLINK \l _Toc5588 </w:instrText>
          </w:r>
          <w:r>
            <w:rPr>
              <w:highlight w:val="none"/>
            </w:rPr>
            <w:fldChar w:fldCharType="separate"/>
          </w:r>
          <w:r>
            <w:rPr>
              <w:rFonts w:hint="eastAsia" w:ascii="Times New Roman" w:hAnsi="宋体" w:eastAsia="微软雅黑" w:cs="宋体"/>
              <w:kern w:val="2"/>
              <w:szCs w:val="28"/>
              <w:highlight w:val="none"/>
              <w:lang w:val="en-US" w:eastAsia="zh-CN" w:bidi="ar-SA"/>
            </w:rPr>
            <w:t>III. Tender Documents</w:t>
          </w:r>
          <w:r>
            <w:tab/>
          </w:r>
          <w:r>
            <w:fldChar w:fldCharType="begin"/>
          </w:r>
          <w:r>
            <w:instrText xml:space="preserve"> PAGEREF _Toc5588 \h </w:instrText>
          </w:r>
          <w:r>
            <w:fldChar w:fldCharType="separate"/>
          </w:r>
          <w:r>
            <w:t>25</w:t>
          </w:r>
          <w:r>
            <w:fldChar w:fldCharType="end"/>
          </w:r>
          <w:r>
            <w:rPr>
              <w:highlight w:val="none"/>
            </w:rPr>
            <w:fldChar w:fldCharType="end"/>
          </w:r>
        </w:p>
        <w:p w14:paraId="7DC1FA04">
          <w:pPr>
            <w:pStyle w:val="22"/>
            <w:tabs>
              <w:tab w:val="right" w:leader="dot" w:pos="8400"/>
            </w:tabs>
          </w:pPr>
          <w:r>
            <w:rPr>
              <w:highlight w:val="none"/>
            </w:rPr>
            <w:fldChar w:fldCharType="begin"/>
          </w:r>
          <w:r>
            <w:rPr>
              <w:highlight w:val="none"/>
            </w:rPr>
            <w:instrText xml:space="preserve"> HYPERLINK \l _Toc13717 </w:instrText>
          </w:r>
          <w:r>
            <w:rPr>
              <w:highlight w:val="none"/>
            </w:rPr>
            <w:fldChar w:fldCharType="separate"/>
          </w:r>
          <w:r>
            <w:rPr>
              <w:rFonts w:hint="eastAsia" w:ascii="Times New Roman" w:hAnsi="宋体" w:eastAsia="微软雅黑" w:cs="宋体"/>
              <w:bCs/>
              <w:kern w:val="0"/>
              <w:szCs w:val="28"/>
              <w:highlight w:val="none"/>
              <w:lang w:val="en-US" w:eastAsia="zh-CN" w:bidi="ar-SA"/>
            </w:rPr>
            <w:t>IV. Submission of Tender Documents</w:t>
          </w:r>
          <w:r>
            <w:tab/>
          </w:r>
          <w:r>
            <w:fldChar w:fldCharType="begin"/>
          </w:r>
          <w:r>
            <w:instrText xml:space="preserve"> PAGEREF _Toc13717 \h </w:instrText>
          </w:r>
          <w:r>
            <w:fldChar w:fldCharType="separate"/>
          </w:r>
          <w:r>
            <w:t>27</w:t>
          </w:r>
          <w:r>
            <w:fldChar w:fldCharType="end"/>
          </w:r>
          <w:r>
            <w:rPr>
              <w:highlight w:val="none"/>
            </w:rPr>
            <w:fldChar w:fldCharType="end"/>
          </w:r>
        </w:p>
        <w:p w14:paraId="3E2C2F98">
          <w:pPr>
            <w:pStyle w:val="22"/>
            <w:tabs>
              <w:tab w:val="right" w:leader="dot" w:pos="8400"/>
            </w:tabs>
          </w:pPr>
          <w:r>
            <w:rPr>
              <w:highlight w:val="none"/>
            </w:rPr>
            <w:fldChar w:fldCharType="begin"/>
          </w:r>
          <w:r>
            <w:rPr>
              <w:highlight w:val="none"/>
            </w:rPr>
            <w:instrText xml:space="preserve"> HYPERLINK \l _Toc375 </w:instrText>
          </w:r>
          <w:r>
            <w:rPr>
              <w:highlight w:val="none"/>
            </w:rPr>
            <w:fldChar w:fldCharType="separate"/>
          </w:r>
          <w:r>
            <w:rPr>
              <w:rFonts w:hint="eastAsia" w:ascii="Times New Roman" w:hAnsi="宋体" w:eastAsia="微软雅黑" w:cs="宋体"/>
              <w:bCs/>
              <w:kern w:val="0"/>
              <w:szCs w:val="28"/>
              <w:highlight w:val="none"/>
              <w:lang w:val="en-US" w:eastAsia="zh-CN" w:bidi="ar-SA"/>
            </w:rPr>
            <w:t>V. Bid Opening, Evaluation, and Award Selection</w:t>
          </w:r>
          <w:r>
            <w:tab/>
          </w:r>
          <w:r>
            <w:fldChar w:fldCharType="begin"/>
          </w:r>
          <w:r>
            <w:instrText xml:space="preserve"> PAGEREF _Toc375 \h </w:instrText>
          </w:r>
          <w:r>
            <w:fldChar w:fldCharType="separate"/>
          </w:r>
          <w:r>
            <w:t>27</w:t>
          </w:r>
          <w:r>
            <w:fldChar w:fldCharType="end"/>
          </w:r>
          <w:r>
            <w:rPr>
              <w:highlight w:val="none"/>
            </w:rPr>
            <w:fldChar w:fldCharType="end"/>
          </w:r>
        </w:p>
        <w:p w14:paraId="1D1A89B2">
          <w:pPr>
            <w:pStyle w:val="22"/>
            <w:tabs>
              <w:tab w:val="right" w:leader="dot" w:pos="8400"/>
            </w:tabs>
          </w:pPr>
          <w:r>
            <w:rPr>
              <w:highlight w:val="none"/>
            </w:rPr>
            <w:fldChar w:fldCharType="begin"/>
          </w:r>
          <w:r>
            <w:rPr>
              <w:highlight w:val="none"/>
            </w:rPr>
            <w:instrText xml:space="preserve"> HYPERLINK \l _Toc15668 </w:instrText>
          </w:r>
          <w:r>
            <w:rPr>
              <w:highlight w:val="none"/>
            </w:rPr>
            <w:fldChar w:fldCharType="separate"/>
          </w:r>
          <w:r>
            <w:rPr>
              <w:rFonts w:hint="eastAsia" w:ascii="Times New Roman" w:hAnsi="宋体" w:eastAsia="微软雅黑" w:cs="宋体"/>
              <w:bCs/>
              <w:kern w:val="0"/>
              <w:szCs w:val="28"/>
              <w:highlight w:val="none"/>
              <w:lang w:val="en-US" w:eastAsia="zh-CN" w:bidi="ar-SA"/>
            </w:rPr>
            <w:t>VI. Signing the Contract</w:t>
          </w:r>
          <w:r>
            <w:tab/>
          </w:r>
          <w:r>
            <w:fldChar w:fldCharType="begin"/>
          </w:r>
          <w:r>
            <w:instrText xml:space="preserve"> PAGEREF _Toc15668 \h </w:instrText>
          </w:r>
          <w:r>
            <w:fldChar w:fldCharType="separate"/>
          </w:r>
          <w:r>
            <w:t>34</w:t>
          </w:r>
          <w:r>
            <w:fldChar w:fldCharType="end"/>
          </w:r>
          <w:r>
            <w:rPr>
              <w:highlight w:val="none"/>
            </w:rPr>
            <w:fldChar w:fldCharType="end"/>
          </w:r>
        </w:p>
        <w:p w14:paraId="70F43EDA">
          <w:pPr>
            <w:pStyle w:val="22"/>
            <w:tabs>
              <w:tab w:val="right" w:leader="dot" w:pos="8400"/>
            </w:tabs>
          </w:pPr>
          <w:r>
            <w:rPr>
              <w:highlight w:val="none"/>
            </w:rPr>
            <w:fldChar w:fldCharType="begin"/>
          </w:r>
          <w:r>
            <w:rPr>
              <w:highlight w:val="none"/>
            </w:rPr>
            <w:instrText xml:space="preserve"> HYPERLINK \l _Toc12613 </w:instrText>
          </w:r>
          <w:r>
            <w:rPr>
              <w:highlight w:val="none"/>
            </w:rPr>
            <w:fldChar w:fldCharType="separate"/>
          </w:r>
          <w:r>
            <w:rPr>
              <w:rFonts w:hint="eastAsia" w:ascii="Times New Roman" w:hAnsi="宋体" w:eastAsia="微软雅黑" w:cs="宋体"/>
              <w:bCs/>
              <w:kern w:val="0"/>
              <w:szCs w:val="28"/>
              <w:highlight w:val="none"/>
              <w:lang w:val="en-US" w:eastAsia="zh-CN" w:bidi="ar-SA"/>
            </w:rPr>
            <w:t>VII. Challenges and Complaints</w:t>
          </w:r>
          <w:r>
            <w:tab/>
          </w:r>
          <w:r>
            <w:fldChar w:fldCharType="begin"/>
          </w:r>
          <w:r>
            <w:instrText xml:space="preserve"> PAGEREF _Toc12613 \h </w:instrText>
          </w:r>
          <w:r>
            <w:fldChar w:fldCharType="separate"/>
          </w:r>
          <w:r>
            <w:t>34</w:t>
          </w:r>
          <w:r>
            <w:fldChar w:fldCharType="end"/>
          </w:r>
          <w:r>
            <w:rPr>
              <w:highlight w:val="none"/>
            </w:rPr>
            <w:fldChar w:fldCharType="end"/>
          </w:r>
        </w:p>
        <w:p w14:paraId="3D993839">
          <w:pPr>
            <w:pStyle w:val="21"/>
            <w:tabs>
              <w:tab w:val="right" w:leader="dot" w:pos="8400"/>
            </w:tabs>
          </w:pPr>
          <w:r>
            <w:rPr>
              <w:highlight w:val="none"/>
            </w:rPr>
            <w:fldChar w:fldCharType="begin"/>
          </w:r>
          <w:r>
            <w:rPr>
              <w:highlight w:val="none"/>
            </w:rPr>
            <w:instrText xml:space="preserve"> HYPERLINK \l _Toc31079 </w:instrText>
          </w:r>
          <w:r>
            <w:rPr>
              <w:highlight w:val="none"/>
            </w:rPr>
            <w:fldChar w:fldCharType="separate"/>
          </w:r>
          <w:r>
            <w:rPr>
              <w:rFonts w:hint="eastAsia" w:ascii="Times New Roman" w:hAnsi="宋体" w:eastAsia="微软雅黑" w:cs="宋体"/>
              <w:kern w:val="44"/>
              <w:szCs w:val="36"/>
              <w:highlight w:val="none"/>
              <w:lang w:val="en-US" w:eastAsia="zh-CN" w:bidi="ar-SA"/>
            </w:rPr>
            <w:t>Part IV: Bid Evaluation Methods</w:t>
          </w:r>
          <w:r>
            <w:tab/>
          </w:r>
          <w:r>
            <w:fldChar w:fldCharType="begin"/>
          </w:r>
          <w:r>
            <w:instrText xml:space="preserve"> PAGEREF _Toc31079 \h </w:instrText>
          </w:r>
          <w:r>
            <w:fldChar w:fldCharType="separate"/>
          </w:r>
          <w:r>
            <w:t>38</w:t>
          </w:r>
          <w:r>
            <w:fldChar w:fldCharType="end"/>
          </w:r>
          <w:r>
            <w:rPr>
              <w:highlight w:val="none"/>
            </w:rPr>
            <w:fldChar w:fldCharType="end"/>
          </w:r>
        </w:p>
        <w:p w14:paraId="0B3C3E0A">
          <w:pPr>
            <w:pStyle w:val="21"/>
            <w:tabs>
              <w:tab w:val="right" w:leader="dot" w:pos="8400"/>
            </w:tabs>
          </w:pPr>
          <w:r>
            <w:rPr>
              <w:highlight w:val="none"/>
            </w:rPr>
            <w:fldChar w:fldCharType="begin"/>
          </w:r>
          <w:r>
            <w:rPr>
              <w:highlight w:val="none"/>
            </w:rPr>
            <w:instrText xml:space="preserve"> HYPERLINK \l _Toc23776 </w:instrText>
          </w:r>
          <w:r>
            <w:rPr>
              <w:highlight w:val="none"/>
            </w:rPr>
            <w:fldChar w:fldCharType="separate"/>
          </w:r>
          <w:r>
            <w:rPr>
              <w:rFonts w:hint="default" w:ascii="宋体" w:hAnsi="宋体" w:cs="宋体"/>
              <w:szCs w:val="36"/>
            </w:rPr>
            <w:t xml:space="preserve">第5部分 </w:t>
          </w:r>
          <w:r>
            <w:rPr>
              <w:rFonts w:hint="eastAsia" w:ascii="Times New Roman" w:hAnsi="宋体" w:eastAsia="微软雅黑" w:cs="宋体"/>
              <w:kern w:val="44"/>
              <w:szCs w:val="36"/>
              <w:highlight w:val="none"/>
              <w:lang w:val="en-US" w:eastAsia="zh-CN" w:bidi="ar-SA"/>
            </w:rPr>
            <w:t>Procurement Requirements</w:t>
          </w:r>
          <w:r>
            <w:tab/>
          </w:r>
          <w:r>
            <w:fldChar w:fldCharType="begin"/>
          </w:r>
          <w:r>
            <w:instrText xml:space="preserve"> PAGEREF _Toc23776 \h </w:instrText>
          </w:r>
          <w:r>
            <w:fldChar w:fldCharType="separate"/>
          </w:r>
          <w:r>
            <w:t>45</w:t>
          </w:r>
          <w:r>
            <w:fldChar w:fldCharType="end"/>
          </w:r>
          <w:r>
            <w:rPr>
              <w:highlight w:val="none"/>
            </w:rPr>
            <w:fldChar w:fldCharType="end"/>
          </w:r>
        </w:p>
        <w:p w14:paraId="432A65E0">
          <w:pPr>
            <w:pStyle w:val="21"/>
            <w:tabs>
              <w:tab w:val="right" w:leader="dot" w:pos="8400"/>
            </w:tabs>
          </w:pPr>
          <w:r>
            <w:rPr>
              <w:highlight w:val="none"/>
            </w:rPr>
            <w:fldChar w:fldCharType="begin"/>
          </w:r>
          <w:r>
            <w:rPr>
              <w:highlight w:val="none"/>
            </w:rPr>
            <w:instrText xml:space="preserve"> HYPERLINK \l _Toc522 </w:instrText>
          </w:r>
          <w:r>
            <w:rPr>
              <w:highlight w:val="none"/>
            </w:rPr>
            <w:fldChar w:fldCharType="separate"/>
          </w:r>
          <w:r>
            <w:rPr>
              <w:rFonts w:hint="default" w:ascii="宋体" w:hAnsi="宋体" w:cs="宋体"/>
              <w:bCs/>
              <w:szCs w:val="36"/>
            </w:rPr>
            <w:t xml:space="preserve">第6部分 </w:t>
          </w:r>
          <w:r>
            <w:rPr>
              <w:rFonts w:hint="eastAsia" w:ascii="Times New Roman" w:hAnsi="宋体" w:eastAsia="微软雅黑" w:cs="宋体"/>
              <w:bCs/>
              <w:kern w:val="2"/>
              <w:szCs w:val="36"/>
              <w:highlight w:val="none"/>
              <w:lang w:val="en-US" w:eastAsia="zh-CN" w:bidi="ar-SA"/>
            </w:rPr>
            <w:t>terms of the contract</w:t>
          </w:r>
          <w:r>
            <w:tab/>
          </w:r>
          <w:r>
            <w:fldChar w:fldCharType="begin"/>
          </w:r>
          <w:r>
            <w:instrText xml:space="preserve"> PAGEREF _Toc522 \h </w:instrText>
          </w:r>
          <w:r>
            <w:fldChar w:fldCharType="separate"/>
          </w:r>
          <w:r>
            <w:t>54</w:t>
          </w:r>
          <w:r>
            <w:fldChar w:fldCharType="end"/>
          </w:r>
          <w:r>
            <w:rPr>
              <w:highlight w:val="none"/>
            </w:rPr>
            <w:fldChar w:fldCharType="end"/>
          </w:r>
        </w:p>
        <w:p w14:paraId="0F0BC5E3">
          <w:pPr>
            <w:pStyle w:val="21"/>
            <w:tabs>
              <w:tab w:val="right" w:leader="dot" w:pos="8400"/>
            </w:tabs>
          </w:pPr>
          <w:r>
            <w:rPr>
              <w:highlight w:val="none"/>
            </w:rPr>
            <w:fldChar w:fldCharType="begin"/>
          </w:r>
          <w:r>
            <w:rPr>
              <w:highlight w:val="none"/>
            </w:rPr>
            <w:instrText xml:space="preserve"> HYPERLINK \l _Toc14970 </w:instrText>
          </w:r>
          <w:r>
            <w:rPr>
              <w:highlight w:val="none"/>
            </w:rPr>
            <w:fldChar w:fldCharType="separate"/>
          </w:r>
          <w:r>
            <w:rPr>
              <w:rFonts w:hint="eastAsia" w:ascii="Times New Roman" w:hAnsi="宋体" w:eastAsia="微软雅黑" w:cs="宋体"/>
              <w:kern w:val="44"/>
              <w:szCs w:val="36"/>
              <w:highlight w:val="none"/>
              <w:lang w:val="en-US" w:eastAsia="zh-CN" w:bidi="ar-SA"/>
            </w:rPr>
            <w:t>Part VII: Format of the Tender Document</w:t>
          </w:r>
          <w:r>
            <w:tab/>
          </w:r>
          <w:r>
            <w:fldChar w:fldCharType="begin"/>
          </w:r>
          <w:r>
            <w:instrText xml:space="preserve"> PAGEREF _Toc14970 \h </w:instrText>
          </w:r>
          <w:r>
            <w:fldChar w:fldCharType="separate"/>
          </w:r>
          <w:r>
            <w:t>58</w:t>
          </w:r>
          <w:r>
            <w:fldChar w:fldCharType="end"/>
          </w:r>
          <w:r>
            <w:rPr>
              <w:highlight w:val="none"/>
            </w:rPr>
            <w:fldChar w:fldCharType="end"/>
          </w:r>
        </w:p>
        <w:p w14:paraId="640CBFDF">
          <w:pPr>
            <w:pStyle w:val="22"/>
            <w:tabs>
              <w:tab w:val="right" w:leader="dot" w:pos="8400"/>
            </w:tabs>
          </w:pPr>
          <w:r>
            <w:rPr>
              <w:highlight w:val="none"/>
            </w:rPr>
            <w:fldChar w:fldCharType="begin"/>
          </w:r>
          <w:r>
            <w:rPr>
              <w:highlight w:val="none"/>
            </w:rPr>
            <w:instrText xml:space="preserve"> HYPERLINK \l _Toc5457 </w:instrText>
          </w:r>
          <w:r>
            <w:rPr>
              <w:highlight w:val="none"/>
            </w:rPr>
            <w:fldChar w:fldCharType="separate"/>
          </w:r>
          <w:r>
            <w:rPr>
              <w:rFonts w:hint="eastAsia" w:ascii="Times New Roman" w:hAnsi="宋体" w:eastAsia="微软雅黑" w:cs="宋体"/>
              <w:kern w:val="2"/>
              <w:szCs w:val="36"/>
              <w:highlight w:val="none"/>
              <w:lang w:val="en-US" w:eastAsia="zh-CN" w:bidi="ar-SA"/>
            </w:rPr>
            <w:t>Part 1: Tender Document</w:t>
          </w:r>
          <w:r>
            <w:tab/>
          </w:r>
          <w:r>
            <w:fldChar w:fldCharType="begin"/>
          </w:r>
          <w:r>
            <w:instrText xml:space="preserve"> PAGEREF _Toc5457 \h </w:instrText>
          </w:r>
          <w:r>
            <w:fldChar w:fldCharType="separate"/>
          </w:r>
          <w:r>
            <w:t>61</w:t>
          </w:r>
          <w:r>
            <w:fldChar w:fldCharType="end"/>
          </w:r>
          <w:r>
            <w:rPr>
              <w:highlight w:val="none"/>
            </w:rPr>
            <w:fldChar w:fldCharType="end"/>
          </w:r>
        </w:p>
        <w:p w14:paraId="3982923C">
          <w:pPr>
            <w:pStyle w:val="22"/>
            <w:tabs>
              <w:tab w:val="right" w:leader="dot" w:pos="8400"/>
            </w:tabs>
          </w:pPr>
          <w:r>
            <w:rPr>
              <w:highlight w:val="none"/>
            </w:rPr>
            <w:fldChar w:fldCharType="begin"/>
          </w:r>
          <w:r>
            <w:rPr>
              <w:highlight w:val="none"/>
            </w:rPr>
            <w:instrText xml:space="preserve"> HYPERLINK \l _Toc21261 </w:instrText>
          </w:r>
          <w:r>
            <w:rPr>
              <w:highlight w:val="none"/>
            </w:rPr>
            <w:fldChar w:fldCharType="separate"/>
          </w:r>
          <w:r>
            <w:rPr>
              <w:rFonts w:hint="eastAsia" w:ascii="Times New Roman" w:hAnsi="宋体" w:eastAsia="微软雅黑" w:cs="宋体"/>
              <w:kern w:val="2"/>
              <w:szCs w:val="36"/>
              <w:highlight w:val="none"/>
              <w:lang w:val="en-US" w:eastAsia="zh-CN" w:bidi="ar-SA"/>
            </w:rPr>
            <w:t>Part Two: Quotation Overview Table</w:t>
          </w:r>
          <w:r>
            <w:tab/>
          </w:r>
          <w:r>
            <w:fldChar w:fldCharType="begin"/>
          </w:r>
          <w:r>
            <w:instrText xml:space="preserve"> PAGEREF _Toc21261 \h </w:instrText>
          </w:r>
          <w:r>
            <w:fldChar w:fldCharType="separate"/>
          </w:r>
          <w:r>
            <w:t>62</w:t>
          </w:r>
          <w:r>
            <w:fldChar w:fldCharType="end"/>
          </w:r>
          <w:r>
            <w:rPr>
              <w:highlight w:val="none"/>
            </w:rPr>
            <w:fldChar w:fldCharType="end"/>
          </w:r>
        </w:p>
        <w:p w14:paraId="5AD3626C">
          <w:pPr>
            <w:pStyle w:val="22"/>
            <w:tabs>
              <w:tab w:val="right" w:leader="dot" w:pos="8400"/>
            </w:tabs>
          </w:pPr>
          <w:r>
            <w:rPr>
              <w:highlight w:val="none"/>
            </w:rPr>
            <w:fldChar w:fldCharType="begin"/>
          </w:r>
          <w:r>
            <w:rPr>
              <w:highlight w:val="none"/>
            </w:rPr>
            <w:instrText xml:space="preserve"> HYPERLINK \l _Toc169 </w:instrText>
          </w:r>
          <w:r>
            <w:rPr>
              <w:highlight w:val="none"/>
            </w:rPr>
            <w:fldChar w:fldCharType="separate"/>
          </w:r>
          <w:r>
            <w:rPr>
              <w:rFonts w:hint="eastAsia" w:ascii="Times New Roman" w:hAnsi="宋体" w:eastAsia="微软雅黑" w:cs="宋体"/>
              <w:kern w:val="2"/>
              <w:szCs w:val="22"/>
              <w:highlight w:val="none"/>
              <w:lang w:val="en-US" w:eastAsia="zh-CN" w:bidi="ar-SA"/>
            </w:rPr>
            <w:t>Part Three: Description of Business and Technical Responses</w:t>
          </w:r>
          <w:r>
            <w:tab/>
          </w:r>
          <w:r>
            <w:fldChar w:fldCharType="begin"/>
          </w:r>
          <w:r>
            <w:instrText xml:space="preserve"> PAGEREF _Toc169 \h </w:instrText>
          </w:r>
          <w:r>
            <w:fldChar w:fldCharType="separate"/>
          </w:r>
          <w:r>
            <w:t>65</w:t>
          </w:r>
          <w:r>
            <w:fldChar w:fldCharType="end"/>
          </w:r>
          <w:r>
            <w:rPr>
              <w:highlight w:val="none"/>
            </w:rPr>
            <w:fldChar w:fldCharType="end"/>
          </w:r>
        </w:p>
        <w:p w14:paraId="17CD32CB">
          <w:pPr>
            <w:pStyle w:val="22"/>
            <w:tabs>
              <w:tab w:val="right" w:leader="dot" w:pos="8400"/>
            </w:tabs>
          </w:pPr>
          <w:r>
            <w:rPr>
              <w:highlight w:val="none"/>
            </w:rPr>
            <w:fldChar w:fldCharType="begin"/>
          </w:r>
          <w:r>
            <w:rPr>
              <w:highlight w:val="none"/>
            </w:rPr>
            <w:instrText xml:space="preserve"> HYPERLINK \l _Toc9056 </w:instrText>
          </w:r>
          <w:r>
            <w:rPr>
              <w:highlight w:val="none"/>
            </w:rPr>
            <w:fldChar w:fldCharType="separate"/>
          </w:r>
          <w:r>
            <w:rPr>
              <w:rFonts w:hint="eastAsia" w:ascii="Times New Roman" w:hAnsi="宋体" w:eastAsia="微软雅黑" w:cs="宋体"/>
              <w:bCs/>
              <w:kern w:val="2"/>
              <w:szCs w:val="32"/>
              <w:highlight w:val="none"/>
              <w:lang w:val="en-US" w:eastAsia="zh-CN" w:bidi="ar-SA"/>
            </w:rPr>
            <w:t>Business Deviation Table</w:t>
          </w:r>
          <w:r>
            <w:tab/>
          </w:r>
          <w:r>
            <w:fldChar w:fldCharType="begin"/>
          </w:r>
          <w:r>
            <w:instrText xml:space="preserve"> PAGEREF _Toc9056 \h </w:instrText>
          </w:r>
          <w:r>
            <w:fldChar w:fldCharType="separate"/>
          </w:r>
          <w:r>
            <w:t>65</w:t>
          </w:r>
          <w:r>
            <w:fldChar w:fldCharType="end"/>
          </w:r>
          <w:r>
            <w:rPr>
              <w:highlight w:val="none"/>
            </w:rPr>
            <w:fldChar w:fldCharType="end"/>
          </w:r>
        </w:p>
        <w:p w14:paraId="1505A1A9">
          <w:pPr>
            <w:pStyle w:val="22"/>
            <w:tabs>
              <w:tab w:val="right" w:leader="dot" w:pos="8400"/>
            </w:tabs>
          </w:pPr>
          <w:r>
            <w:rPr>
              <w:highlight w:val="none"/>
            </w:rPr>
            <w:fldChar w:fldCharType="begin"/>
          </w:r>
          <w:r>
            <w:rPr>
              <w:highlight w:val="none"/>
            </w:rPr>
            <w:instrText xml:space="preserve"> HYPERLINK \l _Toc21443 </w:instrText>
          </w:r>
          <w:r>
            <w:rPr>
              <w:highlight w:val="none"/>
            </w:rPr>
            <w:fldChar w:fldCharType="separate"/>
          </w:r>
          <w:r>
            <w:rPr>
              <w:rFonts w:hint="eastAsia" w:ascii="Times New Roman" w:hAnsi="宋体" w:eastAsia="微软雅黑" w:cs="宋体"/>
              <w:bCs/>
              <w:kern w:val="2"/>
              <w:szCs w:val="32"/>
              <w:highlight w:val="none"/>
              <w:lang w:val="en-US" w:eastAsia="zh-CN" w:bidi="ar-SA"/>
            </w:rPr>
            <w:t>Technical Deviation Table</w:t>
          </w:r>
          <w:r>
            <w:tab/>
          </w:r>
          <w:r>
            <w:fldChar w:fldCharType="begin"/>
          </w:r>
          <w:r>
            <w:instrText xml:space="preserve"> PAGEREF _Toc21443 \h </w:instrText>
          </w:r>
          <w:r>
            <w:fldChar w:fldCharType="separate"/>
          </w:r>
          <w:r>
            <w:t>67</w:t>
          </w:r>
          <w:r>
            <w:fldChar w:fldCharType="end"/>
          </w:r>
          <w:r>
            <w:rPr>
              <w:highlight w:val="none"/>
            </w:rPr>
            <w:fldChar w:fldCharType="end"/>
          </w:r>
        </w:p>
        <w:p w14:paraId="23A469CD">
          <w:pPr>
            <w:pStyle w:val="22"/>
            <w:tabs>
              <w:tab w:val="right" w:leader="dot" w:pos="8400"/>
            </w:tabs>
          </w:pPr>
          <w:r>
            <w:rPr>
              <w:highlight w:val="none"/>
            </w:rPr>
            <w:fldChar w:fldCharType="begin"/>
          </w:r>
          <w:r>
            <w:rPr>
              <w:highlight w:val="none"/>
            </w:rPr>
            <w:instrText xml:space="preserve"> HYPERLINK \l _Toc26481 </w:instrText>
          </w:r>
          <w:r>
            <w:rPr>
              <w:highlight w:val="none"/>
            </w:rPr>
            <w:fldChar w:fldCharType="separate"/>
          </w:r>
          <w:r>
            <w:rPr>
              <w:rFonts w:hint="eastAsia" w:ascii="Times New Roman" w:hAnsi="宋体" w:eastAsia="微软雅黑" w:cs="宋体"/>
              <w:kern w:val="2"/>
              <w:szCs w:val="36"/>
              <w:highlight w:val="none"/>
              <w:lang w:val="en-US" w:eastAsia="zh-CN" w:bidi="ar-SA"/>
            </w:rPr>
            <w:t>Part IV: Supplier Qualification Requirements</w:t>
          </w:r>
          <w:r>
            <w:tab/>
          </w:r>
          <w:r>
            <w:fldChar w:fldCharType="begin"/>
          </w:r>
          <w:r>
            <w:instrText xml:space="preserve"> PAGEREF _Toc26481 \h </w:instrText>
          </w:r>
          <w:r>
            <w:fldChar w:fldCharType="separate"/>
          </w:r>
          <w:r>
            <w:t>69</w:t>
          </w:r>
          <w:r>
            <w:fldChar w:fldCharType="end"/>
          </w:r>
          <w:r>
            <w:rPr>
              <w:highlight w:val="none"/>
            </w:rPr>
            <w:fldChar w:fldCharType="end"/>
          </w:r>
        </w:p>
        <w:p w14:paraId="3839991F">
          <w:pPr>
            <w:pStyle w:val="22"/>
            <w:tabs>
              <w:tab w:val="right" w:leader="dot" w:pos="8400"/>
            </w:tabs>
          </w:pPr>
          <w:r>
            <w:rPr>
              <w:highlight w:val="none"/>
            </w:rPr>
            <w:fldChar w:fldCharType="begin"/>
          </w:r>
          <w:r>
            <w:rPr>
              <w:highlight w:val="none"/>
            </w:rPr>
            <w:instrText xml:space="preserve"> HYPERLINK \l _Toc12951 </w:instrText>
          </w:r>
          <w:r>
            <w:rPr>
              <w:highlight w:val="none"/>
            </w:rPr>
            <w:fldChar w:fldCharType="separate"/>
          </w:r>
          <w:r>
            <w:rPr>
              <w:rFonts w:hint="eastAsia" w:ascii="Times New Roman" w:hAnsi="宋体" w:eastAsia="微软雅黑" w:cs="宋体"/>
              <w:kern w:val="2"/>
              <w:szCs w:val="36"/>
              <w:highlight w:val="none"/>
              <w:lang w:val="en-US" w:eastAsia="zh-CN" w:bidi="ar-SA"/>
            </w:rPr>
            <w:t>Part Five: Legitimate Sources of Information</w:t>
          </w:r>
          <w:r>
            <w:tab/>
          </w:r>
          <w:r>
            <w:fldChar w:fldCharType="begin"/>
          </w:r>
          <w:r>
            <w:instrText xml:space="preserve"> PAGEREF _Toc12951 \h </w:instrText>
          </w:r>
          <w:r>
            <w:fldChar w:fldCharType="separate"/>
          </w:r>
          <w:r>
            <w:t>84</w:t>
          </w:r>
          <w:r>
            <w:fldChar w:fldCharType="end"/>
          </w:r>
          <w:r>
            <w:rPr>
              <w:highlight w:val="none"/>
            </w:rPr>
            <w:fldChar w:fldCharType="end"/>
          </w:r>
        </w:p>
        <w:p w14:paraId="5E08A2A2">
          <w:pPr>
            <w:pStyle w:val="22"/>
            <w:tabs>
              <w:tab w:val="right" w:leader="dot" w:pos="8400"/>
            </w:tabs>
          </w:pPr>
          <w:r>
            <w:rPr>
              <w:highlight w:val="none"/>
            </w:rPr>
            <w:fldChar w:fldCharType="begin"/>
          </w:r>
          <w:r>
            <w:rPr>
              <w:highlight w:val="none"/>
            </w:rPr>
            <w:instrText xml:space="preserve"> HYPERLINK \l _Toc8326 </w:instrText>
          </w:r>
          <w:r>
            <w:rPr>
              <w:highlight w:val="none"/>
            </w:rPr>
            <w:fldChar w:fldCharType="separate"/>
          </w:r>
          <w:r>
            <w:rPr>
              <w:rFonts w:hint="eastAsia" w:ascii="Times New Roman" w:hAnsi="宋体" w:eastAsia="微软雅黑" w:cs="宋体"/>
              <w:kern w:val="2"/>
              <w:szCs w:val="36"/>
              <w:highlight w:val="none"/>
              <w:lang w:val="en-US" w:eastAsia="zh-CN" w:bidi="ar-SA"/>
            </w:rPr>
            <w:t>Part VI: Implementation Plan</w:t>
          </w:r>
          <w:r>
            <w:tab/>
          </w:r>
          <w:r>
            <w:fldChar w:fldCharType="begin"/>
          </w:r>
          <w:r>
            <w:instrText xml:space="preserve"> PAGEREF _Toc8326 \h </w:instrText>
          </w:r>
          <w:r>
            <w:fldChar w:fldCharType="separate"/>
          </w:r>
          <w:r>
            <w:t>84</w:t>
          </w:r>
          <w:r>
            <w:fldChar w:fldCharType="end"/>
          </w:r>
          <w:r>
            <w:rPr>
              <w:highlight w:val="none"/>
            </w:rPr>
            <w:fldChar w:fldCharType="end"/>
          </w:r>
        </w:p>
        <w:p w14:paraId="06939FBC">
          <w:pPr>
            <w:pStyle w:val="22"/>
            <w:tabs>
              <w:tab w:val="right" w:leader="dot" w:pos="8400"/>
            </w:tabs>
          </w:pPr>
          <w:r>
            <w:rPr>
              <w:highlight w:val="none"/>
            </w:rPr>
            <w:fldChar w:fldCharType="begin"/>
          </w:r>
          <w:r>
            <w:rPr>
              <w:highlight w:val="none"/>
            </w:rPr>
            <w:instrText xml:space="preserve"> HYPERLINK \l _Toc710 </w:instrText>
          </w:r>
          <w:r>
            <w:rPr>
              <w:highlight w:val="none"/>
            </w:rPr>
            <w:fldChar w:fldCharType="separate"/>
          </w:r>
          <w:r>
            <w:rPr>
              <w:rFonts w:hint="eastAsia" w:ascii="Times New Roman" w:hAnsi="宋体" w:eastAsia="微软雅黑" w:cs="宋体"/>
              <w:kern w:val="2"/>
              <w:szCs w:val="36"/>
              <w:highlight w:val="none"/>
              <w:lang w:val="en-US" w:eastAsia="zh-CN" w:bidi="ar-SA"/>
            </w:rPr>
            <w:t>Part Seven: After-sales Service Solutions</w:t>
          </w:r>
          <w:r>
            <w:tab/>
          </w:r>
          <w:r>
            <w:fldChar w:fldCharType="begin"/>
          </w:r>
          <w:r>
            <w:instrText xml:space="preserve"> PAGEREF _Toc710 \h </w:instrText>
          </w:r>
          <w:r>
            <w:fldChar w:fldCharType="separate"/>
          </w:r>
          <w:r>
            <w:t>84</w:t>
          </w:r>
          <w:r>
            <w:fldChar w:fldCharType="end"/>
          </w:r>
          <w:r>
            <w:rPr>
              <w:highlight w:val="none"/>
            </w:rPr>
            <w:fldChar w:fldCharType="end"/>
          </w:r>
        </w:p>
        <w:p w14:paraId="60FC9E28">
          <w:pPr>
            <w:pStyle w:val="22"/>
            <w:tabs>
              <w:tab w:val="right" w:leader="dot" w:pos="8400"/>
            </w:tabs>
          </w:pPr>
          <w:r>
            <w:rPr>
              <w:highlight w:val="none"/>
            </w:rPr>
            <w:fldChar w:fldCharType="begin"/>
          </w:r>
          <w:r>
            <w:rPr>
              <w:highlight w:val="none"/>
            </w:rPr>
            <w:instrText xml:space="preserve"> HYPERLINK \l _Toc18764 </w:instrText>
          </w:r>
          <w:r>
            <w:rPr>
              <w:highlight w:val="none"/>
            </w:rPr>
            <w:fldChar w:fldCharType="separate"/>
          </w:r>
          <w:r>
            <w:rPr>
              <w:rFonts w:hint="eastAsia" w:ascii="Times New Roman" w:hAnsi="宋体" w:eastAsia="微软雅黑" w:cs="宋体"/>
              <w:kern w:val="2"/>
              <w:szCs w:val="36"/>
              <w:highlight w:val="none"/>
              <w:lang w:val="en-US" w:eastAsia="zh-CN" w:bidi="ar-SA"/>
            </w:rPr>
            <w:t>Part VIII: Training Program</w:t>
          </w:r>
          <w:r>
            <w:tab/>
          </w:r>
          <w:r>
            <w:fldChar w:fldCharType="begin"/>
          </w:r>
          <w:r>
            <w:instrText xml:space="preserve"> PAGEREF _Toc18764 \h </w:instrText>
          </w:r>
          <w:r>
            <w:fldChar w:fldCharType="separate"/>
          </w:r>
          <w:r>
            <w:t>84</w:t>
          </w:r>
          <w:r>
            <w:fldChar w:fldCharType="end"/>
          </w:r>
          <w:r>
            <w:rPr>
              <w:highlight w:val="none"/>
            </w:rPr>
            <w:fldChar w:fldCharType="end"/>
          </w:r>
        </w:p>
        <w:p w14:paraId="57FF290C">
          <w:pPr>
            <w:pStyle w:val="22"/>
            <w:tabs>
              <w:tab w:val="right" w:leader="dot" w:pos="8400"/>
            </w:tabs>
          </w:pPr>
          <w:r>
            <w:rPr>
              <w:highlight w:val="none"/>
            </w:rPr>
            <w:fldChar w:fldCharType="begin"/>
          </w:r>
          <w:r>
            <w:rPr>
              <w:highlight w:val="none"/>
            </w:rPr>
            <w:instrText xml:space="preserve"> HYPERLINK \l _Toc6549 </w:instrText>
          </w:r>
          <w:r>
            <w:rPr>
              <w:highlight w:val="none"/>
            </w:rPr>
            <w:fldChar w:fldCharType="separate"/>
          </w:r>
          <w:r>
            <w:rPr>
              <w:rFonts w:hint="eastAsia" w:ascii="Times New Roman" w:hAnsi="宋体" w:eastAsia="微软雅黑" w:cs="宋体"/>
              <w:kern w:val="2"/>
              <w:szCs w:val="36"/>
              <w:highlight w:val="none"/>
              <w:lang w:val="en-US" w:eastAsia="zh-CN" w:bidi="ar-SA"/>
            </w:rPr>
            <w:t>Part IX: Performance Summary Table</w:t>
          </w:r>
          <w:r>
            <w:tab/>
          </w:r>
          <w:r>
            <w:fldChar w:fldCharType="begin"/>
          </w:r>
          <w:r>
            <w:instrText xml:space="preserve"> PAGEREF _Toc6549 \h </w:instrText>
          </w:r>
          <w:r>
            <w:fldChar w:fldCharType="separate"/>
          </w:r>
          <w:r>
            <w:t>85</w:t>
          </w:r>
          <w:r>
            <w:fldChar w:fldCharType="end"/>
          </w:r>
          <w:r>
            <w:rPr>
              <w:highlight w:val="none"/>
            </w:rPr>
            <w:fldChar w:fldCharType="end"/>
          </w:r>
        </w:p>
        <w:p w14:paraId="00D7E1E3">
          <w:pPr>
            <w:pStyle w:val="22"/>
            <w:tabs>
              <w:tab w:val="right" w:leader="dot" w:pos="8400"/>
            </w:tabs>
          </w:pPr>
          <w:r>
            <w:rPr>
              <w:highlight w:val="none"/>
            </w:rPr>
            <w:fldChar w:fldCharType="begin"/>
          </w:r>
          <w:r>
            <w:rPr>
              <w:highlight w:val="none"/>
            </w:rPr>
            <w:instrText xml:space="preserve"> HYPERLINK \l _Toc14875 </w:instrText>
          </w:r>
          <w:r>
            <w:rPr>
              <w:highlight w:val="none"/>
            </w:rPr>
            <w:fldChar w:fldCharType="separate"/>
          </w:r>
          <w:r>
            <w:rPr>
              <w:rFonts w:hint="eastAsia" w:ascii="Times New Roman" w:hAnsi="宋体" w:eastAsia="微软雅黑" w:cs="宋体"/>
              <w:kern w:val="2"/>
              <w:szCs w:val="36"/>
              <w:highlight w:val="none"/>
              <w:lang w:val="en-US" w:eastAsia="zh-CN" w:bidi="ar-SA"/>
            </w:rPr>
            <w:t>Part Ten: Other Issues That the Supplier Deems Necessary to State</w:t>
          </w:r>
          <w:r>
            <w:tab/>
          </w:r>
          <w:r>
            <w:fldChar w:fldCharType="begin"/>
          </w:r>
          <w:r>
            <w:instrText xml:space="preserve"> PAGEREF _Toc14875 \h </w:instrText>
          </w:r>
          <w:r>
            <w:fldChar w:fldCharType="separate"/>
          </w:r>
          <w:r>
            <w:t>86</w:t>
          </w:r>
          <w:r>
            <w:fldChar w:fldCharType="end"/>
          </w:r>
          <w:r>
            <w:rPr>
              <w:highlight w:val="none"/>
            </w:rPr>
            <w:fldChar w:fldCharType="end"/>
          </w:r>
        </w:p>
        <w:p w14:paraId="10634F2B">
          <w:pPr>
            <w:rPr>
              <w:highlight w:val="none"/>
            </w:rPr>
          </w:pPr>
          <w:r>
            <w:rPr>
              <w:highlight w:val="none"/>
            </w:rPr>
            <w:fldChar w:fldCharType="end"/>
          </w:r>
        </w:p>
      </w:sdtContent>
    </w:sdt>
    <w:p w14:paraId="5A6381C9">
      <w:pPr>
        <w:rPr>
          <w:highlight w:val="none"/>
        </w:rPr>
      </w:pPr>
    </w:p>
    <w:p w14:paraId="3F2DEFEC">
      <w:pPr>
        <w:pStyle w:val="2"/>
        <w:rPr>
          <w:rFonts w:hint="eastAsia" w:ascii="宋体" w:hAnsi="宋体" w:cs="宋体"/>
          <w:color w:val="000000"/>
          <w:highlight w:val="none"/>
        </w:rPr>
        <w:sectPr>
          <w:footerReference r:id="rId7" w:type="default"/>
          <w:pgSz w:w="11906" w:h="16838"/>
          <w:pgMar w:top="1440" w:right="1706" w:bottom="1440" w:left="1800" w:header="851" w:footer="992" w:gutter="0"/>
          <w:cols w:space="720" w:num="1"/>
          <w:docGrid w:type="lines" w:linePitch="312" w:charSpace="0"/>
        </w:sectPr>
      </w:pPr>
    </w:p>
    <w:p w14:paraId="768BED34">
      <w:pPr>
        <w:pStyle w:val="2"/>
        <w:rPr>
          <w:rFonts w:hint="eastAsia" w:ascii="宋体" w:hAnsi="宋体" w:eastAsia="宋体" w:cs="宋体"/>
          <w:color w:val="000000"/>
          <w:highlight w:val="none"/>
          <w:lang w:eastAsia="zh-CN"/>
        </w:rPr>
      </w:pPr>
      <w:bookmarkStart w:id="1" w:name="_Toc30089"/>
      <w:bookmarkStart w:id="2" w:name="_Toc438048787"/>
      <w:bookmarkStart w:id="3" w:name="_Toc9814"/>
      <w:bookmarkStart w:id="4" w:name="_Toc31006"/>
      <w:bookmarkStart w:id="5" w:name="_Toc24238"/>
      <w:bookmarkStart w:id="6" w:name="_Toc7066"/>
      <w:r>
        <w:rPr>
          <w:rFonts w:hint="eastAsia" w:ascii="Times New Roman" w:hAnsi="宋体" w:eastAsia="微软雅黑" w:cs="宋体"/>
          <w:b/>
          <w:color w:val="000000"/>
          <w:kern w:val="44"/>
          <w:sz w:val="32"/>
          <w:szCs w:val="20"/>
          <w:highlight w:val="none"/>
          <w:lang w:val="en-US" w:eastAsia="zh-CN" w:bidi="ar-SA"/>
        </w:rPr>
        <w:t>Part 1: Tender Announcement</w:t>
      </w:r>
      <w:bookmarkEnd w:id="1"/>
      <w:bookmarkEnd w:id="2"/>
      <w:bookmarkEnd w:id="3"/>
      <w:bookmarkEnd w:id="4"/>
      <w:bookmarkEnd w:id="5"/>
      <w:bookmarkEnd w:id="6"/>
    </w:p>
    <w:p w14:paraId="79D0A896">
      <w:pPr>
        <w:pStyle w:val="99"/>
        <w:spacing w:line="360" w:lineRule="auto"/>
        <w:outlineLvl w:val="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1"/>
          <w:szCs w:val="24"/>
          <w:highlight w:val="none"/>
        </w:rPr>
        <w:t>Project Overview</w:t>
      </w:r>
    </w:p>
    <w:p w14:paraId="28E466F5">
      <w:pPr>
        <w:pStyle w:val="99"/>
        <w:spacing w:line="360" w:lineRule="auto"/>
        <w:ind w:firstLine="420" w:firstLineChars="200"/>
        <w:rPr>
          <w:rFonts w:hint="eastAsia" w:asciiTheme="minorEastAsia" w:hAnsiTheme="minorEastAsia" w:eastAsiaTheme="minorEastAsia" w:cstheme="minorEastAsia"/>
          <w:sz w:val="24"/>
          <w:szCs w:val="24"/>
          <w:highlight w:val="none"/>
        </w:rPr>
      </w:pPr>
      <w:r>
        <w:rPr>
          <w:rFonts w:hint="eastAsia" w:eastAsia="Arial" w:asciiTheme="minorEastAsia" w:hAnsiTheme="minorEastAsia" w:cstheme="minorEastAsia"/>
          <w:sz w:val="21"/>
          <w:szCs w:val="24"/>
          <w:highlight w:val="none"/>
          <w:lang w:eastAsia="zh-CN"/>
        </w:rPr>
        <w:t xml:space="preserve">Prospective suppliers for the Digital Subtraction Angiography (DSA) Equipment Procurement Project shall log in to the Shaanxi Province Yangling Demonstration Zone Public Resources Trading Center platform (http://yangl.sxggzyjy.cn/), confirm the project, and then obtain the procurement documents. Bid documents must be submitted by </w:t>
      </w:r>
      <w:r>
        <w:rPr>
          <w:rFonts w:hint="eastAsia" w:eastAsia="Arial" w:asciiTheme="minorEastAsia" w:hAnsiTheme="minorEastAsia" w:cstheme="minorEastAsia"/>
          <w:sz w:val="21"/>
          <w:szCs w:val="24"/>
          <w:highlight w:val="none"/>
          <w:lang w:val="en-US" w:eastAsia="zh-CN"/>
        </w:rPr>
        <w:t>09</w:t>
      </w:r>
      <w:r>
        <w:rPr>
          <w:rFonts w:hint="eastAsia" w:eastAsia="Arial" w:asciiTheme="minorEastAsia" w:hAnsiTheme="minorEastAsia" w:cstheme="minorEastAsia"/>
          <w:sz w:val="21"/>
          <w:szCs w:val="24"/>
          <w:highlight w:val="none"/>
          <w:lang w:eastAsia="zh-CN"/>
        </w:rPr>
        <w:t>:</w:t>
      </w:r>
      <w:r>
        <w:rPr>
          <w:rFonts w:hint="eastAsia" w:eastAsia="Arial" w:asciiTheme="minorEastAsia" w:hAnsiTheme="minorEastAsia" w:cstheme="minorEastAsia"/>
          <w:sz w:val="21"/>
          <w:szCs w:val="24"/>
          <w:highlight w:val="none"/>
          <w:lang w:val="en-US" w:eastAsia="zh-CN"/>
        </w:rPr>
        <w:t>00</w:t>
      </w:r>
      <w:r>
        <w:rPr>
          <w:rFonts w:hint="eastAsia" w:eastAsia="Arial" w:asciiTheme="minorEastAsia" w:hAnsiTheme="minorEastAsia" w:cstheme="minorEastAsia"/>
          <w:sz w:val="21"/>
          <w:szCs w:val="24"/>
          <w:highlight w:val="none"/>
          <w:lang w:eastAsia="zh-CN"/>
        </w:rPr>
        <w:t xml:space="preserve"> on September 1, 2026 (Beijing Time).</w:t>
      </w:r>
    </w:p>
    <w:p w14:paraId="6ED8FE38">
      <w:pPr>
        <w:pStyle w:val="99"/>
        <w:spacing w:line="360" w:lineRule="auto"/>
        <w:outlineLvl w:val="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1"/>
          <w:szCs w:val="24"/>
          <w:highlight w:val="none"/>
        </w:rPr>
        <w:t>I. Basic Project Information</w:t>
      </w:r>
    </w:p>
    <w:p w14:paraId="7AAD3EA4">
      <w:pPr>
        <w:pStyle w:val="99"/>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1"/>
          <w:szCs w:val="24"/>
          <w:highlight w:val="none"/>
        </w:rPr>
        <w:t>Project No.: ZMZB2026YLYY-282</w:t>
      </w:r>
    </w:p>
    <w:p w14:paraId="7288D382">
      <w:pPr>
        <w:pStyle w:val="99"/>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1"/>
          <w:szCs w:val="24"/>
          <w:highlight w:val="none"/>
        </w:rPr>
        <w:t>Project Name: Digital Subtraction Angiography (DSA) Equipment Procurement Project</w:t>
      </w:r>
    </w:p>
    <w:p w14:paraId="15E6CCEA">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Procurement Method: Open Tendering</w:t>
      </w:r>
    </w:p>
    <w:p w14:paraId="625A2B13">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Budget: RMB 6,000,000.00</w:t>
      </w:r>
    </w:p>
    <w:p w14:paraId="6C00180D">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Procurement Requirements:</w:t>
      </w:r>
    </w:p>
    <w:p w14:paraId="4462BB50">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Contract Package 1 (Digital Subtraction Angiography (DSA) Equipment Procurement Project):</w:t>
      </w:r>
    </w:p>
    <w:p w14:paraId="57FC5A40">
      <w:pPr>
        <w:pStyle w:val="99"/>
        <w:spacing w:line="360" w:lineRule="auto"/>
        <w:ind w:firstLine="63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Contract Package Budget: RMB 6,000,000.00</w:t>
      </w:r>
    </w:p>
    <w:p w14:paraId="22909428">
      <w:pPr>
        <w:pStyle w:val="99"/>
        <w:spacing w:line="360" w:lineRule="auto"/>
        <w:ind w:firstLine="63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Maximum Price for the Contract Package: RMB 5,500,000.00</w:t>
      </w:r>
    </w:p>
    <w:tbl>
      <w:tblPr>
        <w:tblStyle w:val="3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41"/>
        <w:gridCol w:w="1267"/>
        <w:gridCol w:w="1844"/>
        <w:gridCol w:w="1384"/>
        <w:gridCol w:w="1491"/>
        <w:gridCol w:w="1416"/>
      </w:tblGrid>
      <w:tr w14:paraId="1CE291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41" w:type="dxa"/>
          </w:tcPr>
          <w:p w14:paraId="70665B2E">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17"/>
                <w:szCs w:val="24"/>
                <w:highlight w:val="none"/>
              </w:rPr>
              <w:t>Item No.</w:t>
            </w:r>
          </w:p>
        </w:tc>
        <w:tc>
          <w:tcPr>
            <w:tcW w:w="1267" w:type="dxa"/>
          </w:tcPr>
          <w:p w14:paraId="0BB0471D">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17"/>
                <w:szCs w:val="24"/>
                <w:highlight w:val="none"/>
              </w:rPr>
              <w:t>Item Name</w:t>
            </w:r>
          </w:p>
        </w:tc>
        <w:tc>
          <w:tcPr>
            <w:tcW w:w="1844" w:type="dxa"/>
          </w:tcPr>
          <w:p w14:paraId="5A71187E">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17"/>
                <w:szCs w:val="24"/>
                <w:highlight w:val="none"/>
              </w:rPr>
              <w:t>Procurement Item</w:t>
            </w:r>
          </w:p>
        </w:tc>
        <w:tc>
          <w:tcPr>
            <w:tcW w:w="1384" w:type="dxa"/>
          </w:tcPr>
          <w:p w14:paraId="7A79DB9C">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17"/>
                <w:szCs w:val="24"/>
                <w:highlight w:val="none"/>
              </w:rPr>
              <w:t>Quantity (Unit)</w:t>
            </w:r>
          </w:p>
        </w:tc>
        <w:tc>
          <w:tcPr>
            <w:tcW w:w="1384" w:type="dxa"/>
          </w:tcPr>
          <w:p w14:paraId="789D06A2">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17"/>
                <w:szCs w:val="24"/>
                <w:highlight w:val="none"/>
              </w:rPr>
              <w:t>Technical Specifications, Parameters and Requirements</w:t>
            </w:r>
          </w:p>
        </w:tc>
        <w:tc>
          <w:tcPr>
            <w:tcW w:w="1416" w:type="dxa"/>
          </w:tcPr>
          <w:p w14:paraId="0DD1A1C8">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17"/>
                <w:szCs w:val="24"/>
                <w:highlight w:val="none"/>
              </w:rPr>
              <w:t>Item Budget (RMB)</w:t>
            </w:r>
          </w:p>
        </w:tc>
      </w:tr>
      <w:tr w14:paraId="5E3ED1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41" w:type="dxa"/>
          </w:tcPr>
          <w:p w14:paraId="5148C2B1">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17"/>
                <w:szCs w:val="24"/>
                <w:highlight w:val="none"/>
              </w:rPr>
              <w:t>1-1</w:t>
            </w:r>
          </w:p>
        </w:tc>
        <w:tc>
          <w:tcPr>
            <w:tcW w:w="1267" w:type="dxa"/>
            <w:vAlign w:val="center"/>
          </w:tcPr>
          <w:p w14:paraId="1A53B709">
            <w:pPr>
              <w:spacing w:line="360" w:lineRule="auto"/>
              <w:jc w:val="center"/>
              <w:rPr>
                <w:rFonts w:hint="eastAsia" w:asciiTheme="minorEastAsia" w:hAnsiTheme="minorEastAsia" w:eastAsiaTheme="minorEastAsia" w:cstheme="minorEastAsia"/>
                <w:sz w:val="24"/>
                <w:szCs w:val="24"/>
                <w:highlight w:val="none"/>
              </w:rPr>
            </w:pPr>
            <w:r>
              <w:rPr>
                <w:rFonts w:hint="default" w:ascii="Arial" w:hAnsi="Arial" w:eastAsia="Arial" w:cs="宋体"/>
                <w:sz w:val="17"/>
                <w:szCs w:val="24"/>
                <w:highlight w:val="none"/>
                <w:lang w:val="en-US" w:eastAsia="zh-CN"/>
              </w:rPr>
              <w:t>Medical X-ray Diagnostic Equipment</w:t>
            </w:r>
          </w:p>
        </w:tc>
        <w:tc>
          <w:tcPr>
            <w:tcW w:w="1844" w:type="dxa"/>
            <w:vAlign w:val="center"/>
          </w:tcPr>
          <w:p w14:paraId="49A8C656">
            <w:pPr>
              <w:spacing w:line="360" w:lineRule="auto"/>
              <w:jc w:val="center"/>
              <w:rPr>
                <w:rFonts w:hint="eastAsia" w:asciiTheme="minorEastAsia" w:hAnsiTheme="minorEastAsia" w:eastAsiaTheme="minorEastAsia" w:cstheme="minorEastAsia"/>
                <w:sz w:val="24"/>
                <w:szCs w:val="24"/>
                <w:highlight w:val="none"/>
              </w:rPr>
            </w:pPr>
            <w:r>
              <w:rPr>
                <w:rFonts w:hint="eastAsia" w:ascii="Arial" w:hAnsi="Arial" w:eastAsia="Arial" w:cs="宋体"/>
                <w:sz w:val="17"/>
                <w:szCs w:val="24"/>
                <w:highlight w:val="none"/>
                <w:lang w:eastAsia="zh-CN"/>
              </w:rPr>
              <w:t>Digital Subtraction Angiography (DSA) Equipment</w:t>
            </w:r>
          </w:p>
        </w:tc>
        <w:tc>
          <w:tcPr>
            <w:tcW w:w="1384" w:type="dxa"/>
            <w:vAlign w:val="center"/>
          </w:tcPr>
          <w:p w14:paraId="4F4F201A">
            <w:pPr>
              <w:spacing w:line="360" w:lineRule="auto"/>
              <w:jc w:val="center"/>
              <w:rPr>
                <w:rFonts w:hint="eastAsia" w:asciiTheme="minorEastAsia" w:hAnsiTheme="minorEastAsia" w:eastAsiaTheme="minorEastAsia" w:cstheme="minorEastAsia"/>
                <w:sz w:val="24"/>
                <w:szCs w:val="24"/>
                <w:highlight w:val="none"/>
              </w:rPr>
            </w:pPr>
            <w:r>
              <w:rPr>
                <w:rFonts w:hint="eastAsia" w:ascii="Arial" w:hAnsi="Arial" w:eastAsia="Arial" w:cs="宋体"/>
                <w:sz w:val="17"/>
                <w:szCs w:val="24"/>
                <w:highlight w:val="none"/>
              </w:rPr>
              <w:t>1 set</w:t>
            </w:r>
          </w:p>
        </w:tc>
        <w:tc>
          <w:tcPr>
            <w:tcW w:w="1384" w:type="dxa"/>
            <w:vAlign w:val="center"/>
          </w:tcPr>
          <w:p w14:paraId="59226891">
            <w:pPr>
              <w:spacing w:line="360" w:lineRule="auto"/>
              <w:jc w:val="center"/>
              <w:rPr>
                <w:rFonts w:hint="eastAsia" w:asciiTheme="minorEastAsia" w:hAnsiTheme="minorEastAsia" w:eastAsiaTheme="minorEastAsia" w:cstheme="minorEastAsia"/>
                <w:sz w:val="24"/>
                <w:szCs w:val="24"/>
                <w:highlight w:val="none"/>
              </w:rPr>
            </w:pPr>
            <w:r>
              <w:rPr>
                <w:rFonts w:hint="eastAsia" w:ascii="Arial" w:hAnsi="Arial" w:eastAsia="Arial" w:cs="宋体"/>
                <w:sz w:val="17"/>
                <w:szCs w:val="24"/>
                <w:highlight w:val="none"/>
              </w:rPr>
              <w:t>See the procurement documents for details</w:t>
            </w:r>
          </w:p>
        </w:tc>
        <w:tc>
          <w:tcPr>
            <w:tcW w:w="1416" w:type="dxa"/>
            <w:vAlign w:val="center"/>
          </w:tcPr>
          <w:p w14:paraId="37F3CAFA">
            <w:pPr>
              <w:spacing w:line="360" w:lineRule="auto"/>
              <w:rPr>
                <w:rFonts w:hint="eastAsia" w:asciiTheme="minorEastAsia" w:hAnsiTheme="minorEastAsia" w:eastAsiaTheme="minorEastAsia" w:cstheme="minorEastAsia"/>
                <w:sz w:val="24"/>
                <w:szCs w:val="24"/>
                <w:highlight w:val="none"/>
                <w:lang w:eastAsia="zh-CN"/>
              </w:rPr>
            </w:pPr>
            <w:r>
              <w:rPr>
                <w:rFonts w:hint="eastAsia" w:ascii="Arial" w:hAnsi="Arial" w:eastAsia="Arial" w:cs="宋体"/>
                <w:sz w:val="17"/>
                <w:szCs w:val="24"/>
                <w:highlight w:val="none"/>
                <w:lang w:eastAsia="zh-CN"/>
              </w:rPr>
              <w:t>6,000,000.00</w:t>
            </w:r>
          </w:p>
        </w:tc>
      </w:tr>
    </w:tbl>
    <w:p w14:paraId="746BF557">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Consortium bids are not accepted for this contract package.</w:t>
      </w:r>
    </w:p>
    <w:p w14:paraId="6ED7E0AA">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Contract Performance Period: From execution of the contract through expiration of the project's warranty period (the specific commencement and completion dates may be postponed accordingly based on the date the contract is executed).</w:t>
      </w:r>
    </w:p>
    <w:p w14:paraId="608294E4">
      <w:pPr>
        <w:pStyle w:val="99"/>
        <w:spacing w:line="360" w:lineRule="auto"/>
        <w:outlineLvl w:val="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1"/>
          <w:szCs w:val="24"/>
          <w:highlight w:val="none"/>
        </w:rPr>
        <w:t>II. Eligibility Requirements for Applicants:</w:t>
      </w:r>
    </w:p>
    <w:p w14:paraId="52CA1886">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1. Applicants shall satisfy the requirements of Article 22 of the Government Procurement Law of the People's Republic of China;</w:t>
      </w:r>
    </w:p>
    <w:p w14:paraId="7655F624">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2. Eligibility requirements for implementing government procurement policies:</w:t>
      </w:r>
    </w:p>
    <w:p w14:paraId="09718635">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The requirements for implementing government procurement policies for Contract Package 1 (Digital Subtraction Angiography (DSA) Equipment Procurement Project) are as follows: This project is not reserved exclusively for small and medium-sized enterprises.</w:t>
      </w:r>
    </w:p>
    <w:p w14:paraId="08B378FD">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3. Project-specific eligibility requirements:</w:t>
      </w:r>
    </w:p>
    <w:p w14:paraId="1D6360A4">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The specific eligibility requirements for Contract Package 1 (Digital Subtraction Angiography (DSA) Equipment Procurement Project) are as follows:</w:t>
      </w:r>
    </w:p>
    <w:p w14:paraId="3D4AC6B6">
      <w:pPr>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z w:val="24"/>
          <w:szCs w:val="24"/>
          <w:highlight w:val="none"/>
        </w:rPr>
      </w:pPr>
      <w:r>
        <w:rPr>
          <w:rFonts w:hint="eastAsia" w:ascii="Arial" w:hAnsi="Arial" w:eastAsia="Arial" w:cs="宋体"/>
          <w:sz w:val="21"/>
          <w:szCs w:val="24"/>
          <w:highlight w:val="none"/>
        </w:rPr>
        <w:t>(1) A legal person, other organization, or natural person capable of independently assuming civil liability. A valid business license bearing a Unified Social Credit Code shall be provided (public institutions shall provide a Public Institution Legal Person Certificate; natural persons shall provide an identity document);</w:t>
      </w:r>
    </w:p>
    <w:p w14:paraId="16216253">
      <w:pPr>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z w:val="24"/>
          <w:szCs w:val="24"/>
          <w:highlight w:val="none"/>
        </w:rPr>
      </w:pPr>
      <w:r>
        <w:rPr>
          <w:rFonts w:hint="eastAsia" w:ascii="Arial" w:hAnsi="Arial" w:eastAsia="Arial" w:cs="宋体"/>
          <w:sz w:val="21"/>
          <w:szCs w:val="24"/>
          <w:highlight w:val="none"/>
        </w:rPr>
        <w:t>(2) Proof of financial standing: The supplier shall provide its complete audited financial report for 2025 (the audit report must include the verification code assigned by the Unified Supervision Platform for the Certified Public Accountant Profession at https://acc.mof.gov.cn). If less than one year has elapsed between establishment and the deadline for submitting bid documents, the supplier may provide a balance sheet for any period after establishment, or a bank credit certificate issued within the three months preceding bid opening;</w:t>
      </w:r>
    </w:p>
    <w:p w14:paraId="6EAB6DC8">
      <w:pPr>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z w:val="24"/>
          <w:szCs w:val="24"/>
          <w:highlight w:val="none"/>
        </w:rPr>
      </w:pPr>
      <w:r>
        <w:rPr>
          <w:rFonts w:hint="eastAsia" w:ascii="Arial" w:hAnsi="Arial" w:eastAsia="Arial" w:cs="宋体"/>
          <w:sz w:val="21"/>
          <w:szCs w:val="24"/>
          <w:highlight w:val="none"/>
        </w:rPr>
        <w:t>(3) A written statement confirming possession of the equipment and professional technical capabilities necessary to perform the contract;</w:t>
      </w:r>
    </w:p>
    <w:p w14:paraId="0E9FEB9F">
      <w:pPr>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z w:val="24"/>
          <w:szCs w:val="24"/>
          <w:highlight w:val="none"/>
        </w:rPr>
      </w:pPr>
      <w:r>
        <w:rPr>
          <w:rFonts w:hint="eastAsia" w:ascii="Arial" w:hAnsi="Arial" w:eastAsia="Arial" w:cs="宋体"/>
          <w:sz w:val="21"/>
          <w:szCs w:val="24"/>
          <w:highlight w:val="none"/>
        </w:rPr>
        <w:t>(4) Proof of tax payment: Provide supporting documentation for lawful tax payment for any period since January 2026 (inclusive), with the relevant period determined by the tax period to which the payment pertains. The documentation shall bear the official seal or business-specific seal of the tax authority or collecting agency. Suppliers legally exempt from tax or not required to pay tax shall provide the corresponding supporting documents;</w:t>
      </w:r>
    </w:p>
    <w:p w14:paraId="340D2687">
      <w:pPr>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z w:val="24"/>
          <w:szCs w:val="24"/>
          <w:highlight w:val="none"/>
        </w:rPr>
      </w:pPr>
      <w:r>
        <w:rPr>
          <w:rFonts w:hint="eastAsia" w:ascii="Arial" w:hAnsi="Arial" w:eastAsia="Arial" w:cs="宋体"/>
          <w:sz w:val="21"/>
          <w:szCs w:val="24"/>
          <w:highlight w:val="none"/>
        </w:rPr>
        <w:t>(5) Proof of payment of social security contributions: Provide a social security contribution receipt or a certificate of social insurance enrollment and contribution status issued by the social security authority for any period since January 2026 (inclusive). Suppliers not legally required to pay social security contributions shall provide the relevant supporting documents;</w:t>
      </w:r>
    </w:p>
    <w:p w14:paraId="5F5B6817">
      <w:pPr>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z w:val="24"/>
          <w:szCs w:val="24"/>
          <w:highlight w:val="none"/>
        </w:rPr>
      </w:pPr>
      <w:r>
        <w:rPr>
          <w:rFonts w:hint="eastAsia" w:ascii="Arial" w:hAnsi="Arial" w:eastAsia="Arial" w:cs="宋体"/>
          <w:sz w:val="21"/>
          <w:szCs w:val="24"/>
          <w:highlight w:val="none"/>
        </w:rPr>
        <w:t>(6) A written declaration that the supplier has no record of major violations of law in its business activities during the three years preceding participation in the procurement activity;</w:t>
      </w:r>
    </w:p>
    <w:p w14:paraId="6704888A">
      <w:pPr>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4"/>
          <w:szCs w:val="24"/>
          <w:highlight w:val="none"/>
          <w:lang w:val="en-US" w:eastAsia="zh-CN"/>
        </w:rPr>
      </w:pPr>
      <w:r>
        <w:rPr>
          <w:rFonts w:hint="eastAsia" w:ascii="Arial" w:hAnsi="Arial" w:eastAsia="Arial" w:cs="宋体"/>
          <w:sz w:val="21"/>
          <w:szCs w:val="24"/>
          <w:highlight w:val="none"/>
        </w:rPr>
        <w:t>(7) The supplier must not be listed on the Credit China website as a judgment defaulter or as an entity responsible for serious tax violations, and must not be listed on the China Government Procurement Network as having committed serious illegal or dishonest acts in government procurement;</w:t>
      </w:r>
    </w:p>
    <w:p w14:paraId="76C0AF1D">
      <w:pPr>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z w:val="24"/>
          <w:szCs w:val="24"/>
          <w:highlight w:val="none"/>
        </w:rPr>
      </w:pPr>
      <w:r>
        <w:rPr>
          <w:rFonts w:hint="eastAsia" w:ascii="Arial" w:hAnsi="Arial" w:eastAsia="Arial" w:cs="宋体"/>
          <w:sz w:val="21"/>
          <w:szCs w:val="24"/>
          <w:highlight w:val="none"/>
        </w:rPr>
        <w:t>(8) Where the bidder is represented by a person other than its legal representative, a power of attorney from the legal representative shall be provided. If the legal representative participates in the tender, only the legal representative's identity document is required;</w:t>
      </w:r>
    </w:p>
    <w:p w14:paraId="53CAA04B">
      <w:pPr>
        <w:pStyle w:val="21"/>
        <w:spacing w:line="360" w:lineRule="auto"/>
        <w:ind w:firstLine="420" w:firstLineChars="200"/>
        <w:rPr>
          <w:rFonts w:hint="eastAsia" w:ascii="宋体" w:hAnsi="宋体" w:eastAsia="宋体" w:cs="宋体"/>
          <w:kern w:val="2"/>
          <w:sz w:val="24"/>
          <w:szCs w:val="24"/>
          <w:highlight w:val="none"/>
          <w:lang w:val="en-US" w:eastAsia="zh-CN" w:bidi="ar-SA"/>
        </w:rPr>
      </w:pPr>
      <w:r>
        <w:rPr>
          <w:rFonts w:hint="eastAsia" w:ascii="Arial" w:hAnsi="Arial" w:eastAsia="Arial" w:cs="宋体"/>
          <w:kern w:val="2"/>
          <w:sz w:val="21"/>
          <w:szCs w:val="24"/>
          <w:highlight w:val="none"/>
          <w:lang w:val="en-US" w:eastAsia="zh-CN" w:bidi="ar-SA"/>
        </w:rPr>
        <w:t>(9) A supplier acting as an agent shall provide a Medical Device Operation License (or Medical Device Operation Filing Certificate) and the manufacturer's Medical Device Manufacturing License (or Medical Device Manufacturing Filing Certificate). A supplier that is the manufacturer shall provide a Medical Device Manufacturing License (or Medical Device Manufacturing Filing Certificate). If the offered product is regulated as a medical device, a Medical Device Registration Certificate or Medical Device Filing Certificate shall be provided;</w:t>
      </w:r>
    </w:p>
    <w:p w14:paraId="7A90F2CD">
      <w:pPr>
        <w:spacing w:line="360" w:lineRule="auto"/>
        <w:ind w:firstLine="420" w:firstLineChars="200"/>
        <w:rPr>
          <w:rFonts w:hint="eastAsia" w:ascii="宋体" w:hAnsi="宋体" w:eastAsia="宋体" w:cs="宋体"/>
          <w:kern w:val="2"/>
          <w:sz w:val="24"/>
          <w:szCs w:val="24"/>
          <w:highlight w:val="none"/>
          <w:lang w:val="en-US" w:eastAsia="zh-CN" w:bidi="ar-SA"/>
        </w:rPr>
      </w:pPr>
      <w:r>
        <w:rPr>
          <w:rFonts w:hint="eastAsia" w:ascii="Arial" w:hAnsi="Arial" w:eastAsia="Arial" w:cs="宋体"/>
          <w:kern w:val="2"/>
          <w:sz w:val="21"/>
          <w:szCs w:val="24"/>
          <w:highlight w:val="none"/>
          <w:lang w:val="en-US" w:eastAsia="zh-CN" w:bidi="ar-SA"/>
        </w:rPr>
        <w:t>(10) If the supplier is the product manufacturer, it shall provide a valid Radiation Safety License issued by the competent national administrative authority. If the supplier is a product distributor, it shall provide its own valid Radiation Safety License issued by the competent national administrative authority, as well as the product manufacturer's valid Radiation Safety License issued by the competent national administrative authority. If the offered product has obtained a radiation exemption filing certificate, the supplier may provide the product's radiation exemption filing documentation instead of a Radiation Safety License;</w:t>
      </w:r>
    </w:p>
    <w:p w14:paraId="13A005EC">
      <w:pPr>
        <w:pStyle w:val="99"/>
        <w:numPr>
          <w:ilvl w:val="0"/>
          <w:numId w:val="0"/>
        </w:numPr>
        <w:spacing w:line="360" w:lineRule="auto"/>
        <w:ind w:firstLine="420" w:firstLineChars="200"/>
        <w:rPr>
          <w:rFonts w:hint="eastAsia" w:asciiTheme="minorEastAsia" w:hAnsiTheme="minorEastAsia" w:eastAsiaTheme="minorEastAsia" w:cstheme="minorEastAsia"/>
          <w:sz w:val="24"/>
          <w:szCs w:val="24"/>
          <w:highlight w:val="none"/>
        </w:rPr>
      </w:pPr>
      <w:r>
        <w:rPr>
          <w:rFonts w:hint="eastAsia" w:ascii="Arial" w:hAnsi="Arial" w:eastAsia="Arial" w:cs="宋体"/>
          <w:kern w:val="2"/>
          <w:sz w:val="21"/>
          <w:szCs w:val="24"/>
          <w:highlight w:val="none"/>
          <w:lang w:val="en-US" w:eastAsia="zh-CN" w:bidi="ar-SA"/>
        </w:rPr>
        <w:t>(11) Consortium bids are not accepted for this project.</w:t>
      </w:r>
    </w:p>
    <w:p w14:paraId="17D7DD78">
      <w:pPr>
        <w:pStyle w:val="99"/>
        <w:spacing w:line="360" w:lineRule="auto"/>
        <w:outlineLvl w:val="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1"/>
          <w:szCs w:val="24"/>
          <w:highlight w:val="none"/>
        </w:rPr>
        <w:t>III. Obtaining the Procurement Documents</w:t>
      </w:r>
    </w:p>
    <w:p w14:paraId="2121E26F">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Period: From July 23, 2026 to July 29, 2026, daily from 00:00:00 to 12:00:00 and from 12:00:00 to 23:59:59 (Beijing Time)</w:t>
      </w:r>
    </w:p>
    <w:p w14:paraId="2EBEA50D">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Access: Log in to the Shaanxi Province Yangling Demonstration Zone Public Resources Trading Center platform (http://yangl.sxggzyjy.cn/) and confirm the project.</w:t>
      </w:r>
    </w:p>
    <w:p w14:paraId="1132337E">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Method: Obtain online</w:t>
      </w:r>
    </w:p>
    <w:p w14:paraId="7E20C6A0">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Price: RMB 0</w:t>
      </w:r>
    </w:p>
    <w:p w14:paraId="68F54995">
      <w:pPr>
        <w:pStyle w:val="99"/>
        <w:spacing w:line="360" w:lineRule="auto"/>
        <w:outlineLvl w:val="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1"/>
          <w:szCs w:val="24"/>
          <w:highlight w:val="none"/>
        </w:rPr>
        <w:t>IV. Submission of Bid Documents</w:t>
      </w:r>
    </w:p>
    <w:p w14:paraId="67A22403">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 xml:space="preserve">Deadline: </w:t>
      </w:r>
      <w:r>
        <w:rPr>
          <w:rFonts w:hint="eastAsia" w:asciiTheme="minorEastAsia" w:hAnsiTheme="minorEastAsia" w:cstheme="minorEastAsia"/>
          <w:sz w:val="21"/>
          <w:szCs w:val="24"/>
          <w:highlight w:val="none"/>
          <w:lang w:val="en-US" w:eastAsia="zh-CN"/>
        </w:rPr>
        <w:t>09</w:t>
      </w:r>
      <w:r>
        <w:rPr>
          <w:rFonts w:hint="eastAsia" w:asciiTheme="minorEastAsia" w:hAnsiTheme="minorEastAsia" w:eastAsiaTheme="minorEastAsia" w:cstheme="minorEastAsia"/>
          <w:sz w:val="21"/>
          <w:szCs w:val="24"/>
          <w:highlight w:val="none"/>
        </w:rPr>
        <w:t>:</w:t>
      </w:r>
      <w:r>
        <w:rPr>
          <w:rFonts w:hint="eastAsia" w:asciiTheme="minorEastAsia" w:hAnsiTheme="minorEastAsia" w:cstheme="minorEastAsia"/>
          <w:sz w:val="21"/>
          <w:szCs w:val="24"/>
          <w:highlight w:val="none"/>
          <w:lang w:val="en-US" w:eastAsia="zh-CN"/>
        </w:rPr>
        <w:t>00</w:t>
      </w:r>
      <w:r>
        <w:rPr>
          <w:rFonts w:hint="eastAsia" w:asciiTheme="minorEastAsia" w:hAnsiTheme="minorEastAsia" w:eastAsiaTheme="minorEastAsia" w:cstheme="minorEastAsia"/>
          <w:sz w:val="21"/>
          <w:szCs w:val="24"/>
          <w:highlight w:val="none"/>
        </w:rPr>
        <w:t>:</w:t>
      </w:r>
      <w:r>
        <w:rPr>
          <w:rFonts w:hint="eastAsia" w:asciiTheme="minorEastAsia" w:hAnsiTheme="minorEastAsia" w:cstheme="minorEastAsia"/>
          <w:sz w:val="21"/>
          <w:szCs w:val="24"/>
          <w:highlight w:val="none"/>
          <w:lang w:val="en-US" w:eastAsia="zh-CN"/>
        </w:rPr>
        <w:t>00</w:t>
      </w:r>
      <w:r>
        <w:rPr>
          <w:rFonts w:hint="eastAsia" w:asciiTheme="minorEastAsia" w:hAnsiTheme="minorEastAsia" w:eastAsiaTheme="minorEastAsia" w:cstheme="minorEastAsia"/>
          <w:sz w:val="21"/>
          <w:szCs w:val="24"/>
          <w:highlight w:val="none"/>
        </w:rPr>
        <w:t xml:space="preserve"> on </w:t>
      </w:r>
      <w:r>
        <w:rPr>
          <w:rFonts w:hint="eastAsia" w:eastAsia="Arial" w:asciiTheme="minorEastAsia" w:hAnsiTheme="minorEastAsia" w:cstheme="minorEastAsia"/>
          <w:sz w:val="21"/>
          <w:szCs w:val="24"/>
          <w:highlight w:val="none"/>
          <w:lang w:eastAsia="zh-CN"/>
        </w:rPr>
        <w:t>September 1</w:t>
      </w:r>
      <w:r>
        <w:rPr>
          <w:rFonts w:hint="eastAsia" w:asciiTheme="minorEastAsia" w:hAnsiTheme="minorEastAsia" w:eastAsiaTheme="minorEastAsia" w:cstheme="minorEastAsia"/>
          <w:sz w:val="21"/>
          <w:szCs w:val="24"/>
          <w:highlight w:val="none"/>
        </w:rPr>
        <w:t>, 2026 (Beijing Time)</w:t>
      </w:r>
    </w:p>
    <w:p w14:paraId="74ACD9A6">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Place: Submit through the “Electronic Trading Platform – Enterprise Portal” after logging in to the Shaanxi Province Yangling Demonstration Zone Public Resources Trading Center platform (http://yangl.sxggzyjy.cn/). The system will reject late submissions.</w:t>
      </w:r>
    </w:p>
    <w:p w14:paraId="0F6E6FBC">
      <w:pPr>
        <w:pStyle w:val="99"/>
        <w:spacing w:line="360" w:lineRule="auto"/>
        <w:outlineLvl w:val="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1"/>
          <w:szCs w:val="24"/>
          <w:highlight w:val="none"/>
        </w:rPr>
        <w:t>V. Bid Opening</w:t>
      </w:r>
    </w:p>
    <w:p w14:paraId="77894BBE">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 xml:space="preserve">Time: </w:t>
      </w:r>
      <w:r>
        <w:rPr>
          <w:rFonts w:hint="eastAsia" w:asciiTheme="minorEastAsia" w:hAnsiTheme="minorEastAsia" w:cstheme="minorEastAsia"/>
          <w:sz w:val="21"/>
          <w:szCs w:val="24"/>
          <w:highlight w:val="none"/>
          <w:lang w:val="en-US" w:eastAsia="zh-CN"/>
        </w:rPr>
        <w:t>09</w:t>
      </w:r>
      <w:r>
        <w:rPr>
          <w:rFonts w:hint="eastAsia" w:asciiTheme="minorEastAsia" w:hAnsiTheme="minorEastAsia" w:eastAsiaTheme="minorEastAsia" w:cstheme="minorEastAsia"/>
          <w:sz w:val="21"/>
          <w:szCs w:val="24"/>
          <w:highlight w:val="none"/>
        </w:rPr>
        <w:t>:</w:t>
      </w:r>
      <w:r>
        <w:rPr>
          <w:rFonts w:hint="eastAsia" w:asciiTheme="minorEastAsia" w:hAnsiTheme="minorEastAsia" w:cstheme="minorEastAsia"/>
          <w:sz w:val="21"/>
          <w:szCs w:val="24"/>
          <w:highlight w:val="none"/>
          <w:lang w:val="en-US" w:eastAsia="zh-CN"/>
        </w:rPr>
        <w:t>00</w:t>
      </w:r>
      <w:r>
        <w:rPr>
          <w:rFonts w:hint="eastAsia" w:asciiTheme="minorEastAsia" w:hAnsiTheme="minorEastAsia" w:eastAsiaTheme="minorEastAsia" w:cstheme="minorEastAsia"/>
          <w:sz w:val="21"/>
          <w:szCs w:val="24"/>
          <w:highlight w:val="none"/>
        </w:rPr>
        <w:t>:</w:t>
      </w:r>
      <w:r>
        <w:rPr>
          <w:rFonts w:hint="eastAsia" w:asciiTheme="minorEastAsia" w:hAnsiTheme="minorEastAsia" w:cstheme="minorEastAsia"/>
          <w:sz w:val="21"/>
          <w:szCs w:val="24"/>
          <w:highlight w:val="none"/>
          <w:lang w:val="en-US" w:eastAsia="zh-CN"/>
        </w:rPr>
        <w:t>00</w:t>
      </w:r>
      <w:r>
        <w:rPr>
          <w:rFonts w:hint="eastAsia" w:asciiTheme="minorEastAsia" w:hAnsiTheme="minorEastAsia" w:eastAsiaTheme="minorEastAsia" w:cstheme="minorEastAsia"/>
          <w:sz w:val="21"/>
          <w:szCs w:val="24"/>
          <w:highlight w:val="none"/>
        </w:rPr>
        <w:t xml:space="preserve"> on </w:t>
      </w:r>
      <w:r>
        <w:rPr>
          <w:rFonts w:hint="eastAsia" w:eastAsia="Arial" w:asciiTheme="minorEastAsia" w:hAnsiTheme="minorEastAsia" w:cstheme="minorEastAsia"/>
          <w:sz w:val="21"/>
          <w:szCs w:val="24"/>
          <w:highlight w:val="none"/>
          <w:lang w:eastAsia="zh-CN"/>
        </w:rPr>
        <w:t>September 1</w:t>
      </w:r>
      <w:r>
        <w:rPr>
          <w:rFonts w:hint="eastAsia" w:asciiTheme="minorEastAsia" w:hAnsiTheme="minorEastAsia" w:eastAsiaTheme="minorEastAsia" w:cstheme="minorEastAsia"/>
          <w:sz w:val="21"/>
          <w:szCs w:val="24"/>
          <w:highlight w:val="none"/>
        </w:rPr>
        <w:t>, 2026 (Beijing Time)</w:t>
      </w:r>
    </w:p>
    <w:p w14:paraId="09D59F66">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Place: Remote Bid-Opening Hall of the Yangling Demonstration Zone Public Resources Trading Center</w:t>
      </w:r>
    </w:p>
    <w:p w14:paraId="229B38ED">
      <w:pPr>
        <w:pStyle w:val="99"/>
        <w:spacing w:line="360" w:lineRule="auto"/>
        <w:outlineLvl w:val="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1"/>
          <w:szCs w:val="24"/>
          <w:highlight w:val="none"/>
        </w:rPr>
        <w:t>VI. Announcement Period</w:t>
      </w:r>
    </w:p>
    <w:p w14:paraId="2E5432F6">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Five working days from the date this announcement is published.</w:t>
      </w:r>
    </w:p>
    <w:p w14:paraId="23886F4D">
      <w:pPr>
        <w:pStyle w:val="99"/>
        <w:spacing w:line="360" w:lineRule="auto"/>
        <w:outlineLvl w:val="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1"/>
          <w:szCs w:val="24"/>
          <w:highlight w:val="none"/>
        </w:rPr>
        <w:t>VII. Other Supplementary Matters</w:t>
      </w:r>
    </w:p>
    <w:p w14:paraId="36692923">
      <w:pPr>
        <w:pStyle w:val="99"/>
        <w:spacing w:line="360" w:lineRule="auto"/>
        <w:ind w:firstLine="480"/>
        <w:jc w:val="both"/>
        <w:rPr>
          <w:rFonts w:hint="eastAsia" w:asciiTheme="minorEastAsia" w:hAnsiTheme="minorEastAsia" w:eastAsiaTheme="minorEastAsia" w:cstheme="minorEastAsia"/>
          <w:color w:val="333333"/>
          <w:sz w:val="24"/>
          <w:szCs w:val="24"/>
          <w:highlight w:val="none"/>
          <w:shd w:val="clear" w:fill="FFFFFF"/>
        </w:rPr>
      </w:pPr>
      <w:r>
        <w:rPr>
          <w:rFonts w:hint="eastAsia" w:asciiTheme="minorEastAsia" w:hAnsiTheme="minorEastAsia" w:eastAsiaTheme="minorEastAsia" w:cstheme="minorEastAsia"/>
          <w:color w:val="333333"/>
          <w:sz w:val="21"/>
          <w:szCs w:val="24"/>
          <w:highlight w:val="none"/>
          <w:shd w:val="clear" w:fill="FFFFFF"/>
        </w:rPr>
        <w:t>1. Notes: (1) Online bid confirmation procedure: Log in to the Shaanxi Province Yangling Demonstration Zone Public Resources Trading Center platform (http://yangl.sxggzyjy.cn/), select “Electronic Trading Platform – Shaanxi Provincial Government Procurement Trading System,” and log in. After logging in, select “Trading Party B,” select this project, choose “I Want to Bid,” complete the relevant information, and submit the confirmation. (2) Method for obtaining procurement documents: Select this project, click “Project Process” to enter the procurement document download page, and click “Download Trading Documents” to download the electronic procurement documents issued for this project. Suppliers must log in to the Shaanxi Province Yangling Demonstration Zone Public Resources Trading Center platform and download the procurement documents directly within the period for obtaining the tender documents (00:00:00 on 2026-</w:t>
      </w:r>
      <w:r>
        <w:rPr>
          <w:rFonts w:hint="eastAsia" w:asciiTheme="minorEastAsia" w:hAnsiTheme="minorEastAsia" w:cstheme="minorEastAsia"/>
          <w:color w:val="333333"/>
          <w:sz w:val="21"/>
          <w:szCs w:val="24"/>
          <w:highlight w:val="none"/>
          <w:shd w:val="clear" w:fill="FFFFFF"/>
          <w:lang w:val="en-US" w:eastAsia="zh-CN"/>
        </w:rPr>
        <w:t>07</w:t>
      </w:r>
      <w:r>
        <w:rPr>
          <w:rFonts w:hint="eastAsia" w:asciiTheme="minorEastAsia" w:hAnsiTheme="minorEastAsia" w:eastAsiaTheme="minorEastAsia" w:cstheme="minorEastAsia"/>
          <w:color w:val="333333"/>
          <w:sz w:val="21"/>
          <w:szCs w:val="24"/>
          <w:highlight w:val="none"/>
          <w:shd w:val="clear" w:fill="FFFFFF"/>
        </w:rPr>
        <w:t>-</w:t>
      </w:r>
      <w:r>
        <w:rPr>
          <w:rFonts w:hint="eastAsia" w:asciiTheme="minorEastAsia" w:hAnsiTheme="minorEastAsia" w:cstheme="minorEastAsia"/>
          <w:color w:val="333333"/>
          <w:sz w:val="21"/>
          <w:szCs w:val="24"/>
          <w:highlight w:val="none"/>
          <w:shd w:val="clear" w:fill="FFFFFF"/>
          <w:lang w:val="en-US" w:eastAsia="zh-CN"/>
        </w:rPr>
        <w:t>23</w:t>
      </w:r>
      <w:r>
        <w:rPr>
          <w:rFonts w:hint="eastAsia" w:asciiTheme="minorEastAsia" w:hAnsiTheme="minorEastAsia" w:eastAsiaTheme="minorEastAsia" w:cstheme="minorEastAsia"/>
          <w:color w:val="333333"/>
          <w:sz w:val="21"/>
          <w:szCs w:val="24"/>
          <w:highlight w:val="none"/>
          <w:shd w:val="clear" w:fill="FFFFFF"/>
        </w:rPr>
        <w:t xml:space="preserve"> to 23:59:59 on 2026-</w:t>
      </w:r>
      <w:r>
        <w:rPr>
          <w:rFonts w:hint="eastAsia" w:asciiTheme="minorEastAsia" w:hAnsiTheme="minorEastAsia" w:cstheme="minorEastAsia"/>
          <w:color w:val="333333"/>
          <w:sz w:val="21"/>
          <w:szCs w:val="24"/>
          <w:highlight w:val="none"/>
          <w:shd w:val="clear" w:fill="FFFFFF"/>
          <w:lang w:val="en-US" w:eastAsia="zh-CN"/>
        </w:rPr>
        <w:t>07</w:t>
      </w:r>
      <w:r>
        <w:rPr>
          <w:rFonts w:hint="eastAsia" w:asciiTheme="minorEastAsia" w:hAnsiTheme="minorEastAsia" w:eastAsiaTheme="minorEastAsia" w:cstheme="minorEastAsia"/>
          <w:color w:val="333333"/>
          <w:sz w:val="21"/>
          <w:szCs w:val="24"/>
          <w:highlight w:val="none"/>
          <w:shd w:val="clear" w:fill="FFFFFF"/>
        </w:rPr>
        <w:t>-</w:t>
      </w:r>
      <w:r>
        <w:rPr>
          <w:rFonts w:hint="eastAsia" w:asciiTheme="minorEastAsia" w:hAnsiTheme="minorEastAsia" w:cstheme="minorEastAsia"/>
          <w:color w:val="333333"/>
          <w:sz w:val="21"/>
          <w:szCs w:val="24"/>
          <w:highlight w:val="none"/>
          <w:shd w:val="clear" w:fill="FFFFFF"/>
          <w:lang w:val="en-US" w:eastAsia="zh-CN"/>
        </w:rPr>
        <w:t>29</w:t>
      </w:r>
      <w:r>
        <w:rPr>
          <w:rFonts w:hint="eastAsia" w:asciiTheme="minorEastAsia" w:hAnsiTheme="minorEastAsia" w:eastAsiaTheme="minorEastAsia" w:cstheme="minorEastAsia"/>
          <w:color w:val="333333"/>
          <w:sz w:val="21"/>
          <w:szCs w:val="24"/>
          <w:highlight w:val="none"/>
          <w:shd w:val="clear" w:fill="FFFFFF"/>
        </w:rPr>
        <w:t>). The download channel will close after the deadline; failure to download the procurement documents in a timely manner will affect subsequent bid opening and evaluation activities. (3) Applying for a CA key: Suppliers using the trading platform for the first time must apply for a CA key from Shaanxi Digital Certificate Authority Co., Ltd. Application addresses and consultation telephone numbers are as follows: Room 101, 1/F, Xinxi Gang Building, No. 9 Gaoxin 3rd Road, Xi'an; Tel.: 400-636-9888. 1/F, Building B, Provincial Sports Apartments, No. 14 Chang'an North Road, Xi'an; Tel.: 029-88661241.</w:t>
      </w:r>
    </w:p>
    <w:p w14:paraId="26BB0967">
      <w:pPr>
        <w:pStyle w:val="99"/>
        <w:spacing w:line="360" w:lineRule="auto"/>
        <w:ind w:firstLine="480"/>
        <w:jc w:val="both"/>
        <w:rPr>
          <w:rFonts w:hint="eastAsia" w:asciiTheme="minorEastAsia" w:hAnsiTheme="minorEastAsia" w:eastAsiaTheme="minorEastAsia" w:cstheme="minorEastAsia"/>
          <w:color w:val="333333"/>
          <w:sz w:val="24"/>
          <w:szCs w:val="24"/>
          <w:highlight w:val="none"/>
          <w:shd w:val="clear" w:fill="FFFFFF"/>
        </w:rPr>
      </w:pPr>
      <w:r>
        <w:rPr>
          <w:rFonts w:hint="eastAsia" w:asciiTheme="minorEastAsia" w:hAnsiTheme="minorEastAsia" w:eastAsiaTheme="minorEastAsia" w:cstheme="minorEastAsia"/>
          <w:color w:val="333333"/>
          <w:sz w:val="21"/>
          <w:szCs w:val="24"/>
          <w:highlight w:val="none"/>
          <w:shd w:val="clear" w:fill="FFFFFF"/>
        </w:rPr>
        <w:t>2. Method for submitting initial bid documents</w:t>
      </w:r>
    </w:p>
    <w:p w14:paraId="5892B808">
      <w:pPr>
        <w:pStyle w:val="99"/>
        <w:spacing w:line="360" w:lineRule="auto"/>
        <w:ind w:firstLine="480"/>
        <w:jc w:val="both"/>
        <w:rPr>
          <w:rFonts w:hint="eastAsia" w:asciiTheme="minorEastAsia" w:hAnsiTheme="minorEastAsia" w:eastAsiaTheme="minorEastAsia" w:cstheme="minorEastAsia"/>
          <w:color w:val="333333"/>
          <w:sz w:val="24"/>
          <w:szCs w:val="24"/>
          <w:highlight w:val="none"/>
          <w:shd w:val="clear" w:fill="FFFFFF"/>
        </w:rPr>
      </w:pPr>
      <w:r>
        <w:rPr>
          <w:rFonts w:hint="eastAsia" w:asciiTheme="minorEastAsia" w:hAnsiTheme="minorEastAsia" w:eastAsiaTheme="minorEastAsia" w:cstheme="minorEastAsia"/>
          <w:color w:val="333333"/>
          <w:sz w:val="21"/>
          <w:szCs w:val="24"/>
          <w:highlight w:val="none"/>
          <w:shd w:val="clear" w:fill="FFFFFF"/>
        </w:rPr>
        <w:t>(1) Electronic bid documents (*.SXSTF) may be submitted at any time before the deadline for initial bid documents by logging in to the “Electronic Trading Platform – Enterprise Portal” of the Shaanxi Province Yangling Demonstration Zone Public Resources Trading Center platform (http://yangl.sxggzyjy.cn/). The system will reject late submissions.</w:t>
      </w:r>
    </w:p>
    <w:p w14:paraId="6B4CE2FA">
      <w:pPr>
        <w:pStyle w:val="99"/>
        <w:spacing w:line="360" w:lineRule="auto"/>
        <w:ind w:firstLine="480"/>
        <w:jc w:val="both"/>
        <w:rPr>
          <w:rFonts w:hint="eastAsia" w:asciiTheme="minorEastAsia" w:hAnsiTheme="minorEastAsia" w:eastAsiaTheme="minorEastAsia" w:cstheme="minorEastAsia"/>
          <w:color w:val="333333"/>
          <w:sz w:val="24"/>
          <w:szCs w:val="24"/>
          <w:highlight w:val="none"/>
          <w:shd w:val="clear" w:fill="FFFFFF"/>
        </w:rPr>
      </w:pPr>
      <w:r>
        <w:rPr>
          <w:rFonts w:hint="eastAsia" w:asciiTheme="minorEastAsia" w:hAnsiTheme="minorEastAsia" w:eastAsiaTheme="minorEastAsia" w:cstheme="minorEastAsia"/>
          <w:color w:val="333333"/>
          <w:sz w:val="21"/>
          <w:szCs w:val="24"/>
          <w:highlight w:val="none"/>
          <w:shd w:val="clear" w:fill="FFFFFF"/>
        </w:rPr>
        <w:t>(2) This project will use a remote bid-opening format. Suppliers may log in to the Shaanxi Province Yangling Demonstration Zone Public Resources Trading Center platform (http://yangl.sxggzyjy.cn/) and select [Home &gt; Remote Bid Opening] to participate online in the bid opening and evaluation process. For details, see the Supplier Operation Manual for the Remote Bid-Opening Hall of the Yangling Demonstration Zone Public Resources Trading Center under [Home &gt; Service Guide &gt; Download Center] on the trading platform (URL: http://yangl.sxggzyjy.cn/fwzn/004003/subPage.html).</w:t>
      </w:r>
    </w:p>
    <w:p w14:paraId="0229394C">
      <w:pPr>
        <w:pStyle w:val="99"/>
        <w:spacing w:line="360" w:lineRule="auto"/>
        <w:jc w:val="both"/>
        <w:outlineLvl w:val="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1"/>
          <w:szCs w:val="24"/>
          <w:highlight w:val="none"/>
        </w:rPr>
        <w:t>VIII. For Inquiries Regarding This Tender, Please Contact:</w:t>
      </w:r>
    </w:p>
    <w:p w14:paraId="45396038">
      <w:pPr>
        <w:pStyle w:val="99"/>
        <w:spacing w:line="360" w:lineRule="auto"/>
        <w:outlineLvl w:val="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1"/>
          <w:szCs w:val="24"/>
          <w:highlight w:val="none"/>
        </w:rPr>
        <w:t>1. Procuring Entity Information</w:t>
      </w:r>
    </w:p>
    <w:p w14:paraId="301E1EB5">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Name: Yangling Demonstration Zone Hospital</w:t>
      </w:r>
    </w:p>
    <w:p w14:paraId="3B10C1F8">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Address: No. 8 Houji Road, Yangling Demonstration Zone</w:t>
      </w:r>
    </w:p>
    <w:p w14:paraId="343AFC8E">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Contact: 029-87018183</w:t>
      </w:r>
    </w:p>
    <w:p w14:paraId="01C1EC4D">
      <w:pPr>
        <w:pStyle w:val="99"/>
        <w:spacing w:line="360" w:lineRule="auto"/>
        <w:outlineLvl w:val="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1"/>
          <w:szCs w:val="24"/>
          <w:highlight w:val="none"/>
        </w:rPr>
        <w:t>2. Procurement Agency Information</w:t>
      </w:r>
    </w:p>
    <w:p w14:paraId="7E6AAF1D">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Name: Shaanxi Zhuoming Project Management Co., Ltd.</w:t>
      </w:r>
    </w:p>
    <w:p w14:paraId="542C9019">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Address: 21/F, Building B, Heli Zijun, No. 30 Keji Road, Yanta District, Xi'an</w:t>
      </w:r>
    </w:p>
    <w:p w14:paraId="2A89F805">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Contact: 17778966062</w:t>
      </w:r>
    </w:p>
    <w:p w14:paraId="60CD569B">
      <w:pPr>
        <w:pStyle w:val="99"/>
        <w:spacing w:line="360" w:lineRule="auto"/>
        <w:outlineLvl w:val="5"/>
        <w:rPr>
          <w:rFonts w:hint="eastAsia" w:asciiTheme="minorEastAsia" w:hAnsiTheme="minorEastAsia" w:eastAsiaTheme="minorEastAsia" w:cstheme="minorEastAsia"/>
          <w:sz w:val="24"/>
          <w:szCs w:val="24"/>
          <w:highlight w:val="none"/>
        </w:rPr>
      </w:pPr>
      <w:bookmarkStart w:id="367" w:name="_GoBack"/>
      <w:bookmarkEnd w:id="367"/>
      <w:r>
        <w:rPr>
          <w:rFonts w:hint="eastAsia" w:asciiTheme="minorEastAsia" w:hAnsiTheme="minorEastAsia" w:eastAsiaTheme="minorEastAsia" w:cstheme="minorEastAsia"/>
          <w:b/>
          <w:sz w:val="21"/>
          <w:szCs w:val="24"/>
          <w:highlight w:val="none"/>
        </w:rPr>
        <w:t>3. Project Contact Information</w:t>
      </w:r>
    </w:p>
    <w:p w14:paraId="3F072658">
      <w:pPr>
        <w:pStyle w:val="99"/>
        <w:spacing w:line="36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1"/>
          <w:szCs w:val="24"/>
          <w:highlight w:val="none"/>
        </w:rPr>
        <w:t>Project Contacts: Wei Meng; Ma Weichen</w:t>
      </w:r>
    </w:p>
    <w:p w14:paraId="334146C3">
      <w:pPr>
        <w:pStyle w:val="9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Telephone: 17778966062</w:t>
      </w:r>
    </w:p>
    <w:p w14:paraId="6C0C560B">
      <w:pPr>
        <w:pStyle w:val="99"/>
        <w:spacing w:line="360" w:lineRule="auto"/>
        <w:jc w:val="righ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4"/>
          <w:highlight w:val="none"/>
        </w:rPr>
        <w:t>Shaanxi Zhuoming Project Management Co., Ltd.</w:t>
      </w:r>
    </w:p>
    <w:p w14:paraId="492E791F">
      <w:pPr>
        <w:keepNext w:val="0"/>
        <w:keepLines w:val="0"/>
        <w:pageBreakBefore w:val="0"/>
        <w:widowControl w:val="0"/>
        <w:kinsoku/>
        <w:wordWrap/>
        <w:overflowPunct/>
        <w:topLinePunct w:val="0"/>
        <w:autoSpaceDE/>
        <w:autoSpaceDN/>
        <w:bidi w:val="0"/>
        <w:adjustRightInd/>
        <w:snapToGrid/>
        <w:spacing w:line="360" w:lineRule="auto"/>
        <w:jc w:val="right"/>
        <w:textAlignment w:val="auto"/>
        <w:outlineLvl w:val="9"/>
        <w:rPr>
          <w:rFonts w:hint="eastAsia" w:ascii="宋体" w:hAnsi="宋体" w:eastAsia="宋体" w:cs="宋体"/>
          <w:b w:val="0"/>
          <w:bCs/>
          <w:color w:val="000000"/>
          <w:sz w:val="24"/>
          <w:szCs w:val="24"/>
          <w:highlight w:val="none"/>
          <w:lang w:eastAsia="zh-CN"/>
        </w:rPr>
      </w:pPr>
      <w:r>
        <w:rPr>
          <w:rFonts w:hint="eastAsia" w:asciiTheme="minorEastAsia" w:hAnsiTheme="minorEastAsia" w:eastAsiaTheme="minorEastAsia" w:cstheme="minorEastAsia"/>
          <w:sz w:val="21"/>
          <w:szCs w:val="24"/>
          <w:highlight w:val="none"/>
        </w:rPr>
        <w:t>July 2</w:t>
      </w:r>
      <w:r>
        <w:rPr>
          <w:rFonts w:hint="eastAsia" w:asciiTheme="minorEastAsia" w:hAnsiTheme="minorEastAsia" w:eastAsiaTheme="minorEastAsia" w:cstheme="minorEastAsia"/>
          <w:sz w:val="21"/>
          <w:szCs w:val="24"/>
          <w:highlight w:val="none"/>
          <w:lang w:val="en-US" w:eastAsia="zh-CN"/>
        </w:rPr>
        <w:t>2</w:t>
      </w:r>
      <w:r>
        <w:rPr>
          <w:rFonts w:hint="eastAsia" w:asciiTheme="minorEastAsia" w:hAnsiTheme="minorEastAsia" w:eastAsiaTheme="minorEastAsia" w:cstheme="minorEastAsia"/>
          <w:sz w:val="21"/>
          <w:szCs w:val="24"/>
          <w:highlight w:val="none"/>
        </w:rPr>
        <w:t>, 2026</w:t>
      </w:r>
    </w:p>
    <w:p w14:paraId="102539B5">
      <w:pPr>
        <w:rPr>
          <w:rFonts w:hint="eastAsia" w:ascii="宋体" w:hAnsi="宋体" w:cs="宋体"/>
          <w:color w:val="000000"/>
          <w:sz w:val="24"/>
          <w:szCs w:val="24"/>
          <w:highlight w:val="none"/>
        </w:rPr>
      </w:pPr>
      <w:r>
        <w:rPr>
          <w:rFonts w:hint="eastAsia" w:ascii="宋体" w:hAnsi="宋体" w:cs="宋体"/>
          <w:color w:val="000000"/>
          <w:sz w:val="24"/>
          <w:szCs w:val="24"/>
          <w:highlight w:val="none"/>
        </w:rPr>
        <w:br w:type="page"/>
      </w:r>
    </w:p>
    <w:p w14:paraId="59D5EFB4">
      <w:pPr>
        <w:pStyle w:val="2"/>
        <w:spacing w:before="312" w:beforeLines="100" w:after="156" w:afterLines="50" w:line="600" w:lineRule="exact"/>
        <w:rPr>
          <w:rFonts w:hint="eastAsia" w:ascii="宋体" w:hAnsi="宋体" w:eastAsia="宋体" w:cs="宋体"/>
          <w:sz w:val="36"/>
          <w:szCs w:val="36"/>
          <w:highlight w:val="none"/>
          <w:lang w:eastAsia="zh-CN"/>
        </w:rPr>
      </w:pPr>
      <w:bookmarkStart w:id="7" w:name="_Toc14540"/>
      <w:bookmarkStart w:id="8" w:name="_Toc11352"/>
      <w:r>
        <w:rPr>
          <w:rFonts w:hint="eastAsia" w:ascii="Times New Roman" w:hAnsi="宋体" w:eastAsia="微软雅黑" w:cs="宋体"/>
          <w:b/>
          <w:kern w:val="44"/>
          <w:sz w:val="36"/>
          <w:szCs w:val="36"/>
          <w:highlight w:val="none"/>
          <w:lang w:val="en-US" w:eastAsia="zh-CN" w:bidi="ar-SA"/>
        </w:rPr>
        <w:t>Part Two: Supplementary Table for Supplier Guidelines</w:t>
      </w:r>
      <w:bookmarkEnd w:id="7"/>
      <w:bookmarkEnd w:id="8"/>
    </w:p>
    <w:tbl>
      <w:tblPr>
        <w:tblStyle w:val="30"/>
        <w:tblpPr w:leftFromText="180" w:rightFromText="180" w:vertAnchor="text" w:horzAnchor="page" w:tblpX="1509" w:tblpY="309"/>
        <w:tblOverlap w:val="never"/>
        <w:tblW w:w="921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35"/>
        <w:gridCol w:w="1364"/>
        <w:gridCol w:w="7219"/>
      </w:tblGrid>
      <w:tr w14:paraId="68FEFB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635" w:type="dxa"/>
            <w:vAlign w:val="center"/>
          </w:tcPr>
          <w:p w14:paraId="03D70E50">
            <w:pPr>
              <w:spacing w:before="156" w:beforeLines="50" w:line="360" w:lineRule="auto"/>
              <w:jc w:val="center"/>
              <w:rPr>
                <w:rFonts w:hint="eastAsia" w:ascii="宋体" w:hAnsi="宋体" w:eastAsia="宋体" w:cs="宋体"/>
                <w:b/>
                <w:sz w:val="24"/>
                <w:szCs w:val="24"/>
                <w:highlight w:val="none"/>
                <w:lang w:eastAsia="zh-CN"/>
              </w:rPr>
            </w:pPr>
            <w:r>
              <w:rPr>
                <w:rFonts w:hint="eastAsia" w:ascii="Times New Roman" w:hAnsi="宋体" w:eastAsia="微软雅黑" w:cs="宋体"/>
                <w:b/>
                <w:kern w:val="2"/>
                <w:sz w:val="24"/>
                <w:szCs w:val="24"/>
                <w:highlight w:val="none"/>
                <w:lang w:val="en-US" w:eastAsia="zh-CN" w:bidi="ar-SA"/>
              </w:rPr>
              <w:t>order number</w:t>
            </w:r>
          </w:p>
        </w:tc>
        <w:tc>
          <w:tcPr>
            <w:tcW w:w="1364" w:type="dxa"/>
            <w:vAlign w:val="center"/>
          </w:tcPr>
          <w:p w14:paraId="48D3FD91">
            <w:pPr>
              <w:spacing w:before="156" w:beforeLines="50" w:line="360" w:lineRule="auto"/>
              <w:jc w:val="center"/>
              <w:rPr>
                <w:rFonts w:hint="eastAsia" w:ascii="宋体" w:hAnsi="宋体" w:eastAsia="宋体" w:cs="宋体"/>
                <w:b/>
                <w:sz w:val="24"/>
                <w:szCs w:val="24"/>
                <w:highlight w:val="none"/>
                <w:lang w:eastAsia="zh-CN"/>
              </w:rPr>
            </w:pPr>
            <w:r>
              <w:rPr>
                <w:rFonts w:hint="eastAsia" w:ascii="Times New Roman" w:hAnsi="宋体" w:eastAsia="微软雅黑" w:cs="宋体"/>
                <w:b/>
                <w:kern w:val="2"/>
                <w:sz w:val="24"/>
                <w:szCs w:val="24"/>
                <w:highlight w:val="none"/>
                <w:lang w:val="en-US" w:eastAsia="zh-CN" w:bidi="ar-SA"/>
              </w:rPr>
              <w:t>content</w:t>
            </w:r>
          </w:p>
        </w:tc>
        <w:tc>
          <w:tcPr>
            <w:tcW w:w="7219" w:type="dxa"/>
            <w:vAlign w:val="center"/>
          </w:tcPr>
          <w:p w14:paraId="151429B0">
            <w:pPr>
              <w:spacing w:before="156" w:beforeLines="50" w:line="360" w:lineRule="auto"/>
              <w:jc w:val="center"/>
              <w:rPr>
                <w:rFonts w:hint="eastAsia" w:ascii="宋体" w:hAnsi="宋体" w:eastAsia="宋体" w:cs="宋体"/>
                <w:b/>
                <w:sz w:val="24"/>
                <w:szCs w:val="24"/>
                <w:highlight w:val="none"/>
                <w:lang w:eastAsia="zh-CN"/>
              </w:rPr>
            </w:pPr>
            <w:r>
              <w:rPr>
                <w:rFonts w:hint="eastAsia" w:ascii="Times New Roman" w:hAnsi="宋体" w:eastAsia="微软雅黑" w:cs="宋体"/>
                <w:b/>
                <w:kern w:val="2"/>
                <w:sz w:val="24"/>
                <w:szCs w:val="24"/>
                <w:highlight w:val="none"/>
                <w:lang w:val="en-US" w:eastAsia="zh-CN" w:bidi="ar-SA"/>
              </w:rPr>
              <w:t>Description and Requirements</w:t>
            </w:r>
          </w:p>
        </w:tc>
      </w:tr>
      <w:tr w14:paraId="362E85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635" w:type="dxa"/>
            <w:vAlign w:val="center"/>
          </w:tcPr>
          <w:p w14:paraId="7B4ED9F0">
            <w:pPr>
              <w:spacing w:before="156" w:beforeLines="50" w:line="360" w:lineRule="auto"/>
              <w:jc w:val="center"/>
              <w:rPr>
                <w:rFonts w:hint="eastAsia" w:ascii="宋体" w:hAnsi="宋体" w:eastAsia="宋体" w:cs="宋体"/>
                <w:b/>
                <w:sz w:val="24"/>
                <w:szCs w:val="24"/>
                <w:highlight w:val="none"/>
                <w:lang w:eastAsia="zh-CN"/>
              </w:rPr>
            </w:pPr>
            <w:r>
              <w:rPr>
                <w:rFonts w:hint="eastAsia" w:ascii="Times New Roman" w:hAnsi="宋体" w:eastAsia="微软雅黑" w:cs="宋体"/>
                <w:b/>
                <w:kern w:val="2"/>
                <w:sz w:val="24"/>
                <w:szCs w:val="24"/>
                <w:highlight w:val="none"/>
                <w:lang w:val="en-US" w:eastAsia="zh-CN" w:bidi="ar-SA"/>
              </w:rPr>
              <w:t>1</w:t>
            </w:r>
          </w:p>
        </w:tc>
        <w:tc>
          <w:tcPr>
            <w:tcW w:w="1364" w:type="dxa"/>
            <w:vAlign w:val="center"/>
          </w:tcPr>
          <w:p w14:paraId="0A98B726">
            <w:pPr>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Qualification Requirements</w:t>
            </w:r>
          </w:p>
        </w:tc>
        <w:tc>
          <w:tcPr>
            <w:tcW w:w="7219" w:type="dxa"/>
          </w:tcPr>
          <w:p w14:paraId="23BB227D">
            <w:pPr>
              <w:spacing w:line="360" w:lineRule="auto"/>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(1) Basic Qualification Requirements: Meet the provisions of Article 22 of the Government Procurement Law of the People's Republic of China.</w:t>
            </w:r>
          </w:p>
          <w:p w14:paraId="5F8275B4">
            <w:pPr>
              <w:spacing w:line="360" w:lineRule="auto"/>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(II) Specific Qualification Requirements:</w:t>
            </w:r>
          </w:p>
          <w:p w14:paraId="7C28BA27">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(1) Legal persons, other organizations, or natural persons with independent capacity to bear civil liability shall provide a valid business license bearing a unified social credit code (public institutions shall submit their legal entity certificates; natural persons shall provide their identification documents).</w:t>
            </w:r>
          </w:p>
          <w:p w14:paraId="69DB7577">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(2) Financial verification: Suppliers shall submit a complete audited financial report for fiscal year 2025 (the report must contain a verification code issued by the Unified Supervision Platform for Certified Public Accountants at https://acc.mof.gov.cn). For suppliers established within one year prior to the deadline for submitting response documents, a balance sheet from any period after establishment or a bank-issued credit certificate issued within three months preceding the bid opening may be provided.</w:t>
            </w:r>
          </w:p>
          <w:p w14:paraId="4CD4B5FB">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(3) A written declaration stating that the entity possesses the necessary equipment and professional technical capabilities required to fulfill the contract;</w:t>
            </w:r>
          </w:p>
          <w:p w14:paraId="1796F4BA">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(4) Tax payment certificate: Provide valid tax payment receipts issued during any period starting from January 2026 (inclusive), dated according to the applicable tax period, and bearing the official seal or business-specific stamp of the tax authority or collecting agency. Suppliers exempt from taxation or not required to pay taxes shall submit corresponding supporting documents.</w:t>
            </w:r>
          </w:p>
          <w:p w14:paraId="674A8778">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(5) Proof of social security contribution payments: Provide social security contribution receipts for any period starting from January 2026 (inclusive), or a certificate issued by the social security authority confirming insurance participation and payment records. Suppliers legally exempt from social security contributions shall submit relevant supporting documents.</w:t>
            </w:r>
          </w:p>
          <w:p w14:paraId="166917D5">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(6) A written statement confirming no major violations in business activities within the three years preceding participation in the procurement process;</w:t>
            </w:r>
          </w:p>
          <w:p w14:paraId="7EA8806F">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(7) Not listed as a dishonest judgment debtor or a major tax violation subject on the "Credit China" website, nor included in the record list of serious illegal and dishonest behaviors in government procurement on the "China Government Procurement Network" website;</w:t>
            </w:r>
          </w:p>
          <w:p w14:paraId="6DFDEF3C">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(8) If a non-lawful representative participates in the bidding, they must provide a letter of authorization from the lawful representative; if the lawful representative participates, only their ID card is required.</w:t>
            </w:r>
          </w:p>
          <w:p w14:paraId="0DB194A5">
            <w:pPr>
              <w:pStyle w:val="21"/>
              <w:spacing w:line="360" w:lineRule="auto"/>
              <w:ind w:firstLine="480" w:firstLineChars="200"/>
              <w:rPr>
                <w:rFonts w:hint="eastAsia" w:ascii="宋体" w:hAnsi="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(9) If the supplier is an agent, it shall provide a Medical Device Business License (or Medical Device Business Registration Certificate) and the manufacturer's Medical Device Production License (or Medical Device Production Registration Certificate); if the supplier is a manufacturer, it shall provide the Medical Device Production License (or Medical Device Production Registration Certificate). For bidding products subject to medical device regulation, a Medical Device Registration Certificate or Medical Device Registration Certificate must be submitted.</w:t>
            </w:r>
          </w:p>
          <w:p w14:paraId="2DFE92A7">
            <w:pPr>
              <w:spacing w:line="360" w:lineRule="auto"/>
              <w:ind w:firstLine="480" w:firstLineChars="200"/>
              <w:rPr>
                <w:rFonts w:hint="eastAsia" w:ascii="宋体" w:hAnsi="宋体" w:eastAsia="宋体" w:cs="宋体"/>
                <w:kern w:val="2"/>
                <w:sz w:val="24"/>
                <w:szCs w:val="24"/>
                <w:highlight w:val="none"/>
                <w:lang w:val="en-US" w:eastAsia="zh-CN" w:bidi="ar-SA"/>
              </w:rPr>
            </w:pPr>
            <w:r>
              <w:rPr>
                <w:rFonts w:hint="eastAsia" w:ascii="Times New Roman" w:hAnsi="宋体" w:eastAsia="微软雅黑" w:cs="宋体"/>
                <w:kern w:val="2"/>
                <w:sz w:val="24"/>
                <w:szCs w:val="24"/>
                <w:highlight w:val="none"/>
                <w:lang w:val="en-US" w:eastAsia="zh-CN" w:bidi="ar-SA"/>
              </w:rPr>
              <w:t>(10) If the supplier is a product manufacturer, it shall provide a Radiation Safety License issued by the national administrative authority and valid; if the supplier is a product distributor, it shall provide a Radiation Safety License issued by the national administrative authority and valid, as well as a Radiation Safety License issued by the national administrative authority for the product manufacturer and valid; if the bid product has obtained a radiation exemption filing certificate, the supplier may submit such documentation instead of providing the Radiation Safety License.</w:t>
            </w:r>
          </w:p>
          <w:p w14:paraId="56319222">
            <w:pPr>
              <w:spacing w:line="360" w:lineRule="auto"/>
              <w:ind w:firstLine="480" w:firstLineChars="200"/>
              <w:rPr>
                <w:rFonts w:hint="eastAsia" w:ascii="宋体" w:hAnsi="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(11) This project does not accept bids from consortia.</w:t>
            </w:r>
          </w:p>
          <w:p w14:paraId="6F6618D0">
            <w:pPr>
              <w:spacing w:line="360" w:lineRule="auto"/>
              <w:ind w:firstLine="420" w:firstLineChars="175"/>
              <w:jc w:val="left"/>
              <w:rPr>
                <w:rFonts w:hint="eastAsia" w:ascii="宋体" w:hAnsi="宋体" w:eastAsia="宋体" w:cs="宋体"/>
                <w:sz w:val="24"/>
                <w:szCs w:val="24"/>
                <w:highlight w:val="none"/>
                <w:lang w:eastAsia="zh-CN"/>
              </w:rPr>
            </w:pPr>
            <w:r>
              <w:rPr>
                <w:rFonts w:hint="eastAsia" w:ascii="Times New Roman" w:hAnsi="宋体" w:eastAsia="微软雅黑" w:cs="宋体"/>
                <w:b/>
                <w:bCs/>
                <w:kern w:val="2"/>
                <w:sz w:val="24"/>
                <w:szCs w:val="24"/>
                <w:highlight w:val="none"/>
                <w:lang w:val="en-US" w:eastAsia="zh-CN" w:bidi="ar-SA"/>
              </w:rPr>
              <w:t>The above items are mandatory qualifications for eligibility review. The original and all copies of the tender documents must be accompanied by the aforementioned qualification certificates. Failure to submit any one of these documents or failure to meet the requirements for public bidding will result in the tender documents being deemed invalid.</w:t>
            </w:r>
          </w:p>
        </w:tc>
      </w:tr>
      <w:tr w14:paraId="497CF0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635" w:type="dxa"/>
            <w:vAlign w:val="center"/>
          </w:tcPr>
          <w:p w14:paraId="688CAC6D">
            <w:pPr>
              <w:spacing w:before="156" w:beforeLines="50" w:line="360" w:lineRule="auto"/>
              <w:jc w:val="center"/>
              <w:rPr>
                <w:rFonts w:hint="eastAsia" w:ascii="宋体" w:hAnsi="宋体" w:eastAsia="宋体" w:cs="宋体"/>
                <w:b/>
                <w:sz w:val="24"/>
                <w:szCs w:val="24"/>
                <w:highlight w:val="none"/>
                <w:lang w:eastAsia="zh-CN"/>
              </w:rPr>
            </w:pPr>
            <w:r>
              <w:rPr>
                <w:rFonts w:hint="eastAsia" w:ascii="Times New Roman" w:hAnsi="宋体" w:eastAsia="微软雅黑" w:cs="宋体"/>
                <w:b/>
                <w:kern w:val="2"/>
                <w:sz w:val="24"/>
                <w:szCs w:val="24"/>
                <w:highlight w:val="none"/>
                <w:lang w:val="en-US" w:eastAsia="zh-CN" w:bidi="ar-SA"/>
              </w:rPr>
              <w:t>2</w:t>
            </w:r>
          </w:p>
        </w:tc>
        <w:tc>
          <w:tcPr>
            <w:tcW w:w="1364" w:type="dxa"/>
            <w:vAlign w:val="center"/>
          </w:tcPr>
          <w:p w14:paraId="2B25DB73">
            <w:pPr>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Compliance Review</w:t>
            </w:r>
          </w:p>
        </w:tc>
        <w:tc>
          <w:tcPr>
            <w:tcW w:w="7219" w:type="dxa"/>
          </w:tcPr>
          <w:p w14:paraId="75F97DF8">
            <w:pPr>
              <w:pStyle w:val="14"/>
              <w:snapToGrid w:val="0"/>
              <w:spacing w:line="360" w:lineRule="auto"/>
              <w:rPr>
                <w:rFonts w:hint="eastAsia" w:hAnsi="宋体" w:eastAsia="宋体" w:cs="宋体"/>
                <w:kern w:val="0"/>
                <w:sz w:val="24"/>
                <w:szCs w:val="24"/>
                <w:highlight w:val="none"/>
                <w:lang w:eastAsia="zh-CN"/>
              </w:rPr>
            </w:pPr>
            <w:r>
              <w:rPr>
                <w:rFonts w:hint="eastAsia" w:ascii="Times New Roman" w:hAnsi="宋体" w:eastAsia="微软雅黑" w:cs="宋体"/>
                <w:kern w:val="0"/>
                <w:sz w:val="24"/>
                <w:szCs w:val="24"/>
                <w:highlight w:val="none"/>
                <w:lang w:val="en-US" w:eastAsia="zh-CN" w:bidi="ar-SA"/>
              </w:rPr>
              <w:t>In any of the following circumstances, such bid shall be treated as invalid during compliance review.</w:t>
            </w:r>
          </w:p>
          <w:p w14:paraId="33193A5B">
            <w:pPr>
              <w:spacing w:line="360" w:lineRule="auto"/>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(1) The bid price exceeds the procurement budget or the maximum price limit;</w:t>
            </w:r>
          </w:p>
          <w:p w14:paraId="347C09E1">
            <w:pPr>
              <w:spacing w:line="360" w:lineRule="auto"/>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(2) The commercial terms do not meet the requirements of the tender documents;</w:t>
            </w:r>
          </w:p>
          <w:p w14:paraId="7470ED4B">
            <w:pPr>
              <w:spacing w:line="360" w:lineRule="auto"/>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(3) The signing and sealing of the tender documents do not comply with the requirements specified in the tender documents;</w:t>
            </w:r>
          </w:p>
          <w:p w14:paraId="759DDF38">
            <w:pPr>
              <w:spacing w:line="360" w:lineRule="auto"/>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(4) The tender documents lack a specified validity period or the validity period does not meet the requirements of the tender documents;</w:t>
            </w:r>
          </w:p>
          <w:p w14:paraId="5B442D3C">
            <w:pPr>
              <w:spacing w:line="360" w:lineRule="auto"/>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(5) The supplier submits two or more bid documents with differing contents for the same project without providing a written declaration specifying which document is valid, or engages in selective bidding;</w:t>
            </w:r>
          </w:p>
          <w:p w14:paraId="7D722518">
            <w:pPr>
              <w:spacing w:line="360" w:lineRule="auto"/>
              <w:rPr>
                <w:rFonts w:hint="eastAsia" w:ascii="宋体" w:hAnsi="宋体" w:cs="宋体"/>
                <w:b w:val="0"/>
                <w:bCs w:val="0"/>
                <w:color w:val="auto"/>
                <w:sz w:val="24"/>
                <w:szCs w:val="24"/>
                <w:highlight w:val="none"/>
                <w:lang w:val="en-US" w:eastAsia="zh-CN"/>
              </w:rPr>
            </w:pPr>
            <w:r>
              <w:rPr>
                <w:rFonts w:hint="eastAsia" w:ascii="Times New Roman" w:hAnsi="宋体" w:eastAsia="微软雅黑" w:cs="宋体"/>
                <w:b w:val="0"/>
                <w:bCs w:val="0"/>
                <w:color w:val="auto"/>
                <w:kern w:val="2"/>
                <w:sz w:val="24"/>
                <w:szCs w:val="24"/>
                <w:highlight w:val="none"/>
                <w:lang w:val="en-US" w:eastAsia="zh-CN" w:bidi="ar-SA"/>
              </w:rPr>
              <w:t>(6) The quantity of the procurement items does not meet the requirements specified in the tender documents;</w:t>
            </w:r>
          </w:p>
          <w:p w14:paraId="36218FEC">
            <w:pPr>
              <w:spacing w:line="360" w:lineRule="auto"/>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(7) The tender documents contain additional conditions unacceptable to the procuring entity;</w:t>
            </w:r>
          </w:p>
          <w:p w14:paraId="21FEB94B">
            <w:pPr>
              <w:spacing w:line="360" w:lineRule="auto"/>
              <w:rPr>
                <w:rFonts w:hint="eastAsia" w:ascii="宋体" w:hAnsi="宋体" w:eastAsia="宋体" w:cs="宋体"/>
                <w:b/>
                <w:bCs/>
                <w:sz w:val="24"/>
                <w:szCs w:val="24"/>
                <w:highlight w:val="none"/>
                <w:lang w:eastAsia="zh-CN"/>
              </w:rPr>
            </w:pPr>
            <w:r>
              <w:rPr>
                <w:rFonts w:hint="eastAsia" w:ascii="Times New Roman" w:hAnsi="宋体" w:eastAsia="微软雅黑" w:cs="宋体"/>
                <w:kern w:val="2"/>
                <w:sz w:val="24"/>
                <w:szCs w:val="24"/>
                <w:highlight w:val="none"/>
                <w:lang w:val="en-US" w:eastAsia="zh-CN" w:bidi="ar-SA"/>
              </w:rPr>
              <w:t>(8) Other invalid circumstances stipulated by laws, regulations, and the tender documents.</w:t>
            </w:r>
          </w:p>
        </w:tc>
      </w:tr>
      <w:tr w14:paraId="06455F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635" w:type="dxa"/>
            <w:vAlign w:val="center"/>
          </w:tcPr>
          <w:p w14:paraId="4651C063">
            <w:pPr>
              <w:spacing w:before="156" w:beforeLines="50" w:line="360" w:lineRule="auto"/>
              <w:jc w:val="center"/>
              <w:rPr>
                <w:rFonts w:hint="eastAsia" w:ascii="宋体" w:hAnsi="宋体" w:eastAsia="宋体" w:cs="宋体"/>
                <w:b/>
                <w:sz w:val="24"/>
                <w:szCs w:val="24"/>
                <w:highlight w:val="none"/>
                <w:lang w:eastAsia="zh-CN"/>
              </w:rPr>
            </w:pPr>
            <w:r>
              <w:rPr>
                <w:rFonts w:hint="eastAsia" w:ascii="Times New Roman" w:hAnsi="宋体" w:eastAsia="微软雅黑" w:cs="宋体"/>
                <w:b/>
                <w:kern w:val="2"/>
                <w:sz w:val="24"/>
                <w:szCs w:val="24"/>
                <w:highlight w:val="none"/>
                <w:lang w:val="en-US" w:eastAsia="zh-CN" w:bidi="ar-SA"/>
              </w:rPr>
              <w:t>3</w:t>
            </w:r>
          </w:p>
        </w:tc>
        <w:tc>
          <w:tcPr>
            <w:tcW w:w="1364" w:type="dxa"/>
            <w:vAlign w:val="center"/>
          </w:tcPr>
          <w:p w14:paraId="5BCCAB26">
            <w:pPr>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Business Terms</w:t>
            </w:r>
          </w:p>
        </w:tc>
        <w:tc>
          <w:tcPr>
            <w:tcW w:w="7219" w:type="dxa"/>
          </w:tcPr>
          <w:p w14:paraId="690573F7">
            <w:pPr>
              <w:spacing w:line="360" w:lineRule="auto"/>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1. Delivery deadline: Delivery shall be completed within 30 days after the contract takes effect.</w:t>
            </w:r>
          </w:p>
          <w:p w14:paraId="3CE125B9">
            <w:pPr>
              <w:spacing w:line="360" w:lineRule="auto"/>
              <w:rPr>
                <w:rFonts w:hint="eastAsia" w:ascii="宋体" w:hAnsi="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2. Delivery Location: No.8 Houji Road, Yangling Demonstration Zone (Yangling Demonstration Zone Hospital)</w:t>
            </w:r>
          </w:p>
          <w:p w14:paraId="742393C6">
            <w:pPr>
              <w:spacing w:line="360" w:lineRule="auto"/>
              <w:rPr>
                <w:rFonts w:hint="default" w:ascii="宋体" w:hAnsi="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3. Delivery methods: delivery, installation, construction, and on-site service.</w:t>
            </w:r>
          </w:p>
          <w:p w14:paraId="1555D183">
            <w:pPr>
              <w:spacing w:line="360" w:lineRule="auto"/>
              <w:rPr>
                <w:rFonts w:hint="eastAsia" w:ascii="宋体" w:hAnsi="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3. Warranty Period: The manufacturer provides a free warranty of ≥3 years (covering the entire unit, including wear parts and third-party products), calculated from the date all goods pass inspection. During the warranty period, service response time is 2 hours, with issues resolved within 8 hours upon arrival.</w:t>
            </w:r>
          </w:p>
          <w:p w14:paraId="1B411301">
            <w:pPr>
              <w:spacing w:line="360" w:lineRule="auto"/>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4. Payment Method:</w:t>
            </w:r>
          </w:p>
          <w:p w14:paraId="5C3A7A78">
            <w:pPr>
              <w:spacing w:line="360" w:lineRule="auto"/>
              <w:rPr>
                <w:rFonts w:hint="eastAsia" w:ascii="宋体" w:hAnsi="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4.1 Upon signing the contract, Party B shall deliver the equipment on time in accordance with the delivery schedule specified in its tender documents and provide a full, valid, and tax-paid invoice. Once the equipment arrives at the location designated by Party A, installation and commissioning are completed, and acceptance is passed, Party A shall make payment as stipulated in the contract terms.</w:t>
            </w:r>
          </w:p>
          <w:p w14:paraId="2178FA43">
            <w:pPr>
              <w:spacing w:line="360" w:lineRule="auto"/>
              <w:rPr>
                <w:rFonts w:hint="eastAsia" w:ascii="宋体" w:hAnsi="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4.2 Settlement Method: Party B shall settle with Party A by presenting the goods acceptance certificate, a fully compliant invoice (issued to Party A for the full price of the contracted goods), a transaction confirmation notice, or other relevant documents.</w:t>
            </w:r>
          </w:p>
          <w:p w14:paraId="5AFAAFBA">
            <w:pPr>
              <w:spacing w:line="360" w:lineRule="auto"/>
              <w:rPr>
                <w:rFonts w:hint="eastAsia" w:ascii="宋体" w:hAnsi="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4.3</w:t>
            </w:r>
          </w:p>
          <w:p w14:paraId="2895AD49">
            <w:pPr>
              <w:spacing w:line="360" w:lineRule="auto"/>
              <w:rPr>
                <w:rFonts w:hint="eastAsia" w:ascii="宋体" w:hAnsi="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(1) Upon effective execution of the contract, delivery of all goods to the location specified by Party A, and successful inspection upon unboxing, Party A shall pay 30% of the total contract price.</w:t>
            </w:r>
          </w:p>
          <w:p w14:paraId="54E784A6">
            <w:pPr>
              <w:spacing w:line="360" w:lineRule="auto"/>
              <w:rPr>
                <w:rFonts w:hint="eastAsia" w:eastAsia="宋体"/>
                <w:highlight w:val="none"/>
                <w:lang w:eastAsia="zh-CN"/>
              </w:rPr>
            </w:pPr>
            <w:r>
              <w:rPr>
                <w:rFonts w:hint="eastAsia" w:ascii="Times New Roman" w:hAnsi="宋体" w:eastAsia="微软雅黑" w:cs="宋体"/>
                <w:kern w:val="2"/>
                <w:sz w:val="24"/>
                <w:szCs w:val="24"/>
                <w:highlight w:val="none"/>
                <w:lang w:val="en-US" w:eastAsia="zh-CN" w:bidi="ar-SA"/>
              </w:rPr>
              <w:t>(2) Upon completion of equipment installation, commissioning, and training of Party A's operators; upon successful final acceptance by Party A confirming compliance with trial operation standards; and upon signing the performance acceptance report after meeting all final acceptance criteria, Party A shall pay 50% of the total contract amount.</w:t>
            </w:r>
          </w:p>
          <w:p w14:paraId="52B1853E">
            <w:pPr>
              <w:spacing w:line="360" w:lineRule="auto"/>
              <w:rPr>
                <w:rFonts w:hint="eastAsia" w:ascii="宋体" w:hAnsi="宋体"/>
                <w:color w:val="000000"/>
                <w:kern w:val="0"/>
                <w:sz w:val="24"/>
                <w:highlight w:val="none"/>
                <w:lang w:val="en-US" w:eastAsia="zh-CN"/>
              </w:rPr>
            </w:pPr>
            <w:r>
              <w:rPr>
                <w:rFonts w:hint="eastAsia" w:ascii="Times New Roman" w:hAnsi="宋体" w:eastAsia="微软雅黑" w:cs="宋体"/>
                <w:kern w:val="2"/>
                <w:sz w:val="24"/>
                <w:szCs w:val="24"/>
                <w:highlight w:val="none"/>
                <w:lang w:val="en-US" w:eastAsia="zh-CN" w:bidi="ar-SA"/>
              </w:rPr>
              <w:t>(3) After the equipment has been operating normally for eight months without any quality issues, Party A shall pay 20% of the total contract amount.</w:t>
            </w:r>
          </w:p>
          <w:p w14:paraId="60DE8680">
            <w:pPr>
              <w:spacing w:line="360" w:lineRule="auto"/>
              <w:rPr>
                <w:rFonts w:hint="eastAsia" w:ascii="宋体" w:hAnsi="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5. Party B shall ensure that the supplied medical equipment is brand-new, unused, manufactured after October 2025, and complies with relevant national standards, industry standards, manufacturer specifications, and contractual technical requirements.</w:t>
            </w:r>
          </w:p>
          <w:p w14:paraId="160ED574">
            <w:pPr>
              <w:spacing w:line="360" w:lineRule="auto"/>
              <w:rPr>
                <w:rFonts w:hint="eastAsia" w:ascii="宋体" w:hAnsi="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6. Conduct acceptance in compliance with Party A's Acceptance Plan and performance acceptance standards.</w:t>
            </w:r>
          </w:p>
          <w:p w14:paraId="2206076E">
            <w:pPr>
              <w:spacing w:line="360" w:lineRule="auto"/>
              <w:rPr>
                <w:rFonts w:hint="eastAsia" w:ascii="宋体" w:hAnsi="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7. The medical equipment complies with the relevant fee standards set by the national medical insurance authorities, and its registration certificate reflects the corresponding medical insurance charges.</w:t>
            </w:r>
          </w:p>
          <w:p w14:paraId="355BE7B4">
            <w:pPr>
              <w:spacing w:line="360" w:lineRule="auto"/>
              <w:rPr>
                <w:rFonts w:hint="eastAsia" w:eastAsia="宋体"/>
                <w:highlight w:val="none"/>
                <w:lang w:eastAsia="zh-CN"/>
              </w:rPr>
            </w:pPr>
            <w:r>
              <w:rPr>
                <w:rFonts w:hint="eastAsia" w:ascii="Times New Roman" w:hAnsi="宋体" w:eastAsia="微软雅黑" w:cs="宋体"/>
                <w:b/>
                <w:bCs/>
                <w:kern w:val="2"/>
                <w:sz w:val="24"/>
                <w:szCs w:val="24"/>
                <w:highlight w:val="none"/>
                <w:lang w:val="en-US" w:eastAsia="zh-CN" w:bidi="ar-SA"/>
              </w:rPr>
              <w:t>Note: Business terms are substantive and do not allow deviations.</w:t>
            </w:r>
          </w:p>
        </w:tc>
      </w:tr>
      <w:tr w14:paraId="151506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39" w:hRule="atLeast"/>
        </w:trPr>
        <w:tc>
          <w:tcPr>
            <w:tcW w:w="635" w:type="dxa"/>
            <w:vAlign w:val="center"/>
          </w:tcPr>
          <w:p w14:paraId="1F6E8A2C">
            <w:pPr>
              <w:spacing w:before="156" w:beforeLines="50" w:line="360" w:lineRule="auto"/>
              <w:jc w:val="center"/>
              <w:rPr>
                <w:rFonts w:hint="eastAsia" w:ascii="宋体" w:hAnsi="宋体" w:eastAsia="宋体" w:cs="宋体"/>
                <w:b/>
                <w:sz w:val="24"/>
                <w:szCs w:val="24"/>
                <w:highlight w:val="none"/>
                <w:lang w:eastAsia="zh-CN"/>
              </w:rPr>
            </w:pPr>
            <w:r>
              <w:rPr>
                <w:rFonts w:hint="eastAsia" w:ascii="Times New Roman" w:hAnsi="宋体" w:eastAsia="微软雅黑" w:cs="宋体"/>
                <w:b w:val="0"/>
                <w:bCs/>
                <w:kern w:val="2"/>
                <w:sz w:val="24"/>
                <w:szCs w:val="24"/>
                <w:highlight w:val="none"/>
                <w:lang w:val="en-US" w:eastAsia="zh-CN" w:bidi="ar-SA"/>
              </w:rPr>
              <w:t>4</w:t>
            </w:r>
          </w:p>
        </w:tc>
        <w:tc>
          <w:tcPr>
            <w:tcW w:w="1364" w:type="dxa"/>
            <w:vAlign w:val="center"/>
          </w:tcPr>
          <w:p w14:paraId="08B36517">
            <w:pPr>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bid bonds</w:t>
            </w:r>
          </w:p>
          <w:p w14:paraId="632FC4F1">
            <w:pPr>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pay</w:t>
            </w:r>
          </w:p>
        </w:tc>
        <w:tc>
          <w:tcPr>
            <w:tcW w:w="7219" w:type="dxa"/>
            <w:vAlign w:val="center"/>
          </w:tcPr>
          <w:p w14:paraId="1D4423F3">
            <w:pPr>
              <w:pStyle w:val="11"/>
              <w:jc w:val="left"/>
              <w:rPr>
                <w:rFonts w:hint="default" w:ascii="宋体" w:hAnsi="宋体" w:eastAsia="宋体" w:cs="宋体"/>
                <w:color w:val="auto"/>
                <w:kern w:val="2"/>
                <w:highlight w:val="none"/>
                <w:lang w:val="en-US" w:eastAsia="zh-CN"/>
              </w:rPr>
            </w:pPr>
            <w:r>
              <w:rPr>
                <w:rFonts w:hint="eastAsia" w:ascii="Times New Roman" w:hAnsi="宋体" w:eastAsia="微软雅黑" w:cs="宋体"/>
                <w:color w:val="auto"/>
                <w:kern w:val="2"/>
                <w:sz w:val="24"/>
                <w:szCs w:val="24"/>
                <w:highlight w:val="none"/>
                <w:lang w:val="en-US" w:eastAsia="zh-CN" w:bidi="ar-SA"/>
              </w:rPr>
              <w:t>Do not pay</w:t>
            </w:r>
          </w:p>
        </w:tc>
      </w:tr>
      <w:tr w14:paraId="1AF07E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2" w:hRule="atLeast"/>
        </w:trPr>
        <w:tc>
          <w:tcPr>
            <w:tcW w:w="635" w:type="dxa"/>
            <w:vAlign w:val="center"/>
          </w:tcPr>
          <w:p w14:paraId="48BB7893">
            <w:pPr>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5</w:t>
            </w:r>
          </w:p>
        </w:tc>
        <w:tc>
          <w:tcPr>
            <w:tcW w:w="1364" w:type="dxa"/>
            <w:vAlign w:val="center"/>
          </w:tcPr>
          <w:p w14:paraId="32B93D19">
            <w:pPr>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alternative</w:t>
            </w:r>
          </w:p>
        </w:tc>
        <w:tc>
          <w:tcPr>
            <w:tcW w:w="7219" w:type="dxa"/>
            <w:vAlign w:val="center"/>
          </w:tcPr>
          <w:p w14:paraId="7B01C411">
            <w:pPr>
              <w:spacing w:line="500" w:lineRule="exact"/>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not allow</w:t>
            </w:r>
          </w:p>
        </w:tc>
      </w:tr>
      <w:tr w14:paraId="6A658E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69" w:hRule="atLeast"/>
        </w:trPr>
        <w:tc>
          <w:tcPr>
            <w:tcW w:w="635" w:type="dxa"/>
            <w:vAlign w:val="center"/>
          </w:tcPr>
          <w:p w14:paraId="2B93B031">
            <w:pPr>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6</w:t>
            </w:r>
          </w:p>
        </w:tc>
        <w:tc>
          <w:tcPr>
            <w:tcW w:w="1364" w:type="dxa"/>
            <w:vAlign w:val="center"/>
          </w:tcPr>
          <w:p w14:paraId="5CFF3FC1">
            <w:pPr>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tender</w:t>
            </w:r>
          </w:p>
          <w:p w14:paraId="71FD55AE">
            <w:pPr>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term of validity</w:t>
            </w:r>
          </w:p>
        </w:tc>
        <w:tc>
          <w:tcPr>
            <w:tcW w:w="7219" w:type="dxa"/>
            <w:vAlign w:val="center"/>
          </w:tcPr>
          <w:p w14:paraId="11EF8A51">
            <w:pPr>
              <w:spacing w:line="360" w:lineRule="auto"/>
              <w:rPr>
                <w:rFonts w:hint="eastAsia" w:ascii="宋体" w:hAnsi="宋体" w:eastAsia="宋体" w:cs="宋体"/>
                <w:sz w:val="24"/>
                <w:szCs w:val="24"/>
                <w:highlight w:val="none"/>
                <w:lang w:eastAsia="zh-CN"/>
              </w:rPr>
            </w:pPr>
            <w:r>
              <w:rPr>
                <w:rFonts w:hint="eastAsia" w:ascii="Times New Roman" w:hAnsi="宋体" w:eastAsia="微软雅黑" w:cs="宋体"/>
                <w:b/>
                <w:bCs/>
                <w:kern w:val="2"/>
                <w:sz w:val="24"/>
                <w:szCs w:val="24"/>
                <w:highlight w:val="none"/>
                <w:lang w:val="en-US" w:eastAsia="zh-CN" w:bidi="ar-SA"/>
              </w:rPr>
              <w:t>The bid documents shall remain valid for at least 90 calendar days from the date of bid opening.</w:t>
            </w:r>
          </w:p>
        </w:tc>
      </w:tr>
      <w:tr w14:paraId="31557A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trPr>
        <w:tc>
          <w:tcPr>
            <w:tcW w:w="635" w:type="dxa"/>
            <w:vAlign w:val="center"/>
          </w:tcPr>
          <w:p w14:paraId="4EE3EB6F">
            <w:pPr>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7</w:t>
            </w:r>
          </w:p>
        </w:tc>
        <w:tc>
          <w:tcPr>
            <w:tcW w:w="1364" w:type="dxa"/>
            <w:vAlign w:val="center"/>
          </w:tcPr>
          <w:p w14:paraId="477E5802">
            <w:pPr>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Bidding Currency and Quote</w:t>
            </w:r>
          </w:p>
        </w:tc>
        <w:tc>
          <w:tcPr>
            <w:tcW w:w="7219" w:type="dxa"/>
            <w:vAlign w:val="center"/>
          </w:tcPr>
          <w:p w14:paraId="629B3335">
            <w:pPr>
              <w:spacing w:line="360" w:lineRule="auto"/>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1. Suppliers shall submit quotations in Renminbi (RMB), using yuan as the unit of measurement, in accordance with the requirements and scope specified in the tender documents.</w:t>
            </w:r>
          </w:p>
          <w:p w14:paraId="20A34A9A">
            <w:pPr>
              <w:spacing w:line="360" w:lineRule="auto"/>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2. The supplier shall specify in the itemized quotation all costs required for delivering the goods, services, and environmental improvements specified in this tender upon successful acceptance, including product costs, installation and commissioning fees, transportation and handling fees (including insurance), storage and preservation fees, technical training fees, testing fees, construction costs, transportation expenses, labor costs, taxes, and other related charges.</w:t>
            </w:r>
          </w:p>
          <w:p w14:paraId="203075BB">
            <w:pPr>
              <w:spacing w:line="360" w:lineRule="auto"/>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3. Suppliers shall complete the quotation schedule in their tender documents in accordance with the requirements specified in the bidding documents, and have it signed by the legal representative or authorized representative; any selective quotations will not be accepted.</w:t>
            </w:r>
          </w:p>
          <w:p w14:paraId="0C356A89">
            <w:pPr>
              <w:spacing w:line="360" w:lineRule="auto"/>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4. When using the comprehensive scoring method, the lowest bid price is not the sole criterion for awarding the contract.</w:t>
            </w:r>
          </w:p>
        </w:tc>
      </w:tr>
      <w:tr w14:paraId="18FAAD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88" w:hRule="atLeast"/>
        </w:trPr>
        <w:tc>
          <w:tcPr>
            <w:tcW w:w="635" w:type="dxa"/>
            <w:vAlign w:val="center"/>
          </w:tcPr>
          <w:p w14:paraId="4B0CCE7A">
            <w:pPr>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8</w:t>
            </w:r>
          </w:p>
        </w:tc>
        <w:tc>
          <w:tcPr>
            <w:tcW w:w="1364" w:type="dxa"/>
            <w:vAlign w:val="center"/>
          </w:tcPr>
          <w:p w14:paraId="2F02C0B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Electronic Tender Documents</w:t>
            </w:r>
          </w:p>
        </w:tc>
        <w:tc>
          <w:tcPr>
            <w:tcW w:w="7219" w:type="dxa"/>
            <w:vAlign w:val="center"/>
          </w:tcPr>
          <w:p w14:paraId="798FB0F5">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(1) When preparing electronic tender documents, the latest version of the electronic bidding specifications and dedicated preparation tools shall be used. A CA (digital certification authority) must be employed to sign, encrypt, submit, and decrypt the electronic tender documents during bid opening.</w:t>
            </w:r>
          </w:p>
          <w:p w14:paraId="6F9F85D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(2) Method for obtaining electronic bidding documents: Suppliers should log in to the National Public Resources Trading Platform (Shaanxi Province, Yangling Demonstration Zone) website under the "Electronic Trading Platform" section on the homepage, select the desired project from the "Bidding Announcements/Transfer Announcements" module, click "Submit Bid", and then proceed to "My Projects" to choose "Project Process&gt; Download Transaction Documents" to freely download the electronic bidding documents (*.sxszf).</w:t>
            </w:r>
          </w:p>
          <w:p w14:paraId="52D19812">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Note: Suppliers should regularly monitor potential change announcements. If an announcement specifies that this project has updated documentation, download the revised electronic tender documents (*.SXSCF) from the "Project Process&gt; Q&amp;A Documents" section. Electronic bids submitted using outdated versions (*.SXSTF) will not be accepted by the system.</w:t>
            </w:r>
          </w:p>
          <w:p w14:paraId="17086928">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(3) Electronic tender documents must be opened and viewed using specialized software. The software download link and operating manual are available under "Government Procurement Project Tender Document Preparation Software and Operating Manual" in the Download Section of the Service Guide on the National Public Resources Trading Platform (Shaanxi Province · Yangling Demonstration Zone) website.</w:t>
            </w:r>
          </w:p>
          <w:p w14:paraId="33DD358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(4) For sections of electronic tender documents requiring the legal representative's signature or seal, use the "Corporate CA"; for sections requiring the supplier's official seal, use the "Enterprise CA". Encryption and decryption must use the same CA; otherwise, decryption will fail.</w:t>
            </w:r>
          </w:p>
          <w:p w14:paraId="3A931A62">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(5) Electronic tender documents must also be prepared using the aforementioned specialized software. If the signature is not visible in the exported PDF file after signing, try opening the unencrypted electronic tender document with the Document Viewer tool and export it again.</w:t>
            </w:r>
          </w:p>
          <w:p w14:paraId="3C54E111">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During the installation process, if you encounter any technical issues, please refer to the user manual or contact the software developer at the technical support hotline: 400-998-0000.</w:t>
            </w:r>
          </w:p>
        </w:tc>
      </w:tr>
      <w:tr w14:paraId="0D8102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507" w:hRule="atLeast"/>
        </w:trPr>
        <w:tc>
          <w:tcPr>
            <w:tcW w:w="635" w:type="dxa"/>
            <w:vAlign w:val="center"/>
          </w:tcPr>
          <w:p w14:paraId="5A1872FD">
            <w:pPr>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9</w:t>
            </w:r>
          </w:p>
        </w:tc>
        <w:tc>
          <w:tcPr>
            <w:tcW w:w="1364" w:type="dxa"/>
            <w:vAlign w:val="center"/>
          </w:tcPr>
          <w:p w14:paraId="6126AC17">
            <w:pPr>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Signing of the tender documents</w:t>
            </w:r>
          </w:p>
        </w:tc>
        <w:tc>
          <w:tcPr>
            <w:tcW w:w="7219" w:type="dxa"/>
            <w:vAlign w:val="center"/>
          </w:tcPr>
          <w:p w14:paraId="0972DD4E">
            <w:pPr>
              <w:spacing w:line="360" w:lineRule="auto"/>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1. At the signature section on the page specified in the tender document, the supplier's legal representative or authorized representative shall sign or affix a seal at the designated location as required by the tender documents.</w:t>
            </w:r>
          </w:p>
          <w:p w14:paraId="3A7648DA">
            <w:pPr>
              <w:spacing w:line="360" w:lineRule="auto"/>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2. Tender documents shall be written in legible handwriting, contain complete content, and must not be altered or modified. Any amendments or additions must bear the supplier's official seal and the signature of the legal representative or their authorized representative.</w:t>
            </w:r>
          </w:p>
          <w:p w14:paraId="60D9C88D">
            <w:pPr>
              <w:spacing w:line="360" w:lineRule="auto"/>
              <w:jc w:val="left"/>
              <w:rPr>
                <w:rFonts w:hint="eastAsia" w:ascii="宋体" w:hAnsi="宋体" w:eastAsia="宋体" w:cs="宋体"/>
                <w:b/>
                <w:bCs/>
                <w:color w:val="000000"/>
                <w:sz w:val="24"/>
                <w:szCs w:val="24"/>
                <w:highlight w:val="none"/>
                <w:lang w:eastAsia="zh-CN"/>
              </w:rPr>
            </w:pPr>
            <w:r>
              <w:rPr>
                <w:rFonts w:hint="eastAsia" w:ascii="Times New Roman" w:hAnsi="宋体" w:eastAsia="微软雅黑" w:cs="宋体"/>
                <w:kern w:val="2"/>
                <w:sz w:val="24"/>
                <w:szCs w:val="24"/>
                <w:highlight w:val="none"/>
                <w:lang w:val="en-US" w:eastAsia="zh-CN" w:bidi="ar-SA"/>
              </w:rPr>
              <w:t>The supplier shall bear any adverse consequences arising from illegible or poorly written bidding documents.</w:t>
            </w:r>
          </w:p>
        </w:tc>
      </w:tr>
      <w:tr w14:paraId="084D12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2" w:hRule="atLeast"/>
        </w:trPr>
        <w:tc>
          <w:tcPr>
            <w:tcW w:w="635" w:type="dxa"/>
            <w:vAlign w:val="center"/>
          </w:tcPr>
          <w:p w14:paraId="4E2F6D7A">
            <w:pPr>
              <w:spacing w:line="360" w:lineRule="auto"/>
              <w:jc w:val="center"/>
              <w:rPr>
                <w:rFonts w:hint="eastAsia" w:ascii="宋体" w:hAnsi="宋体" w:eastAsia="宋体" w:cs="宋体"/>
                <w:color w:val="FF0000"/>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10</w:t>
            </w:r>
          </w:p>
        </w:tc>
        <w:tc>
          <w:tcPr>
            <w:tcW w:w="1364" w:type="dxa"/>
            <w:vAlign w:val="center"/>
          </w:tcPr>
          <w:p w14:paraId="442DAD76">
            <w:pPr>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b/>
                <w:bCs/>
                <w:kern w:val="2"/>
                <w:sz w:val="24"/>
                <w:szCs w:val="24"/>
                <w:highlight w:val="none"/>
                <w:lang w:val="en-US" w:eastAsia="zh-CN" w:bidi="ar-SA"/>
              </w:rPr>
              <w:t>code of points</w:t>
            </w:r>
          </w:p>
        </w:tc>
        <w:tc>
          <w:tcPr>
            <w:tcW w:w="7219" w:type="dxa"/>
            <w:vAlign w:val="center"/>
          </w:tcPr>
          <w:p w14:paraId="23F461AD">
            <w:pPr>
              <w:spacing w:line="360" w:lineRule="auto"/>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Comprehensive Scoring Method (see Part 4 for details)</w:t>
            </w:r>
          </w:p>
        </w:tc>
      </w:tr>
      <w:tr w14:paraId="4AB724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69" w:hRule="atLeast"/>
        </w:trPr>
        <w:tc>
          <w:tcPr>
            <w:tcW w:w="635" w:type="dxa"/>
            <w:vAlign w:val="center"/>
          </w:tcPr>
          <w:p w14:paraId="4720C62D">
            <w:pPr>
              <w:spacing w:line="360" w:lineRule="auto"/>
              <w:jc w:val="center"/>
              <w:rPr>
                <w:rFonts w:hint="eastAsia" w:ascii="宋体" w:hAnsi="宋体" w:eastAsia="宋体" w:cs="宋体"/>
                <w:color w:val="000000"/>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11</w:t>
            </w:r>
          </w:p>
        </w:tc>
        <w:tc>
          <w:tcPr>
            <w:tcW w:w="1364" w:type="dxa"/>
            <w:vAlign w:val="center"/>
          </w:tcPr>
          <w:p w14:paraId="7E0145D9">
            <w:pPr>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Should we purchase imported products?</w:t>
            </w:r>
          </w:p>
        </w:tc>
        <w:tc>
          <w:tcPr>
            <w:tcW w:w="7219" w:type="dxa"/>
            <w:vAlign w:val="center"/>
          </w:tcPr>
          <w:p w14:paraId="72C72507">
            <w:pPr>
              <w:spacing w:line="360" w:lineRule="auto"/>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Imported products are not permitted to be purchased.</w:t>
            </w:r>
          </w:p>
        </w:tc>
      </w:tr>
      <w:tr w14:paraId="7B4E6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35" w:type="dxa"/>
            <w:vAlign w:val="center"/>
          </w:tcPr>
          <w:p w14:paraId="7D989F96">
            <w:pPr>
              <w:spacing w:line="360" w:lineRule="auto"/>
              <w:jc w:val="center"/>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12</w:t>
            </w:r>
          </w:p>
        </w:tc>
        <w:tc>
          <w:tcPr>
            <w:tcW w:w="1364" w:type="dxa"/>
            <w:vAlign w:val="center"/>
          </w:tcPr>
          <w:p w14:paraId="5D572A58">
            <w:pPr>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Agency Service Fee</w:t>
            </w:r>
          </w:p>
        </w:tc>
        <w:tc>
          <w:tcPr>
            <w:tcW w:w="7219" w:type="dxa"/>
            <w:vAlign w:val="center"/>
          </w:tcPr>
          <w:p w14:paraId="52D01988">
            <w:pPr>
              <w:spacing w:line="336" w:lineRule="auto"/>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The bid-winning service fee shall be calculated at 80% of the standard rate specified in the Interim Measures for Tender Agency Service Fees issued by the National Development and Reform Commission (Ji Jia Ge [2002] No.1980).</w:t>
            </w:r>
          </w:p>
          <w:p w14:paraId="528165C4">
            <w:pPr>
              <w:spacing w:line="360" w:lineRule="auto"/>
              <w:ind w:firstLine="480" w:firstLineChars="200"/>
              <w:rPr>
                <w:rFonts w:hint="eastAsia" w:eastAsia="宋体"/>
                <w:highlight w:val="none"/>
                <w:lang w:eastAsia="zh-CN"/>
              </w:rPr>
            </w:pPr>
            <w:r>
              <w:rPr>
                <w:rFonts w:hint="eastAsia" w:ascii="Times New Roman" w:hAnsi="宋体" w:eastAsia="微软雅黑" w:cs="宋体"/>
                <w:kern w:val="2"/>
                <w:sz w:val="24"/>
                <w:szCs w:val="24"/>
                <w:highlight w:val="none"/>
                <w:lang w:val="en-US" w:eastAsia="zh-CN" w:bidi="ar-SA"/>
              </w:rPr>
              <w:t>Suppliers include the bidding agency service fee in their response quotations without separate listing. The winning bidder must pay the full amount of the bidding agency service fee to the procurement agency in a single payment before receiving the award notice. Payment shall be made via bank transfer, telegraphic transfer, or cash.</w:t>
            </w:r>
          </w:p>
        </w:tc>
      </w:tr>
      <w:tr w14:paraId="346CAE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35" w:type="dxa"/>
            <w:vAlign w:val="center"/>
          </w:tcPr>
          <w:p w14:paraId="3E2CC452">
            <w:pPr>
              <w:spacing w:line="360" w:lineRule="auto"/>
              <w:jc w:val="center"/>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13</w:t>
            </w:r>
          </w:p>
        </w:tc>
        <w:tc>
          <w:tcPr>
            <w:tcW w:w="1364" w:type="dxa"/>
            <w:vAlign w:val="center"/>
          </w:tcPr>
          <w:p w14:paraId="29F701EA">
            <w:pPr>
              <w:spacing w:line="360" w:lineRule="auto"/>
              <w:jc w:val="center"/>
              <w:rPr>
                <w:rFonts w:hint="eastAsia" w:ascii="宋体" w:hAnsi="宋体" w:eastAsia="宋体" w:cs="宋体"/>
                <w:b/>
                <w:bCs/>
                <w:sz w:val="24"/>
                <w:szCs w:val="24"/>
                <w:highlight w:val="none"/>
                <w:lang w:eastAsia="zh-CN"/>
              </w:rPr>
            </w:pPr>
            <w:r>
              <w:rPr>
                <w:rFonts w:hint="eastAsia" w:ascii="Times New Roman" w:hAnsi="宋体" w:eastAsia="微软雅黑" w:cs="宋体"/>
                <w:b/>
                <w:bCs/>
                <w:kern w:val="2"/>
                <w:sz w:val="24"/>
                <w:szCs w:val="24"/>
                <w:highlight w:val="none"/>
                <w:lang w:val="en-US" w:eastAsia="zh-CN" w:bidi="ar-SA"/>
              </w:rPr>
              <w:t>Property Attributes</w:t>
            </w:r>
          </w:p>
        </w:tc>
        <w:tc>
          <w:tcPr>
            <w:tcW w:w="7219" w:type="dxa"/>
            <w:vAlign w:val="center"/>
          </w:tcPr>
          <w:p w14:paraId="30496B9F">
            <w:pPr>
              <w:pStyle w:val="21"/>
              <w:rPr>
                <w:rFonts w:hint="eastAsia" w:ascii="仿宋" w:hAnsi="仿宋" w:eastAsia="宋体" w:cs="Courier New"/>
                <w:color w:val="000000"/>
                <w:sz w:val="24"/>
                <w:szCs w:val="24"/>
                <w:highlight w:val="none"/>
                <w:lang w:eastAsia="zh-CN"/>
              </w:rPr>
            </w:pPr>
            <w:r>
              <w:rPr>
                <w:rFonts w:hint="eastAsia" w:ascii="Times New Roman" w:hAnsi="仿宋" w:eastAsia="微软雅黑" w:cs="Courier New"/>
                <w:kern w:val="2"/>
                <w:sz w:val="24"/>
                <w:szCs w:val="24"/>
                <w:highlight w:val="none"/>
                <w:lang w:val="en-US" w:eastAsia="zh-CN" w:bidi="ar-SA"/>
              </w:rPr>
              <w:t>Tendering of Goods</w:t>
            </w:r>
          </w:p>
        </w:tc>
      </w:tr>
      <w:tr w14:paraId="47C2AB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35" w:type="dxa"/>
            <w:vAlign w:val="center"/>
          </w:tcPr>
          <w:p w14:paraId="192DC448">
            <w:pPr>
              <w:spacing w:line="360" w:lineRule="auto"/>
              <w:jc w:val="center"/>
              <w:rPr>
                <w:rFonts w:hint="eastAsia" w:ascii="宋体" w:hAnsi="宋体" w:eastAsia="宋体" w:cs="宋体"/>
                <w:kern w:val="2"/>
                <w:sz w:val="24"/>
                <w:szCs w:val="24"/>
                <w:highlight w:val="none"/>
                <w:lang w:val="en-US" w:eastAsia="zh-CN" w:bidi="ar-SA"/>
              </w:rPr>
            </w:pPr>
            <w:r>
              <w:rPr>
                <w:rFonts w:hint="eastAsia" w:ascii="Times New Roman" w:hAnsi="宋体" w:eastAsia="微软雅黑" w:cs="宋体"/>
                <w:kern w:val="2"/>
                <w:sz w:val="24"/>
                <w:szCs w:val="24"/>
                <w:highlight w:val="none"/>
                <w:lang w:val="en-US" w:eastAsia="zh-CN" w:bidi="ar-SA"/>
              </w:rPr>
              <w:t>14</w:t>
            </w:r>
          </w:p>
        </w:tc>
        <w:tc>
          <w:tcPr>
            <w:tcW w:w="1364" w:type="dxa"/>
            <w:vAlign w:val="center"/>
          </w:tcPr>
          <w:p w14:paraId="3D0C6497">
            <w:pPr>
              <w:spacing w:line="360" w:lineRule="auto"/>
              <w:jc w:val="center"/>
              <w:rPr>
                <w:rFonts w:hint="eastAsia" w:ascii="宋体" w:hAnsi="宋体" w:eastAsia="宋体" w:cs="宋体"/>
                <w:b/>
                <w:bCs/>
                <w:kern w:val="2"/>
                <w:sz w:val="24"/>
                <w:szCs w:val="24"/>
                <w:highlight w:val="none"/>
                <w:lang w:val="en-US" w:eastAsia="zh-CN" w:bidi="ar-SA"/>
              </w:rPr>
            </w:pPr>
            <w:r>
              <w:rPr>
                <w:rFonts w:hint="eastAsia" w:ascii="Times New Roman" w:hAnsi="宋体" w:eastAsia="微软雅黑" w:cs="宋体"/>
                <w:b/>
                <w:bCs/>
                <w:kern w:val="2"/>
                <w:sz w:val="24"/>
                <w:szCs w:val="24"/>
                <w:highlight w:val="none"/>
                <w:lang w:val="en-US" w:eastAsia="zh-CN" w:bidi="ar-SA"/>
              </w:rPr>
              <w:t>industry involved</w:t>
            </w:r>
          </w:p>
        </w:tc>
        <w:tc>
          <w:tcPr>
            <w:tcW w:w="7219" w:type="dxa"/>
            <w:vAlign w:val="center"/>
          </w:tcPr>
          <w:p w14:paraId="2761EA07">
            <w:pPr>
              <w:rPr>
                <w:rFonts w:hint="eastAsia" w:ascii="仿宋" w:hAnsi="仿宋" w:eastAsia="宋体" w:cs="Times New Roman"/>
                <w:color w:val="000000"/>
                <w:kern w:val="2"/>
                <w:sz w:val="24"/>
                <w:szCs w:val="24"/>
                <w:highlight w:val="none"/>
                <w:lang w:val="en-US" w:eastAsia="zh-CN" w:bidi="ar-SA"/>
              </w:rPr>
            </w:pPr>
            <w:r>
              <w:rPr>
                <w:rFonts w:hint="eastAsia" w:ascii="Times New Roman" w:hAnsi="仿宋" w:eastAsia="微软雅黑" w:cs="Times New Roman"/>
                <w:color w:val="000000"/>
                <w:kern w:val="2"/>
                <w:sz w:val="24"/>
                <w:szCs w:val="24"/>
                <w:highlight w:val="none"/>
                <w:lang w:val="en-US" w:eastAsia="zh-CN" w:bidi="ar-SA"/>
              </w:rPr>
              <w:t>industry</w:t>
            </w:r>
          </w:p>
        </w:tc>
      </w:tr>
      <w:tr w14:paraId="1CA83B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35" w:type="dxa"/>
            <w:vAlign w:val="center"/>
          </w:tcPr>
          <w:p w14:paraId="2FC390D4">
            <w:pPr>
              <w:spacing w:line="360" w:lineRule="auto"/>
              <w:jc w:val="center"/>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15</w:t>
            </w:r>
          </w:p>
        </w:tc>
        <w:tc>
          <w:tcPr>
            <w:tcW w:w="1364" w:type="dxa"/>
            <w:vAlign w:val="center"/>
          </w:tcPr>
          <w:p w14:paraId="427BC1AC">
            <w:pPr>
              <w:spacing w:line="360" w:lineRule="auto"/>
              <w:jc w:val="center"/>
              <w:rPr>
                <w:rFonts w:hint="eastAsia" w:eastAsia="宋体"/>
                <w:highlight w:val="none"/>
                <w:lang w:eastAsia="zh-CN"/>
              </w:rPr>
            </w:pPr>
            <w:r>
              <w:rPr>
                <w:rFonts w:hint="eastAsia" w:ascii="Times New Roman" w:hAnsi="宋体" w:eastAsia="微软雅黑" w:cs="宋体"/>
                <w:kern w:val="2"/>
                <w:sz w:val="24"/>
                <w:szCs w:val="24"/>
                <w:highlight w:val="none"/>
                <w:lang w:val="en-US" w:eastAsia="zh-CN" w:bidi="ar-SA"/>
              </w:rPr>
              <w:t>Is it specifically designed for small and medium-sized enterprises?</w:t>
            </w:r>
          </w:p>
        </w:tc>
        <w:tc>
          <w:tcPr>
            <w:tcW w:w="7219" w:type="dxa"/>
            <w:vAlign w:val="center"/>
          </w:tcPr>
          <w:p w14:paraId="1B8EADC7">
            <w:pPr>
              <w:rPr>
                <w:rFonts w:hint="eastAsia" w:eastAsia="宋体"/>
                <w:highlight w:val="none"/>
                <w:lang w:eastAsia="zh-CN"/>
              </w:rPr>
            </w:pPr>
            <w:r>
              <w:rPr>
                <w:rFonts w:hint="eastAsia" w:ascii="Times New Roman" w:hAnsi="宋体" w:eastAsia="微软雅黑" w:cs="宋体"/>
                <w:kern w:val="2"/>
                <w:sz w:val="24"/>
                <w:szCs w:val="24"/>
                <w:highlight w:val="none"/>
                <w:lang w:val="en-US" w:eastAsia="zh-CN" w:bidi="ar-SA"/>
              </w:rPr>
              <w:t>deny</w:t>
            </w:r>
          </w:p>
        </w:tc>
      </w:tr>
      <w:tr w14:paraId="6FF4FE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35" w:type="dxa"/>
            <w:vAlign w:val="center"/>
          </w:tcPr>
          <w:p w14:paraId="3CD319D0">
            <w:pPr>
              <w:spacing w:line="360" w:lineRule="auto"/>
              <w:jc w:val="center"/>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16</w:t>
            </w:r>
          </w:p>
        </w:tc>
        <w:tc>
          <w:tcPr>
            <w:tcW w:w="1364" w:type="dxa"/>
            <w:vAlign w:val="center"/>
          </w:tcPr>
          <w:p w14:paraId="05ACEF96">
            <w:pPr>
              <w:spacing w:line="360" w:lineRule="auto"/>
              <w:jc w:val="center"/>
              <w:rPr>
                <w:rFonts w:ascii="宋体" w:hAnsi="宋体" w:cs="宋体"/>
                <w:sz w:val="24"/>
                <w:szCs w:val="24"/>
                <w:highlight w:val="none"/>
                <w:lang w:val="zh-CN"/>
              </w:rPr>
            </w:pPr>
            <w:r>
              <w:rPr>
                <w:rFonts w:hint="eastAsia" w:ascii="Times New Roman" w:hAnsi="宋体" w:eastAsia="微软雅黑" w:cs="宋体"/>
                <w:kern w:val="2"/>
                <w:sz w:val="24"/>
                <w:szCs w:val="24"/>
                <w:highlight w:val="none"/>
                <w:lang w:val="zh-CN" w:eastAsia="zh-CN" w:bidi="ar-SA"/>
              </w:rPr>
              <w:t>Is it allowed for large and medium-sized enterprises?</w:t>
            </w:r>
          </w:p>
          <w:p w14:paraId="6AF272EB">
            <w:pPr>
              <w:spacing w:line="360" w:lineRule="auto"/>
              <w:jc w:val="center"/>
              <w:rPr>
                <w:rFonts w:ascii="宋体" w:hAnsi="宋体" w:cs="宋体"/>
                <w:sz w:val="24"/>
                <w:szCs w:val="24"/>
                <w:highlight w:val="none"/>
                <w:lang w:val="zh-CN"/>
              </w:rPr>
            </w:pPr>
            <w:r>
              <w:rPr>
                <w:rFonts w:hint="eastAsia" w:ascii="Times New Roman" w:hAnsi="宋体" w:eastAsia="微软雅黑" w:cs="宋体"/>
                <w:kern w:val="2"/>
                <w:sz w:val="24"/>
                <w:szCs w:val="24"/>
                <w:highlight w:val="none"/>
                <w:lang w:val="zh-CN" w:eastAsia="zh-CN" w:bidi="ar-SA"/>
              </w:rPr>
              <w:t>For small and micro enterprises:</w:t>
            </w:r>
          </w:p>
        </w:tc>
        <w:tc>
          <w:tcPr>
            <w:tcW w:w="7219" w:type="dxa"/>
            <w:vAlign w:val="center"/>
          </w:tcPr>
          <w:p w14:paraId="171B69F6">
            <w:pPr>
              <w:spacing w:line="360" w:lineRule="auto"/>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deny</w:t>
            </w:r>
          </w:p>
          <w:p w14:paraId="3C3753E4">
            <w:pPr>
              <w:spacing w:line="360" w:lineRule="auto"/>
              <w:jc w:val="left"/>
              <w:rPr>
                <w:rFonts w:ascii="宋体" w:hAnsi="宋体" w:cs="宋体"/>
                <w:sz w:val="24"/>
                <w:szCs w:val="24"/>
                <w:highlight w:val="none"/>
              </w:rPr>
            </w:pPr>
          </w:p>
        </w:tc>
      </w:tr>
      <w:tr w14:paraId="52669F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35" w:type="dxa"/>
            <w:vAlign w:val="center"/>
          </w:tcPr>
          <w:p w14:paraId="704F3A1A">
            <w:pPr>
              <w:spacing w:line="360" w:lineRule="auto"/>
              <w:jc w:val="center"/>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17</w:t>
            </w:r>
          </w:p>
        </w:tc>
        <w:tc>
          <w:tcPr>
            <w:tcW w:w="1364" w:type="dxa"/>
            <w:vAlign w:val="center"/>
          </w:tcPr>
          <w:p w14:paraId="4AE9549F">
            <w:pPr>
              <w:spacing w:line="360" w:lineRule="auto"/>
              <w:jc w:val="center"/>
              <w:rPr>
                <w:rFonts w:ascii="宋体" w:hAnsi="宋体" w:cs="宋体"/>
                <w:sz w:val="24"/>
                <w:szCs w:val="24"/>
                <w:highlight w:val="none"/>
                <w:lang w:val="zh-CN"/>
              </w:rPr>
            </w:pPr>
            <w:r>
              <w:rPr>
                <w:rFonts w:hint="eastAsia" w:ascii="Times New Roman" w:hAnsi="宋体" w:eastAsia="微软雅黑" w:cs="宋体"/>
                <w:kern w:val="2"/>
                <w:sz w:val="24"/>
                <w:szCs w:val="24"/>
                <w:highlight w:val="none"/>
                <w:lang w:val="zh-CN" w:eastAsia="zh-CN" w:bidi="ar-SA"/>
              </w:rPr>
              <w:t>subpackage</w:t>
            </w:r>
          </w:p>
        </w:tc>
        <w:tc>
          <w:tcPr>
            <w:tcW w:w="7219" w:type="dxa"/>
            <w:vAlign w:val="center"/>
          </w:tcPr>
          <w:p w14:paraId="754273BD">
            <w:pPr>
              <w:spacing w:line="360" w:lineRule="auto"/>
              <w:ind w:firstLine="480" w:firstLineChars="200"/>
              <w:jc w:val="left"/>
              <w:rPr>
                <w:highlight w:val="none"/>
              </w:rPr>
            </w:pPr>
            <w:r>
              <w:rPr>
                <w:rFonts w:hint="eastAsia" w:ascii="Times New Roman" w:hAnsi="宋体" w:eastAsia="微软雅黑" w:cs="宋体"/>
                <w:kern w:val="2"/>
                <w:sz w:val="24"/>
                <w:szCs w:val="24"/>
                <w:highlight w:val="none"/>
                <w:lang w:val="zh-CN" w:eastAsia="zh-CN" w:bidi="ar-SA"/>
              </w:rPr>
              <w:t>Suppliers shall not disassemble components themselves or submit incomplete bids limited to items specific to this project; any incomplete bid will be deemed invalid.</w:t>
            </w:r>
          </w:p>
        </w:tc>
      </w:tr>
      <w:tr w14:paraId="30E994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35" w:type="dxa"/>
            <w:vAlign w:val="center"/>
          </w:tcPr>
          <w:p w14:paraId="76524E01">
            <w:pPr>
              <w:spacing w:line="360" w:lineRule="auto"/>
              <w:jc w:val="center"/>
              <w:rPr>
                <w:rFonts w:hint="default"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18</w:t>
            </w:r>
          </w:p>
        </w:tc>
        <w:tc>
          <w:tcPr>
            <w:tcW w:w="1364" w:type="dxa"/>
            <w:vAlign w:val="center"/>
          </w:tcPr>
          <w:p w14:paraId="7B506064">
            <w:pPr>
              <w:spacing w:line="360" w:lineRule="auto"/>
              <w:jc w:val="center"/>
              <w:rPr>
                <w:rFonts w:ascii="宋体" w:hAnsi="宋体" w:cs="宋体"/>
                <w:sz w:val="24"/>
                <w:szCs w:val="24"/>
                <w:highlight w:val="none"/>
                <w:lang w:val="zh-CN"/>
              </w:rPr>
            </w:pPr>
            <w:r>
              <w:rPr>
                <w:rFonts w:hint="eastAsia" w:ascii="Times New Roman" w:hAnsi="宋体" w:eastAsia="微软雅黑" w:cs="宋体"/>
                <w:kern w:val="2"/>
                <w:sz w:val="24"/>
                <w:szCs w:val="24"/>
                <w:highlight w:val="none"/>
                <w:lang w:val="zh-CN" w:eastAsia="zh-CN" w:bidi="ar-SA"/>
              </w:rPr>
              <w:t>supplier</w:t>
            </w:r>
          </w:p>
          <w:p w14:paraId="2E214488">
            <w:pPr>
              <w:spacing w:line="360" w:lineRule="auto"/>
              <w:jc w:val="center"/>
              <w:rPr>
                <w:rFonts w:ascii="宋体" w:hAnsi="宋体" w:cs="宋体"/>
                <w:sz w:val="24"/>
                <w:szCs w:val="24"/>
                <w:highlight w:val="none"/>
                <w:lang w:val="zh-CN"/>
              </w:rPr>
            </w:pPr>
            <w:r>
              <w:rPr>
                <w:rFonts w:hint="eastAsia" w:ascii="Times New Roman" w:hAnsi="宋体" w:eastAsia="微软雅黑" w:cs="宋体"/>
                <w:kern w:val="2"/>
                <w:sz w:val="24"/>
                <w:szCs w:val="24"/>
                <w:highlight w:val="none"/>
                <w:lang w:val="zh-CN" w:eastAsia="zh-CN" w:bidi="ar-SA"/>
              </w:rPr>
              <w:t>Time and format for raising questions</w:t>
            </w:r>
          </w:p>
        </w:tc>
        <w:tc>
          <w:tcPr>
            <w:tcW w:w="7219" w:type="dxa"/>
            <w:vAlign w:val="center"/>
          </w:tcPr>
          <w:p w14:paraId="52B6DA69">
            <w:pPr>
              <w:spacing w:line="360" w:lineRule="auto"/>
              <w:jc w:val="left"/>
              <w:rPr>
                <w:rFonts w:ascii="宋体" w:hAnsi="宋体" w:cs="宋体"/>
                <w:sz w:val="24"/>
                <w:szCs w:val="24"/>
                <w:highlight w:val="none"/>
                <w:lang w:val="zh-CN"/>
              </w:rPr>
            </w:pPr>
            <w:r>
              <w:rPr>
                <w:rFonts w:hint="eastAsia" w:ascii="Times New Roman" w:hAnsi="宋体" w:eastAsia="微软雅黑" w:cs="宋体"/>
                <w:kern w:val="2"/>
                <w:sz w:val="24"/>
                <w:szCs w:val="24"/>
                <w:highlight w:val="none"/>
                <w:lang w:val="zh-CN" w:eastAsia="zh-CN" w:bidi="ar-SA"/>
              </w:rPr>
              <w:t>Time: If a supplier believes that the procurement documents, procurement process, or the award/transaction results have harmed its rights and interests, it may file a claim within 10 days from the date it becomes aware or should have become aware of such harm; thereafter, the procuring entity or procurement agency shall no longer accept the claim.</w:t>
            </w:r>
          </w:p>
          <w:p w14:paraId="2C1320ED">
            <w:pPr>
              <w:spacing w:line="360" w:lineRule="auto"/>
              <w:jc w:val="left"/>
              <w:rPr>
                <w:rFonts w:ascii="宋体" w:hAnsi="宋体" w:cs="宋体"/>
                <w:sz w:val="24"/>
                <w:szCs w:val="24"/>
                <w:highlight w:val="none"/>
                <w:lang w:val="zh-CN"/>
              </w:rPr>
            </w:pPr>
            <w:r>
              <w:rPr>
                <w:rFonts w:hint="eastAsia" w:ascii="Times New Roman" w:hAnsi="宋体" w:eastAsia="微软雅黑" w:cs="宋体"/>
                <w:kern w:val="2"/>
                <w:sz w:val="24"/>
                <w:szCs w:val="24"/>
                <w:highlight w:val="none"/>
                <w:lang w:val="zh-CN" w:eastAsia="zh-CN" w:bidi="ar-SA"/>
              </w:rPr>
              <w:t>Format: Written;</w:t>
            </w:r>
          </w:p>
          <w:p w14:paraId="1C2C6A08">
            <w:pPr>
              <w:spacing w:line="360" w:lineRule="auto"/>
              <w:jc w:val="left"/>
              <w:rPr>
                <w:highlight w:val="none"/>
              </w:rPr>
            </w:pPr>
            <w:r>
              <w:rPr>
                <w:rFonts w:hint="eastAsia" w:ascii="Times New Roman" w:hAnsi="宋体" w:eastAsia="微软雅黑" w:cs="宋体"/>
                <w:kern w:val="2"/>
                <w:sz w:val="24"/>
                <w:szCs w:val="24"/>
                <w:highlight w:val="none"/>
                <w:lang w:val="zh-CN" w:eastAsia="zh-CN" w:bidi="ar-SA"/>
              </w:rPr>
              <w:t>Stage: Suppliers shall submit all objections regarding the same procurement stage in a single submission during the statutory objection period.</w:t>
            </w:r>
          </w:p>
        </w:tc>
      </w:tr>
      <w:tr w14:paraId="19F763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292" w:hRule="atLeast"/>
        </w:trPr>
        <w:tc>
          <w:tcPr>
            <w:tcW w:w="635" w:type="dxa"/>
            <w:vAlign w:val="center"/>
          </w:tcPr>
          <w:p w14:paraId="2C53DA7E">
            <w:pPr>
              <w:spacing w:line="360" w:lineRule="auto"/>
              <w:jc w:val="center"/>
              <w:rPr>
                <w:rFonts w:hint="default"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19</w:t>
            </w:r>
          </w:p>
        </w:tc>
        <w:tc>
          <w:tcPr>
            <w:tcW w:w="1364" w:type="dxa"/>
            <w:vAlign w:val="center"/>
          </w:tcPr>
          <w:p w14:paraId="714DAFEC">
            <w:pPr>
              <w:spacing w:line="360" w:lineRule="auto"/>
              <w:jc w:val="center"/>
              <w:rPr>
                <w:rFonts w:ascii="宋体" w:hAnsi="宋体" w:cs="宋体"/>
                <w:sz w:val="24"/>
                <w:szCs w:val="24"/>
                <w:highlight w:val="none"/>
                <w:lang w:val="zh-CN"/>
              </w:rPr>
            </w:pPr>
            <w:r>
              <w:rPr>
                <w:rFonts w:hint="eastAsia" w:ascii="Times New Roman" w:hAnsi="宋体" w:eastAsia="微软雅黑" w:cs="宋体"/>
                <w:kern w:val="2"/>
                <w:sz w:val="24"/>
                <w:szCs w:val="24"/>
                <w:highlight w:val="none"/>
                <w:lang w:val="zh-CN" w:eastAsia="zh-CN" w:bidi="ar-SA"/>
              </w:rPr>
              <w:t>Raise concerns about the supplier</w:t>
            </w:r>
          </w:p>
          <w:p w14:paraId="1C97447A">
            <w:pPr>
              <w:spacing w:line="360" w:lineRule="auto"/>
              <w:jc w:val="center"/>
              <w:rPr>
                <w:rFonts w:ascii="宋体" w:hAnsi="宋体" w:cs="宋体"/>
                <w:sz w:val="24"/>
                <w:szCs w:val="24"/>
                <w:highlight w:val="none"/>
                <w:lang w:val="zh-CN"/>
              </w:rPr>
            </w:pPr>
            <w:r>
              <w:rPr>
                <w:rFonts w:hint="eastAsia" w:ascii="Times New Roman" w:hAnsi="宋体" w:eastAsia="微软雅黑" w:cs="宋体"/>
                <w:kern w:val="2"/>
                <w:sz w:val="24"/>
                <w:szCs w:val="24"/>
                <w:highlight w:val="none"/>
                <w:lang w:val="zh-CN" w:eastAsia="zh-CN" w:bidi="ar-SA"/>
              </w:rPr>
              <w:t>Response Time and Format</w:t>
            </w:r>
          </w:p>
        </w:tc>
        <w:tc>
          <w:tcPr>
            <w:tcW w:w="7219" w:type="dxa"/>
            <w:vAlign w:val="center"/>
          </w:tcPr>
          <w:p w14:paraId="17044FA9">
            <w:pPr>
              <w:spacing w:line="360" w:lineRule="auto"/>
              <w:jc w:val="left"/>
              <w:rPr>
                <w:rFonts w:ascii="宋体" w:hAnsi="宋体" w:cs="宋体"/>
                <w:sz w:val="24"/>
                <w:szCs w:val="24"/>
                <w:highlight w:val="none"/>
                <w:lang w:val="zh-CN"/>
              </w:rPr>
            </w:pPr>
            <w:r>
              <w:rPr>
                <w:rFonts w:hint="eastAsia" w:ascii="Times New Roman" w:hAnsi="宋体" w:eastAsia="微软雅黑" w:cs="宋体"/>
                <w:kern w:val="2"/>
                <w:sz w:val="24"/>
                <w:szCs w:val="24"/>
                <w:highlight w:val="none"/>
                <w:lang w:val="zh-CN" w:eastAsia="zh-CN" w:bidi="ar-SA"/>
              </w:rPr>
              <w:t>Time: Within 7 working days from the date of receiving the supplier's inquiry letter.</w:t>
            </w:r>
          </w:p>
          <w:p w14:paraId="6FF93FC0">
            <w:pPr>
              <w:spacing w:line="360" w:lineRule="auto"/>
              <w:jc w:val="left"/>
              <w:rPr>
                <w:rFonts w:ascii="宋体" w:hAnsi="宋体" w:cs="宋体"/>
                <w:sz w:val="24"/>
                <w:szCs w:val="24"/>
                <w:highlight w:val="none"/>
                <w:lang w:val="zh-CN"/>
              </w:rPr>
            </w:pPr>
            <w:r>
              <w:rPr>
                <w:rFonts w:hint="eastAsia" w:ascii="Times New Roman" w:hAnsi="宋体" w:eastAsia="微软雅黑" w:cs="宋体"/>
                <w:kern w:val="2"/>
                <w:sz w:val="24"/>
                <w:szCs w:val="24"/>
                <w:highlight w:val="none"/>
                <w:lang w:val="zh-CN" w:eastAsia="zh-CN" w:bidi="ar-SA"/>
              </w:rPr>
              <w:t>Format: Written</w:t>
            </w:r>
          </w:p>
        </w:tc>
      </w:tr>
      <w:tr w14:paraId="6BA88B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9" w:hRule="atLeast"/>
        </w:trPr>
        <w:tc>
          <w:tcPr>
            <w:tcW w:w="635" w:type="dxa"/>
            <w:vAlign w:val="center"/>
          </w:tcPr>
          <w:p w14:paraId="0DA318C0">
            <w:pPr>
              <w:spacing w:line="360" w:lineRule="auto"/>
              <w:jc w:val="center"/>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20</w:t>
            </w:r>
          </w:p>
        </w:tc>
        <w:tc>
          <w:tcPr>
            <w:tcW w:w="1364" w:type="dxa"/>
            <w:vAlign w:val="center"/>
          </w:tcPr>
          <w:p w14:paraId="69C84A30">
            <w:pPr>
              <w:spacing w:line="360" w:lineRule="auto"/>
              <w:jc w:val="center"/>
              <w:rPr>
                <w:rFonts w:ascii="宋体" w:hAnsi="宋体" w:cs="宋体"/>
                <w:sz w:val="24"/>
                <w:szCs w:val="24"/>
                <w:highlight w:val="none"/>
                <w:lang w:val="zh-CN"/>
              </w:rPr>
            </w:pPr>
            <w:r>
              <w:rPr>
                <w:rFonts w:hint="eastAsia" w:ascii="Times New Roman" w:hAnsi="宋体" w:eastAsia="微软雅黑" w:cs="宋体"/>
                <w:kern w:val="2"/>
                <w:sz w:val="24"/>
                <w:szCs w:val="24"/>
                <w:highlight w:val="none"/>
                <w:lang w:val="zh-CN" w:eastAsia="zh-CN" w:bidi="ar-SA"/>
              </w:rPr>
              <w:t>Non-substantive deviation</w:t>
            </w:r>
          </w:p>
        </w:tc>
        <w:tc>
          <w:tcPr>
            <w:tcW w:w="7219" w:type="dxa"/>
            <w:vAlign w:val="center"/>
          </w:tcPr>
          <w:p w14:paraId="2CE8216C">
            <w:pPr>
              <w:spacing w:line="360" w:lineRule="auto"/>
              <w:rPr>
                <w:rFonts w:ascii="宋体" w:hAnsi="宋体" w:cs="宋体"/>
                <w:sz w:val="24"/>
                <w:szCs w:val="24"/>
                <w:highlight w:val="none"/>
              </w:rPr>
            </w:pPr>
            <w:r>
              <w:rPr>
                <w:rFonts w:hint="eastAsia" w:ascii="Times New Roman" w:hAnsi="宋体" w:eastAsia="微软雅黑" w:cs="宋体"/>
                <w:kern w:val="2"/>
                <w:sz w:val="24"/>
                <w:szCs w:val="24"/>
                <w:highlight w:val="none"/>
                <w:lang w:val="zh-CN" w:eastAsia="zh-CN" w:bidi="ar-SA"/>
              </w:rPr>
              <w:t>permit</w:t>
            </w:r>
          </w:p>
        </w:tc>
      </w:tr>
      <w:tr w14:paraId="15B610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35" w:type="dxa"/>
            <w:vAlign w:val="center"/>
          </w:tcPr>
          <w:p w14:paraId="15EB35F3">
            <w:pPr>
              <w:spacing w:line="360" w:lineRule="auto"/>
              <w:jc w:val="center"/>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21</w:t>
            </w:r>
          </w:p>
        </w:tc>
        <w:tc>
          <w:tcPr>
            <w:tcW w:w="1364" w:type="dxa"/>
            <w:vAlign w:val="center"/>
          </w:tcPr>
          <w:p w14:paraId="36E3F038">
            <w:pPr>
              <w:pStyle w:val="14"/>
              <w:spacing w:line="336" w:lineRule="auto"/>
              <w:jc w:val="center"/>
              <w:rPr>
                <w:rFonts w:hint="eastAsia" w:hAnsi="宋体" w:eastAsia="宋体" w:cs="宋体"/>
                <w:sz w:val="24"/>
                <w:szCs w:val="24"/>
                <w:highlight w:val="none"/>
                <w:lang w:val="zh-CN" w:eastAsia="zh-CN"/>
              </w:rPr>
            </w:pPr>
            <w:r>
              <w:rPr>
                <w:rFonts w:hint="eastAsia" w:ascii="Times New Roman" w:hAnsi="仿宋" w:eastAsia="微软雅黑" w:cs="Courier New"/>
                <w:color w:val="000000"/>
                <w:kern w:val="2"/>
                <w:sz w:val="24"/>
                <w:szCs w:val="24"/>
                <w:highlight w:val="none"/>
                <w:lang w:val="en-US" w:eastAsia="zh-CN" w:bidi="ar-SA"/>
              </w:rPr>
              <w:t>other</w:t>
            </w:r>
          </w:p>
        </w:tc>
        <w:tc>
          <w:tcPr>
            <w:tcW w:w="7219" w:type="dxa"/>
            <w:vAlign w:val="center"/>
          </w:tcPr>
          <w:p w14:paraId="543EE139">
            <w:pPr>
              <w:pStyle w:val="14"/>
              <w:spacing w:line="336" w:lineRule="auto"/>
              <w:jc w:val="left"/>
              <w:rPr>
                <w:rFonts w:hint="eastAsia" w:eastAsia="宋体"/>
                <w:highlight w:val="none"/>
                <w:lang w:val="zh-CN" w:eastAsia="zh-CN"/>
              </w:rPr>
            </w:pPr>
            <w:r>
              <w:rPr>
                <w:rFonts w:hint="eastAsia" w:ascii="Times New Roman" w:hAnsi="仿宋" w:eastAsia="微软雅黑" w:cs="Courier New"/>
                <w:color w:val="000000"/>
                <w:kern w:val="2"/>
                <w:sz w:val="24"/>
                <w:szCs w:val="24"/>
                <w:highlight w:val="none"/>
                <w:lang w:val="en-US" w:eastAsia="zh-CN" w:bidi="ar-SA"/>
              </w:rPr>
              <w:t>In case of inconsistency between the procurement documents and the procurement announcement published by the media, the announcement shall prevail; in case of inconsistency between the main text and the accompanying tables, the preceding table in the Supplier Guidelines shall prevail.</w:t>
            </w:r>
          </w:p>
        </w:tc>
      </w:tr>
      <w:tr w14:paraId="6B10D9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35" w:type="dxa"/>
            <w:vAlign w:val="center"/>
          </w:tcPr>
          <w:p w14:paraId="3E092BD6">
            <w:pPr>
              <w:spacing w:line="336" w:lineRule="auto"/>
              <w:jc w:val="center"/>
              <w:rPr>
                <w:rFonts w:hint="default" w:ascii="宋体" w:hAnsi="宋体" w:eastAsia="宋体" w:cs="宋体"/>
                <w:sz w:val="24"/>
                <w:szCs w:val="24"/>
                <w:highlight w:val="none"/>
                <w:lang w:val="en-US" w:eastAsia="zh-CN"/>
              </w:rPr>
            </w:pPr>
            <w:bookmarkStart w:id="9" w:name="_Toc19272"/>
            <w:bookmarkStart w:id="10" w:name="_Toc10023"/>
            <w:r>
              <w:rPr>
                <w:rFonts w:hint="eastAsia" w:ascii="Times New Roman" w:hAnsi="宋体" w:eastAsia="微软雅黑" w:cs="宋体"/>
                <w:kern w:val="2"/>
                <w:sz w:val="24"/>
                <w:szCs w:val="24"/>
                <w:highlight w:val="none"/>
                <w:lang w:val="en-US" w:eastAsia="zh-CN" w:bidi="ar-SA"/>
              </w:rPr>
              <w:t>22</w:t>
            </w:r>
            <w:bookmarkEnd w:id="9"/>
            <w:bookmarkEnd w:id="10"/>
          </w:p>
        </w:tc>
        <w:tc>
          <w:tcPr>
            <w:tcW w:w="1364" w:type="dxa"/>
            <w:vAlign w:val="center"/>
          </w:tcPr>
          <w:p w14:paraId="23C99604">
            <w:pPr>
              <w:pStyle w:val="14"/>
              <w:spacing w:line="336" w:lineRule="auto"/>
              <w:jc w:val="center"/>
              <w:rPr>
                <w:rFonts w:hint="default" w:ascii="仿宋" w:hAnsi="仿宋"/>
                <w:b/>
                <w:bCs/>
                <w:color w:val="000000"/>
                <w:sz w:val="24"/>
                <w:szCs w:val="24"/>
                <w:highlight w:val="none"/>
                <w:lang w:val="en-US" w:eastAsia="zh-CN"/>
              </w:rPr>
            </w:pPr>
            <w:r>
              <w:rPr>
                <w:rFonts w:hint="eastAsia" w:ascii="Times New Roman" w:hAnsi="仿宋" w:eastAsia="微软雅黑" w:cs="Courier New"/>
                <w:b/>
                <w:bCs/>
                <w:color w:val="000000"/>
                <w:kern w:val="2"/>
                <w:sz w:val="24"/>
                <w:szCs w:val="24"/>
                <w:highlight w:val="none"/>
                <w:lang w:val="en-US" w:eastAsia="zh-CN" w:bidi="ar-SA"/>
              </w:rPr>
              <w:t>core product</w:t>
            </w:r>
          </w:p>
        </w:tc>
        <w:tc>
          <w:tcPr>
            <w:tcW w:w="7219" w:type="dxa"/>
            <w:vAlign w:val="center"/>
          </w:tcPr>
          <w:p w14:paraId="7E6C233B">
            <w:pPr>
              <w:pStyle w:val="14"/>
              <w:spacing w:line="336" w:lineRule="auto"/>
              <w:jc w:val="left"/>
              <w:rPr>
                <w:rFonts w:hint="eastAsia" w:ascii="仿宋" w:hAnsi="仿宋" w:eastAsia="宋体"/>
                <w:b/>
                <w:bCs/>
                <w:color w:val="000000"/>
                <w:sz w:val="24"/>
                <w:szCs w:val="24"/>
                <w:highlight w:val="none"/>
                <w:lang w:eastAsia="zh-CN"/>
              </w:rPr>
            </w:pPr>
            <w:r>
              <w:rPr>
                <w:rFonts w:hint="eastAsia" w:ascii="Times New Roman" w:hAnsi="仿宋" w:eastAsia="微软雅黑" w:cs="Courier New"/>
                <w:b/>
                <w:bCs/>
                <w:color w:val="000000"/>
                <w:kern w:val="2"/>
                <w:sz w:val="24"/>
                <w:szCs w:val="24"/>
                <w:highlight w:val="none"/>
                <w:lang w:val="en-US" w:eastAsia="zh-CN" w:bidi="ar-SA"/>
              </w:rPr>
              <w:t>Digital subtraction angiography (DSA) system</w:t>
            </w:r>
          </w:p>
        </w:tc>
      </w:tr>
    </w:tbl>
    <w:p w14:paraId="7CBEE4EE">
      <w:pPr>
        <w:pStyle w:val="2"/>
        <w:keepLines w:val="0"/>
        <w:spacing w:before="312" w:beforeLines="100" w:after="312" w:afterLines="100" w:line="500" w:lineRule="exact"/>
        <w:rPr>
          <w:rFonts w:ascii="宋体" w:hAnsi="宋体" w:cs="宋体"/>
          <w:sz w:val="36"/>
          <w:szCs w:val="36"/>
          <w:highlight w:val="none"/>
        </w:rPr>
        <w:sectPr>
          <w:footerReference r:id="rId8" w:type="default"/>
          <w:pgSz w:w="11906" w:h="16838"/>
          <w:pgMar w:top="1440" w:right="1706" w:bottom="1440" w:left="1800" w:header="851" w:footer="992" w:gutter="0"/>
          <w:pgNumType w:fmt="decimal" w:start="1"/>
          <w:cols w:space="720" w:num="1"/>
          <w:docGrid w:type="lines" w:linePitch="312" w:charSpace="0"/>
        </w:sectPr>
      </w:pPr>
    </w:p>
    <w:p w14:paraId="6D99D18B">
      <w:pPr>
        <w:pStyle w:val="2"/>
        <w:keepLines w:val="0"/>
        <w:spacing w:before="312" w:beforeLines="100" w:after="312" w:afterLines="100" w:line="500" w:lineRule="exact"/>
        <w:rPr>
          <w:rFonts w:hint="eastAsia" w:ascii="宋体" w:hAnsi="宋体" w:eastAsia="宋体" w:cs="宋体"/>
          <w:sz w:val="36"/>
          <w:szCs w:val="36"/>
          <w:highlight w:val="none"/>
          <w:lang w:eastAsia="zh-CN"/>
        </w:rPr>
      </w:pPr>
      <w:bookmarkStart w:id="11" w:name="_Toc20193"/>
      <w:bookmarkStart w:id="12" w:name="_Toc30494"/>
      <w:bookmarkStart w:id="13" w:name="_Toc31407"/>
      <w:r>
        <w:rPr>
          <w:rFonts w:hint="eastAsia" w:ascii="Times New Roman" w:hAnsi="宋体" w:eastAsia="微软雅黑" w:cs="宋体"/>
          <w:b/>
          <w:kern w:val="44"/>
          <w:sz w:val="36"/>
          <w:szCs w:val="36"/>
          <w:highlight w:val="none"/>
          <w:lang w:val="en-US" w:eastAsia="zh-CN" w:bidi="ar-SA"/>
        </w:rPr>
        <w:t>Part Three: Supplier Guidelines</w:t>
      </w:r>
      <w:bookmarkEnd w:id="11"/>
      <w:bookmarkEnd w:id="12"/>
      <w:bookmarkEnd w:id="13"/>
    </w:p>
    <w:p w14:paraId="79532317">
      <w:pPr>
        <w:ind w:firstLine="720" w:firstLineChars="200"/>
        <w:jc w:val="center"/>
        <w:outlineLvl w:val="1"/>
        <w:rPr>
          <w:rFonts w:hint="eastAsia" w:ascii="宋体" w:hAnsi="宋体" w:eastAsia="宋体" w:cs="宋体"/>
          <w:sz w:val="36"/>
          <w:szCs w:val="36"/>
          <w:highlight w:val="none"/>
          <w:lang w:eastAsia="zh-CN"/>
        </w:rPr>
      </w:pPr>
      <w:bookmarkStart w:id="14" w:name="_Toc32490"/>
      <w:bookmarkStart w:id="15" w:name="_Toc31213"/>
      <w:bookmarkStart w:id="16" w:name="_Toc11704"/>
      <w:bookmarkStart w:id="17" w:name="_Toc26739"/>
      <w:bookmarkStart w:id="18" w:name="_Toc8204"/>
      <w:bookmarkStart w:id="19" w:name="_Toc32679"/>
      <w:r>
        <w:rPr>
          <w:rFonts w:hint="eastAsia" w:ascii="Times New Roman" w:hAnsi="宋体" w:eastAsia="微软雅黑" w:cs="宋体"/>
          <w:kern w:val="2"/>
          <w:sz w:val="36"/>
          <w:szCs w:val="36"/>
          <w:highlight w:val="none"/>
          <w:lang w:val="en-US" w:eastAsia="zh-CN" w:bidi="ar-SA"/>
        </w:rPr>
        <w:t>I. General Provisions</w:t>
      </w:r>
      <w:bookmarkEnd w:id="14"/>
      <w:bookmarkEnd w:id="15"/>
      <w:bookmarkEnd w:id="16"/>
      <w:bookmarkEnd w:id="17"/>
      <w:bookmarkEnd w:id="18"/>
      <w:bookmarkEnd w:id="19"/>
    </w:p>
    <w:p w14:paraId="12582786">
      <w:pPr>
        <w:pStyle w:val="4"/>
        <w:spacing w:line="500" w:lineRule="exact"/>
        <w:ind w:firstLine="560" w:firstLineChars="200"/>
        <w:rPr>
          <w:rFonts w:hint="eastAsia" w:ascii="宋体" w:hAnsi="宋体" w:eastAsia="宋体" w:cs="宋体"/>
          <w:szCs w:val="28"/>
          <w:highlight w:val="none"/>
          <w:lang w:eastAsia="zh-CN"/>
        </w:rPr>
      </w:pPr>
      <w:bookmarkStart w:id="20" w:name="_Toc3754"/>
      <w:bookmarkStart w:id="21" w:name="_Toc32038"/>
      <w:bookmarkStart w:id="22" w:name="_Toc6153"/>
      <w:bookmarkStart w:id="23" w:name="_Toc6742"/>
      <w:bookmarkStart w:id="24" w:name="_Toc11090"/>
      <w:bookmarkStart w:id="25" w:name="_Toc358364319"/>
      <w:bookmarkStart w:id="26" w:name="_Toc380336725"/>
      <w:bookmarkStart w:id="27" w:name="_Toc9257"/>
      <w:bookmarkStart w:id="28" w:name="_Toc28660"/>
      <w:bookmarkStart w:id="29" w:name="_Toc10085"/>
      <w:bookmarkStart w:id="30" w:name="_Toc24287"/>
      <w:bookmarkStart w:id="31" w:name="_Toc19108"/>
      <w:bookmarkStart w:id="32" w:name="_Toc28159"/>
      <w:r>
        <w:rPr>
          <w:rFonts w:hint="eastAsia" w:ascii="Times New Roman" w:hAnsi="宋体" w:eastAsia="微软雅黑" w:cs="宋体"/>
          <w:b/>
          <w:kern w:val="2"/>
          <w:sz w:val="28"/>
          <w:szCs w:val="28"/>
          <w:highlight w:val="none"/>
          <w:lang w:val="en-US" w:eastAsia="zh-CN" w:bidi="ar-SA"/>
        </w:rPr>
        <w:t>1. Scope of Application</w:t>
      </w:r>
      <w:bookmarkEnd w:id="20"/>
      <w:bookmarkEnd w:id="21"/>
      <w:bookmarkEnd w:id="22"/>
      <w:bookmarkEnd w:id="23"/>
      <w:bookmarkEnd w:id="24"/>
      <w:bookmarkEnd w:id="25"/>
      <w:bookmarkEnd w:id="26"/>
      <w:bookmarkEnd w:id="27"/>
      <w:bookmarkEnd w:id="28"/>
      <w:bookmarkEnd w:id="29"/>
      <w:bookmarkEnd w:id="30"/>
      <w:bookmarkEnd w:id="31"/>
      <w:bookmarkEnd w:id="32"/>
    </w:p>
    <w:p w14:paraId="453EBDB1">
      <w:pPr>
        <w:widowControl/>
        <w:spacing w:line="500" w:lineRule="exact"/>
        <w:ind w:firstLine="480" w:firstLineChars="200"/>
        <w:rPr>
          <w:rFonts w:hint="eastAsia" w:ascii="宋体" w:hAnsi="宋体" w:eastAsia="宋体" w:cs="宋体"/>
          <w:kern w:val="0"/>
          <w:sz w:val="24"/>
          <w:szCs w:val="24"/>
          <w:highlight w:val="none"/>
          <w:lang w:eastAsia="zh-CN"/>
        </w:rPr>
      </w:pPr>
      <w:r>
        <w:rPr>
          <w:rFonts w:hint="eastAsia" w:ascii="Times New Roman" w:hAnsi="宋体" w:eastAsia="微软雅黑" w:cs="宋体"/>
          <w:kern w:val="0"/>
          <w:sz w:val="24"/>
          <w:szCs w:val="24"/>
          <w:highlight w:val="none"/>
          <w:lang w:val="en-US" w:eastAsia="zh-CN" w:bidi="ar-SA"/>
        </w:rPr>
        <w:t>1.1 This tender document applies to the entire process of this tender activity.</w:t>
      </w:r>
    </w:p>
    <w:p w14:paraId="596B5E44">
      <w:pPr>
        <w:widowControl/>
        <w:spacing w:line="500" w:lineRule="exact"/>
        <w:ind w:firstLine="480" w:firstLineChars="200"/>
        <w:rPr>
          <w:rFonts w:hint="eastAsia" w:ascii="宋体" w:hAnsi="宋体" w:eastAsia="宋体" w:cs="宋体"/>
          <w:kern w:val="0"/>
          <w:sz w:val="24"/>
          <w:szCs w:val="24"/>
          <w:highlight w:val="none"/>
          <w:lang w:eastAsia="zh-CN"/>
        </w:rPr>
      </w:pPr>
      <w:r>
        <w:rPr>
          <w:rFonts w:hint="eastAsia" w:ascii="Times New Roman" w:hAnsi="宋体" w:eastAsia="微软雅黑" w:cs="宋体"/>
          <w:kern w:val="0"/>
          <w:sz w:val="24"/>
          <w:szCs w:val="24"/>
          <w:highlight w:val="none"/>
          <w:lang w:val="en-US" w:eastAsia="zh-CN" w:bidi="ar-SA"/>
        </w:rPr>
        <w:t>1.2 All actions taken by the procuring entity, procurement agency, suppliers, and bid evaluation committee in this procurement process are governed by the Government Procurement Law of the People's Republic of China and its implementing regulations, as well as the rules and regulations of the Ministry of Finance and those applicable to the location of the procurement project; their rights are protected under these legal provisions.</w:t>
      </w:r>
    </w:p>
    <w:p w14:paraId="0CEE7D2E">
      <w:pPr>
        <w:pStyle w:val="4"/>
        <w:spacing w:line="500" w:lineRule="exact"/>
        <w:ind w:firstLine="560" w:firstLineChars="200"/>
        <w:rPr>
          <w:rFonts w:hint="eastAsia" w:ascii="宋体" w:hAnsi="宋体" w:eastAsia="宋体" w:cs="宋体"/>
          <w:szCs w:val="28"/>
          <w:highlight w:val="none"/>
          <w:lang w:eastAsia="zh-CN"/>
        </w:rPr>
      </w:pPr>
      <w:bookmarkStart w:id="33" w:name="_Toc17676"/>
      <w:bookmarkStart w:id="34" w:name="_Toc380336727"/>
      <w:bookmarkStart w:id="35" w:name="_Toc23781"/>
      <w:bookmarkStart w:id="36" w:name="_Toc358364321"/>
      <w:bookmarkStart w:id="37" w:name="_Toc20749"/>
      <w:bookmarkStart w:id="38" w:name="_Toc20057"/>
      <w:bookmarkStart w:id="39" w:name="_Toc17332"/>
      <w:bookmarkStart w:id="40" w:name="_Toc15534"/>
      <w:bookmarkStart w:id="41" w:name="_Toc7512"/>
      <w:bookmarkStart w:id="42" w:name="_Toc20554"/>
      <w:bookmarkStart w:id="43" w:name="_Toc15145"/>
      <w:bookmarkStart w:id="44" w:name="_Toc7326"/>
      <w:bookmarkStart w:id="45" w:name="_Toc45"/>
      <w:r>
        <w:rPr>
          <w:rFonts w:hint="eastAsia" w:ascii="Times New Roman" w:hAnsi="宋体" w:eastAsia="微软雅黑" w:cs="宋体"/>
          <w:b/>
          <w:kern w:val="2"/>
          <w:sz w:val="28"/>
          <w:szCs w:val="28"/>
          <w:highlight w:val="none"/>
          <w:lang w:val="en-US" w:eastAsia="zh-CN" w:bidi="ar-SA"/>
        </w:rPr>
        <w:t>2. Qu</w:t>
      </w:r>
      <w:bookmarkEnd w:id="33"/>
      <w:bookmarkEnd w:id="34"/>
      <w:bookmarkEnd w:id="35"/>
      <w:bookmarkEnd w:id="36"/>
      <w:r>
        <w:rPr>
          <w:rFonts w:hint="eastAsia" w:ascii="Times New Roman" w:hAnsi="宋体" w:eastAsia="微软雅黑" w:cs="宋体"/>
          <w:b/>
          <w:kern w:val="2"/>
          <w:sz w:val="28"/>
          <w:szCs w:val="28"/>
          <w:highlight w:val="none"/>
          <w:lang w:val="en-US" w:eastAsia="zh-CN" w:bidi="ar-SA"/>
        </w:rPr>
        <w:t>alified Suppliers</w:t>
      </w:r>
      <w:bookmarkEnd w:id="37"/>
      <w:bookmarkEnd w:id="38"/>
      <w:bookmarkEnd w:id="39"/>
      <w:bookmarkEnd w:id="40"/>
      <w:bookmarkEnd w:id="41"/>
      <w:bookmarkEnd w:id="42"/>
      <w:bookmarkEnd w:id="43"/>
      <w:bookmarkEnd w:id="44"/>
      <w:bookmarkEnd w:id="45"/>
    </w:p>
    <w:p w14:paraId="7B8014C3">
      <w:pPr>
        <w:tabs>
          <w:tab w:val="left" w:pos="0"/>
        </w:tabs>
        <w:spacing w:line="500" w:lineRule="exact"/>
        <w:ind w:firstLine="420" w:firstLineChars="175"/>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2.1 Suppliers shall comply with applicable national laws, regulations, and rules, and meet the requirements stipulated in the Government Procurement Law of the People's Republic of China and this document:</w:t>
      </w:r>
    </w:p>
    <w:p w14:paraId="14B76E65">
      <w:pPr>
        <w:numPr>
          <w:ilvl w:val="0"/>
          <w:numId w:val="2"/>
        </w:numPr>
        <w:spacing w:line="500" w:lineRule="exact"/>
        <w:ind w:left="0" w:leftChars="0" w:firstLine="400" w:firstLineChars="0"/>
        <w:jc w:val="left"/>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Having the capacity to independently assume civil liability;</w:t>
      </w:r>
    </w:p>
    <w:p w14:paraId="6A51B931">
      <w:pPr>
        <w:numPr>
          <w:ilvl w:val="0"/>
          <w:numId w:val="2"/>
        </w:numPr>
        <w:spacing w:line="500" w:lineRule="exact"/>
        <w:ind w:left="0" w:leftChars="0" w:firstLine="400" w:firstLineChars="0"/>
        <w:jc w:val="left"/>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Possesses a strong business reputation and a sound financial accounting system;</w:t>
      </w:r>
    </w:p>
    <w:p w14:paraId="5B0E4B5C">
      <w:pPr>
        <w:numPr>
          <w:ilvl w:val="0"/>
          <w:numId w:val="2"/>
        </w:numPr>
        <w:spacing w:line="500" w:lineRule="exact"/>
        <w:ind w:left="0" w:leftChars="0" w:firstLine="400" w:firstLineChars="0"/>
        <w:jc w:val="left"/>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Possess the necessary equipment and professional technical capabilities required to fulfill the contract;</w:t>
      </w:r>
    </w:p>
    <w:p w14:paraId="456A8277">
      <w:pPr>
        <w:numPr>
          <w:ilvl w:val="0"/>
          <w:numId w:val="2"/>
        </w:numPr>
        <w:spacing w:line="500" w:lineRule="exact"/>
        <w:ind w:left="0" w:leftChars="0" w:firstLine="400" w:firstLineChars="0"/>
        <w:jc w:val="left"/>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Has a good record of fulfilling tax obligations and contributing to social security funds in accordance with the law;</w:t>
      </w:r>
    </w:p>
    <w:p w14:paraId="1B93D2B1">
      <w:pPr>
        <w:numPr>
          <w:ilvl w:val="0"/>
          <w:numId w:val="2"/>
        </w:numPr>
        <w:spacing w:line="500" w:lineRule="exact"/>
        <w:ind w:left="0" w:leftChars="0" w:firstLine="400" w:firstLineChars="0"/>
        <w:jc w:val="left"/>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Within three years prior to participating in this procurement activity, there shall be no record of major violations in business operations.</w:t>
      </w:r>
    </w:p>
    <w:p w14:paraId="0ACEE0C9">
      <w:pPr>
        <w:numPr>
          <w:ilvl w:val="0"/>
          <w:numId w:val="2"/>
        </w:numPr>
        <w:spacing w:line="500" w:lineRule="exact"/>
        <w:ind w:left="0" w:leftChars="0" w:firstLine="400" w:firstLineChars="0"/>
        <w:jc w:val="left"/>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Other conditions stipulated by laws and administrative regulations.</w:t>
      </w:r>
    </w:p>
    <w:p w14:paraId="58613E58">
      <w:pPr>
        <w:tabs>
          <w:tab w:val="left" w:pos="0"/>
        </w:tabs>
        <w:spacing w:line="500" w:lineRule="exact"/>
        <w:ind w:firstLine="420" w:firstLineChars="175"/>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2.2 The supplier shall be independent of the procuring entity and shall not have any direct or indirect affiliation with the consulting firm or its affiliated agencies commissioned by the procuring entity to design, prepare technical specifications, or other documents for the procurement of services under this tender.</w:t>
      </w:r>
    </w:p>
    <w:p w14:paraId="3453C473">
      <w:pPr>
        <w:tabs>
          <w:tab w:val="left" w:pos="0"/>
        </w:tabs>
        <w:spacing w:line="500" w:lineRule="exact"/>
        <w:ind w:left="420" w:leftChars="200"/>
        <w:jc w:val="left"/>
        <w:rPr>
          <w:rFonts w:hint="eastAsia" w:ascii="宋体" w:hAnsi="宋体" w:eastAsia="宋体" w:cs="宋体"/>
          <w:kern w:val="0"/>
          <w:sz w:val="24"/>
          <w:szCs w:val="24"/>
          <w:highlight w:val="none"/>
          <w:lang w:eastAsia="zh-CN"/>
        </w:rPr>
      </w:pPr>
      <w:r>
        <w:rPr>
          <w:rFonts w:hint="eastAsia" w:ascii="Times New Roman" w:hAnsi="宋体" w:eastAsia="微软雅黑" w:cs="宋体"/>
          <w:kern w:val="0"/>
          <w:sz w:val="24"/>
          <w:szCs w:val="24"/>
          <w:highlight w:val="none"/>
          <w:lang w:val="en-US" w:eastAsia="zh-CN" w:bidi="ar-SA"/>
        </w:rPr>
        <w:t>2.3 If a supplier falls under any of the following circumstances, its tender documents shall be deemed invalid.</w:t>
      </w:r>
    </w:p>
    <w:p w14:paraId="1BCAE1BA">
      <w:pPr>
        <w:tabs>
          <w:tab w:val="left" w:pos="0"/>
        </w:tabs>
        <w:spacing w:line="500" w:lineRule="exact"/>
        <w:ind w:firstLine="480" w:firstLineChars="200"/>
        <w:rPr>
          <w:rFonts w:hint="eastAsia" w:ascii="宋体" w:hAnsi="宋体" w:eastAsia="宋体" w:cs="宋体"/>
          <w:kern w:val="0"/>
          <w:sz w:val="24"/>
          <w:szCs w:val="24"/>
          <w:highlight w:val="none"/>
          <w:lang w:eastAsia="zh-CN"/>
        </w:rPr>
      </w:pPr>
      <w:r>
        <w:rPr>
          <w:rFonts w:hint="eastAsia" w:ascii="Times New Roman" w:hAnsi="宋体" w:eastAsia="微软雅黑" w:cs="宋体"/>
          <w:kern w:val="0"/>
          <w:sz w:val="24"/>
          <w:szCs w:val="24"/>
          <w:highlight w:val="none"/>
          <w:lang w:val="en-US" w:eastAsia="zh-CN" w:bidi="ar-SA"/>
        </w:rPr>
        <w:t>(1) There is a subordinate relationship or other conflict of interest with the procuring entity's procurement agency;</w:t>
      </w:r>
    </w:p>
    <w:p w14:paraId="58F39409">
      <w:pPr>
        <w:tabs>
          <w:tab w:val="left" w:pos="0"/>
        </w:tabs>
        <w:spacing w:line="500" w:lineRule="exact"/>
        <w:ind w:firstLine="480" w:firstLineChars="200"/>
        <w:rPr>
          <w:rFonts w:hint="eastAsia" w:ascii="宋体" w:hAnsi="宋体" w:eastAsia="宋体" w:cs="宋体"/>
          <w:kern w:val="0"/>
          <w:sz w:val="24"/>
          <w:szCs w:val="24"/>
          <w:highlight w:val="none"/>
          <w:lang w:eastAsia="zh-CN"/>
        </w:rPr>
      </w:pPr>
      <w:r>
        <w:rPr>
          <w:rFonts w:hint="eastAsia" w:ascii="Times New Roman" w:hAnsi="宋体" w:eastAsia="微软雅黑" w:cs="宋体"/>
          <w:kern w:val="0"/>
          <w:sz w:val="24"/>
          <w:szCs w:val="24"/>
          <w:highlight w:val="none"/>
          <w:lang w:val="en-US" w:eastAsia="zh-CN" w:bidi="ar-SA"/>
        </w:rPr>
        <w:t>(2) Having the same legal representative (or responsible person) as other suppliers participating in the same contract, or maintaining a direct controlling or management relationship with such suppliers;</w:t>
      </w:r>
    </w:p>
    <w:p w14:paraId="48569699">
      <w:pPr>
        <w:tabs>
          <w:tab w:val="left" w:pos="0"/>
        </w:tabs>
        <w:spacing w:line="500" w:lineRule="exact"/>
        <w:ind w:firstLine="480" w:firstLineChars="200"/>
        <w:rPr>
          <w:rFonts w:hint="eastAsia" w:ascii="宋体" w:hAnsi="宋体" w:eastAsia="宋体" w:cs="宋体"/>
          <w:kern w:val="0"/>
          <w:sz w:val="24"/>
          <w:szCs w:val="24"/>
          <w:highlight w:val="none"/>
          <w:lang w:eastAsia="zh-CN"/>
        </w:rPr>
      </w:pPr>
      <w:r>
        <w:rPr>
          <w:rFonts w:hint="eastAsia" w:ascii="Times New Roman" w:hAnsi="宋体" w:eastAsia="微软雅黑" w:cs="宋体"/>
          <w:kern w:val="0"/>
          <w:sz w:val="24"/>
          <w:szCs w:val="24"/>
          <w:highlight w:val="none"/>
          <w:lang w:val="en-US" w:eastAsia="zh-CN" w:bidi="ar-SA"/>
        </w:rPr>
        <w:t>(3) If a supplier has received criminal penalties, orders to suspend production or business operations, revocation of licenses or permits, substantial fines, or other administrative penalties, they shall be prohibited from participating in government procurement activities for a specified period due to illegal operations during the three years preceding such participation (they may resume participation upon expiration of the prohibition period).</w:t>
      </w:r>
    </w:p>
    <w:p w14:paraId="0963D8C5">
      <w:pPr>
        <w:tabs>
          <w:tab w:val="left" w:pos="0"/>
        </w:tabs>
        <w:spacing w:line="500" w:lineRule="exact"/>
        <w:ind w:firstLine="480" w:firstLineChars="200"/>
        <w:rPr>
          <w:rFonts w:hint="eastAsia" w:ascii="宋体" w:hAnsi="宋体" w:eastAsia="宋体" w:cs="宋体"/>
          <w:color w:val="000000"/>
          <w:kern w:val="0"/>
          <w:sz w:val="24"/>
          <w:szCs w:val="24"/>
          <w:highlight w:val="none"/>
          <w:lang w:eastAsia="zh-CN"/>
        </w:rPr>
      </w:pPr>
      <w:r>
        <w:rPr>
          <w:rFonts w:hint="eastAsia" w:ascii="Times New Roman" w:hAnsi="宋体" w:eastAsia="微软雅黑" w:cs="宋体"/>
          <w:color w:val="000000"/>
          <w:kern w:val="0"/>
          <w:sz w:val="24"/>
          <w:szCs w:val="24"/>
          <w:highlight w:val="none"/>
          <w:lang w:val="en-US" w:eastAsia="zh-CN" w:bidi="ar-SA"/>
        </w:rPr>
        <w:t>(4) Being listed as a dishonest judgment debtor, a party involved in major tax violation cases, or on the record of serious illegal and dishonest behaviors in government procurement before the bid submission deadline (excluding cases where the penalty period has expired) (based on query results from the China Credit Network (www.creditchina.gov.cn) and the China Government Procurement Network (www.ccgp.gov.cn)).</w:t>
      </w:r>
    </w:p>
    <w:p w14:paraId="163627B4">
      <w:pPr>
        <w:pStyle w:val="4"/>
        <w:spacing w:line="500" w:lineRule="exact"/>
        <w:ind w:firstLine="560" w:firstLineChars="200"/>
        <w:rPr>
          <w:rFonts w:hint="eastAsia" w:ascii="宋体" w:hAnsi="宋体" w:eastAsia="宋体" w:cs="宋体"/>
          <w:szCs w:val="28"/>
          <w:highlight w:val="none"/>
          <w:lang w:eastAsia="zh-CN"/>
        </w:rPr>
      </w:pPr>
      <w:bookmarkStart w:id="46" w:name="_Toc19"/>
      <w:bookmarkStart w:id="47" w:name="_Toc5368"/>
      <w:bookmarkStart w:id="48" w:name="_Toc32726"/>
      <w:bookmarkStart w:id="49" w:name="_Toc380336728"/>
      <w:bookmarkStart w:id="50" w:name="_Toc358364322"/>
      <w:bookmarkStart w:id="51" w:name="_Toc21898"/>
      <w:bookmarkStart w:id="52" w:name="_Toc9345"/>
      <w:bookmarkStart w:id="53" w:name="_Toc26003"/>
      <w:bookmarkStart w:id="54" w:name="_Toc4659"/>
      <w:bookmarkStart w:id="55" w:name="_Toc19413"/>
      <w:bookmarkStart w:id="56" w:name="_Toc22444"/>
      <w:bookmarkStart w:id="57" w:name="_Toc540"/>
      <w:bookmarkStart w:id="58" w:name="_Toc6337"/>
      <w:r>
        <w:rPr>
          <w:rFonts w:hint="eastAsia" w:ascii="Times New Roman" w:hAnsi="宋体" w:eastAsia="微软雅黑" w:cs="宋体"/>
          <w:b/>
          <w:kern w:val="2"/>
          <w:sz w:val="28"/>
          <w:szCs w:val="28"/>
          <w:highlight w:val="none"/>
          <w:lang w:val="en-US" w:eastAsia="zh-CN" w:bidi="ar-SA"/>
        </w:rPr>
        <w:t>3. Fees</w:t>
      </w:r>
      <w:bookmarkEnd w:id="46"/>
      <w:bookmarkEnd w:id="47"/>
      <w:bookmarkEnd w:id="48"/>
      <w:bookmarkEnd w:id="49"/>
      <w:bookmarkEnd w:id="50"/>
      <w:bookmarkEnd w:id="51"/>
      <w:bookmarkEnd w:id="52"/>
      <w:bookmarkEnd w:id="53"/>
      <w:bookmarkEnd w:id="54"/>
      <w:bookmarkEnd w:id="55"/>
      <w:bookmarkEnd w:id="56"/>
      <w:bookmarkEnd w:id="57"/>
      <w:bookmarkEnd w:id="58"/>
    </w:p>
    <w:p w14:paraId="6C30FB79">
      <w:pPr>
        <w:widowControl/>
        <w:spacing w:line="500" w:lineRule="exact"/>
        <w:ind w:firstLine="480" w:firstLineChars="200"/>
        <w:jc w:val="left"/>
        <w:rPr>
          <w:rFonts w:hint="eastAsia" w:ascii="宋体" w:hAnsi="宋体" w:eastAsia="宋体" w:cs="宋体"/>
          <w:sz w:val="24"/>
          <w:szCs w:val="24"/>
          <w:highlight w:val="none"/>
          <w:lang w:eastAsia="zh-CN"/>
        </w:rPr>
      </w:pPr>
      <w:bookmarkStart w:id="59" w:name="_Toc17817"/>
      <w:bookmarkStart w:id="60" w:name="_Toc5801"/>
      <w:r>
        <w:rPr>
          <w:rFonts w:hint="eastAsia" w:ascii="Times New Roman" w:hAnsi="宋体" w:eastAsia="微软雅黑" w:cs="宋体"/>
          <w:kern w:val="2"/>
          <w:sz w:val="24"/>
          <w:szCs w:val="24"/>
          <w:highlight w:val="none"/>
          <w:lang w:val="en-US" w:eastAsia="zh-CN" w:bidi="ar-SA"/>
        </w:rPr>
        <w:t>Suppliers must obtain the tender documents from the agency. Any unauthorized transfer or duplication of the tender documents by suppliers shall be deemed invalid. The tender documents are for use exclusively in this public tender.</w:t>
      </w:r>
      <w:bookmarkEnd w:id="59"/>
      <w:bookmarkEnd w:id="60"/>
    </w:p>
    <w:p w14:paraId="20A28D20">
      <w:pPr>
        <w:spacing w:line="360" w:lineRule="auto"/>
        <w:ind w:firstLine="480" w:firstLineChars="200"/>
        <w:jc w:val="left"/>
        <w:rPr>
          <w:rFonts w:hint="eastAsia" w:ascii="宋体" w:hAnsi="宋体" w:eastAsia="宋体" w:cs="宋体"/>
          <w:sz w:val="24"/>
          <w:highlight w:val="none"/>
          <w:lang w:eastAsia="zh-CN"/>
        </w:rPr>
      </w:pPr>
      <w:r>
        <w:rPr>
          <w:rFonts w:hint="eastAsia" w:ascii="Times New Roman" w:hAnsi="宋体" w:eastAsia="微软雅黑" w:cs="宋体"/>
          <w:kern w:val="2"/>
          <w:sz w:val="24"/>
          <w:szCs w:val="22"/>
          <w:highlight w:val="none"/>
          <w:lang w:val="en-US" w:eastAsia="zh-CN" w:bidi="ar-SA"/>
        </w:rPr>
        <w:t>Regardless of the bidding process or outcome, the supplier shall bear all costs associated with the bidding.</w:t>
      </w:r>
    </w:p>
    <w:p w14:paraId="31FC4E3D">
      <w:pPr>
        <w:pStyle w:val="4"/>
        <w:spacing w:line="500" w:lineRule="exact"/>
        <w:ind w:firstLine="560" w:firstLineChars="200"/>
        <w:rPr>
          <w:rFonts w:hint="eastAsia" w:ascii="宋体" w:hAnsi="宋体" w:eastAsia="宋体" w:cs="宋体"/>
          <w:szCs w:val="28"/>
          <w:highlight w:val="none"/>
          <w:lang w:eastAsia="zh-CN"/>
        </w:rPr>
      </w:pPr>
      <w:bookmarkStart w:id="61" w:name="_Toc31143"/>
      <w:bookmarkStart w:id="62" w:name="_Toc12069"/>
      <w:bookmarkStart w:id="63" w:name="_Toc28038"/>
      <w:bookmarkStart w:id="64" w:name="_Toc14030"/>
      <w:bookmarkStart w:id="65" w:name="_Toc6084"/>
      <w:bookmarkStart w:id="66" w:name="_Toc15417"/>
      <w:bookmarkStart w:id="67" w:name="_Toc14372"/>
      <w:bookmarkStart w:id="68" w:name="_Toc9260"/>
      <w:bookmarkStart w:id="69" w:name="_Toc6707"/>
      <w:r>
        <w:rPr>
          <w:rFonts w:hint="eastAsia" w:ascii="Times New Roman" w:hAnsi="宋体" w:eastAsia="微软雅黑" w:cs="宋体"/>
          <w:b/>
          <w:kern w:val="2"/>
          <w:sz w:val="28"/>
          <w:szCs w:val="28"/>
          <w:highlight w:val="none"/>
          <w:lang w:val="en-US" w:eastAsia="zh-CN" w:bidi="ar-SA"/>
        </w:rPr>
        <w:t>4. Substantial Deviation</w:t>
      </w:r>
      <w:bookmarkEnd w:id="61"/>
      <w:bookmarkEnd w:id="62"/>
      <w:bookmarkEnd w:id="63"/>
      <w:bookmarkEnd w:id="64"/>
      <w:bookmarkEnd w:id="65"/>
      <w:bookmarkEnd w:id="66"/>
      <w:bookmarkEnd w:id="67"/>
      <w:bookmarkEnd w:id="68"/>
      <w:bookmarkEnd w:id="69"/>
    </w:p>
    <w:p w14:paraId="5AEE2BBC">
      <w:pPr>
        <w:widowControl/>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The tender documents must provide responses that meet or comply with the substantive requirements and conditions specified in the bidding documents; otherwise, the supplier's bid shall be invalid.</w:t>
      </w:r>
    </w:p>
    <w:p w14:paraId="03C877A6">
      <w:pPr>
        <w:widowControl/>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A deviation refers to a tender document that fails to comply with the requirements and conditions specified in the bidding documents, and is categorized as either substantive or non-substantive.</w:t>
      </w:r>
    </w:p>
    <w:p w14:paraId="0AC43127">
      <w:pPr>
        <w:pStyle w:val="4"/>
        <w:spacing w:line="500" w:lineRule="exact"/>
        <w:ind w:firstLine="560" w:firstLineChars="200"/>
        <w:rPr>
          <w:rFonts w:hint="eastAsia" w:ascii="宋体" w:hAnsi="宋体" w:eastAsia="宋体" w:cs="宋体"/>
          <w:szCs w:val="28"/>
          <w:highlight w:val="none"/>
          <w:lang w:eastAsia="zh-CN"/>
        </w:rPr>
      </w:pPr>
      <w:bookmarkStart w:id="70" w:name="_Toc13780"/>
      <w:bookmarkStart w:id="71" w:name="_Toc18993"/>
      <w:bookmarkStart w:id="72" w:name="_Toc24283"/>
      <w:bookmarkStart w:id="73" w:name="_Toc531"/>
      <w:bookmarkStart w:id="74" w:name="_Toc21415"/>
      <w:bookmarkStart w:id="75" w:name="_Toc31295"/>
      <w:bookmarkStart w:id="76" w:name="_Toc16643"/>
      <w:bookmarkStart w:id="77" w:name="_Toc217446047"/>
      <w:bookmarkStart w:id="78" w:name="_Toc13528"/>
      <w:bookmarkStart w:id="79" w:name="_Toc7641"/>
      <w:r>
        <w:rPr>
          <w:rFonts w:hint="eastAsia" w:ascii="Times New Roman" w:hAnsi="宋体" w:eastAsia="微软雅黑" w:cs="宋体"/>
          <w:b/>
          <w:kern w:val="2"/>
          <w:sz w:val="28"/>
          <w:szCs w:val="28"/>
          <w:highlight w:val="none"/>
          <w:lang w:val="en-US" w:eastAsia="zh-CN" w:bidi="ar-SA"/>
        </w:rPr>
        <w:t>5. Int</w:t>
      </w:r>
      <w:bookmarkEnd w:id="70"/>
      <w:bookmarkEnd w:id="71"/>
      <w:bookmarkEnd w:id="72"/>
      <w:bookmarkEnd w:id="73"/>
      <w:bookmarkEnd w:id="74"/>
      <w:bookmarkEnd w:id="75"/>
      <w:bookmarkEnd w:id="76"/>
      <w:bookmarkEnd w:id="77"/>
      <w:bookmarkEnd w:id="78"/>
      <w:bookmarkEnd w:id="79"/>
      <w:r>
        <w:rPr>
          <w:rFonts w:hint="eastAsia" w:ascii="Times New Roman" w:hAnsi="宋体" w:eastAsia="微软雅黑" w:cs="宋体"/>
          <w:b/>
          <w:kern w:val="2"/>
          <w:sz w:val="28"/>
          <w:szCs w:val="28"/>
          <w:highlight w:val="none"/>
          <w:lang w:val="en-US" w:eastAsia="zh-CN" w:bidi="ar-SA"/>
        </w:rPr>
        <w:t>ellectual Property and Confidentiality</w:t>
      </w:r>
    </w:p>
    <w:p w14:paraId="6DBCF19E">
      <w:pPr>
        <w:pStyle w:val="12"/>
        <w:spacing w:line="360" w:lineRule="auto"/>
        <w:ind w:left="0" w:leftChars="0"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The supplier shall ensure that no legal or economic disputes arising from third parties alleging infringement of its patent rights, trademark rights, or other intellectual property rights occur regarding any products or services used in this project (including partial usage). Should such disputes arise, the supplier shall bear all associated liabilities.</w:t>
      </w:r>
    </w:p>
    <w:p w14:paraId="5B68DD9A">
      <w:pPr>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Suppliers wishing to utilize their proprietary intellectual property during project implementation must declare this in their tender documents and submit relevant intellectual property certification. Upon utilization, suppliers shall provide technical documentation such as development interfaces and manuals, along with a commitment to offer indefinite technical support, while the procuring entity retains perpetual usage rights.</w:t>
      </w:r>
    </w:p>
    <w:p w14:paraId="58DB6967">
      <w:pPr>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If intellectual property rights not owned by the supplier are utilized, the bid price must include all costs associated with legally obtaining such rights.</w:t>
      </w:r>
    </w:p>
    <w:p w14:paraId="57216755">
      <w:pPr>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Intellectual Property Ownership: Shared by Both Parties</w:t>
      </w:r>
    </w:p>
    <w:p w14:paraId="7640F09C">
      <w:pPr>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Tort Liability: The supplier bears full responsibility.</w:t>
      </w:r>
    </w:p>
    <w:p w14:paraId="2EF60066">
      <w:pPr>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Confidentiality obligation: Maintain confidentiality for one year after the performance of the contract and its termination.</w:t>
      </w:r>
    </w:p>
    <w:p w14:paraId="3085BED8">
      <w:pPr>
        <w:pStyle w:val="28"/>
        <w:rPr>
          <w:highlight w:val="none"/>
        </w:rPr>
      </w:pPr>
    </w:p>
    <w:p w14:paraId="2E11CE93">
      <w:pPr>
        <w:pStyle w:val="28"/>
        <w:rPr>
          <w:highlight w:val="none"/>
        </w:rPr>
      </w:pPr>
    </w:p>
    <w:p w14:paraId="3C667A16">
      <w:pPr>
        <w:spacing w:line="360" w:lineRule="auto"/>
        <w:jc w:val="left"/>
        <w:rPr>
          <w:rFonts w:ascii="宋体" w:hAnsi="宋体" w:cs="宋体"/>
          <w:kern w:val="0"/>
          <w:sz w:val="24"/>
          <w:szCs w:val="24"/>
          <w:highlight w:val="none"/>
        </w:rPr>
      </w:pPr>
    </w:p>
    <w:p w14:paraId="5C6CAFE7">
      <w:pPr>
        <w:ind w:firstLine="420" w:firstLineChars="200"/>
        <w:rPr>
          <w:rFonts w:ascii="宋体" w:hAnsi="宋体" w:cs="宋体"/>
          <w:highlight w:val="none"/>
        </w:rPr>
      </w:pPr>
      <w:r>
        <w:rPr>
          <w:rFonts w:hint="eastAsia" w:ascii="宋体" w:hAnsi="宋体" w:cs="宋体"/>
          <w:highlight w:val="none"/>
        </w:rPr>
        <w:br w:type="page"/>
      </w:r>
    </w:p>
    <w:p w14:paraId="7310152A">
      <w:pPr>
        <w:numPr>
          <w:ilvl w:val="0"/>
          <w:numId w:val="0"/>
        </w:numPr>
        <w:jc w:val="center"/>
        <w:outlineLvl w:val="1"/>
        <w:rPr>
          <w:rFonts w:hint="eastAsia" w:ascii="宋体" w:hAnsi="宋体" w:eastAsia="宋体" w:cs="宋体"/>
          <w:sz w:val="36"/>
          <w:szCs w:val="28"/>
          <w:highlight w:val="none"/>
          <w:lang w:eastAsia="zh-CN"/>
        </w:rPr>
      </w:pPr>
      <w:bookmarkStart w:id="80" w:name="_Toc7144"/>
      <w:bookmarkStart w:id="81" w:name="_Toc4794"/>
      <w:bookmarkStart w:id="82" w:name="_Toc6952"/>
      <w:bookmarkStart w:id="83" w:name="_Toc2233"/>
      <w:bookmarkStart w:id="84" w:name="_Toc32529"/>
      <w:bookmarkStart w:id="85" w:name="_Toc2999"/>
      <w:r>
        <w:rPr>
          <w:rFonts w:hint="eastAsia" w:ascii="Times New Roman" w:hAnsi="宋体" w:eastAsia="微软雅黑" w:cs="宋体"/>
          <w:kern w:val="2"/>
          <w:sz w:val="36"/>
          <w:szCs w:val="28"/>
          <w:highlight w:val="none"/>
          <w:lang w:val="en-US" w:eastAsia="zh-CN" w:bidi="ar-SA"/>
        </w:rPr>
        <w:t>II. Tender Documents</w:t>
      </w:r>
      <w:bookmarkEnd w:id="80"/>
      <w:bookmarkEnd w:id="81"/>
      <w:bookmarkEnd w:id="82"/>
      <w:bookmarkEnd w:id="83"/>
      <w:bookmarkEnd w:id="84"/>
      <w:bookmarkEnd w:id="85"/>
    </w:p>
    <w:p w14:paraId="6916EA2A">
      <w:pPr>
        <w:pStyle w:val="4"/>
        <w:keepNext w:val="0"/>
        <w:keepLines w:val="0"/>
        <w:spacing w:line="500" w:lineRule="exact"/>
        <w:ind w:firstLine="560" w:firstLineChars="200"/>
        <w:rPr>
          <w:rFonts w:hint="eastAsia" w:ascii="宋体" w:hAnsi="宋体" w:eastAsia="宋体" w:cs="宋体"/>
          <w:szCs w:val="28"/>
          <w:highlight w:val="none"/>
          <w:lang w:eastAsia="zh-CN"/>
        </w:rPr>
      </w:pPr>
      <w:bookmarkStart w:id="86" w:name="_Toc25968"/>
      <w:bookmarkStart w:id="87" w:name="_Toc2258"/>
      <w:bookmarkStart w:id="88" w:name="_Toc13558"/>
      <w:bookmarkStart w:id="89" w:name="_Toc27133"/>
      <w:bookmarkStart w:id="90" w:name="_Toc4077"/>
      <w:bookmarkStart w:id="91" w:name="_Toc550"/>
      <w:bookmarkStart w:id="92" w:name="_Toc3989"/>
      <w:bookmarkStart w:id="93" w:name="_Toc16804"/>
      <w:bookmarkStart w:id="94" w:name="_Toc18933"/>
      <w:r>
        <w:rPr>
          <w:rFonts w:hint="eastAsia" w:ascii="Times New Roman" w:hAnsi="宋体" w:eastAsia="微软雅黑" w:cs="宋体"/>
          <w:b/>
          <w:kern w:val="2"/>
          <w:sz w:val="28"/>
          <w:szCs w:val="28"/>
          <w:highlight w:val="none"/>
          <w:lang w:val="en-US" w:eastAsia="zh-CN" w:bidi="ar-SA"/>
        </w:rPr>
        <w:t>1. Composition of the Tender Documents</w:t>
      </w:r>
      <w:bookmarkEnd w:id="86"/>
      <w:bookmarkEnd w:id="87"/>
      <w:bookmarkEnd w:id="88"/>
      <w:bookmarkEnd w:id="89"/>
      <w:bookmarkEnd w:id="90"/>
      <w:bookmarkEnd w:id="91"/>
      <w:bookmarkEnd w:id="92"/>
      <w:bookmarkEnd w:id="93"/>
      <w:bookmarkEnd w:id="94"/>
    </w:p>
    <w:p w14:paraId="6E04DD96">
      <w:pPr>
        <w:tabs>
          <w:tab w:val="left" w:pos="0"/>
        </w:tabs>
        <w:adjustRightInd w:val="0"/>
        <w:snapToGrid w:val="0"/>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1.1 The tender documents serve as the basis for suppliers to prepare and submit their bids, and constitute a key criterion for bid evaluation, possessing quasi-legally binding characteristics. This tender document includes the following contents:</w:t>
      </w:r>
    </w:p>
    <w:p w14:paraId="03114C67">
      <w:pPr>
        <w:numPr>
          <w:ilvl w:val="0"/>
          <w:numId w:val="3"/>
        </w:numPr>
        <w:tabs>
          <w:tab w:val="left" w:pos="0"/>
        </w:tabs>
        <w:adjustRightInd w:val="0"/>
        <w:snapToGrid w:val="0"/>
        <w:spacing w:line="500" w:lineRule="exact"/>
        <w:ind w:left="0" w:leftChars="0" w:firstLine="420" w:firstLineChars="0"/>
        <w:jc w:val="left"/>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Public Tender Announcement;</w:t>
      </w:r>
    </w:p>
    <w:p w14:paraId="766A506F">
      <w:pPr>
        <w:numPr>
          <w:ilvl w:val="0"/>
          <w:numId w:val="3"/>
        </w:numPr>
        <w:tabs>
          <w:tab w:val="left" w:pos="0"/>
        </w:tabs>
        <w:adjustRightInd w:val="0"/>
        <w:snapToGrid w:val="0"/>
        <w:spacing w:line="500" w:lineRule="exact"/>
        <w:ind w:left="0" w:leftChars="0" w:firstLine="420" w:firstLineChars="0"/>
        <w:jc w:val="left"/>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See the attached table for supplier instructions.</w:t>
      </w:r>
    </w:p>
    <w:p w14:paraId="5285685B">
      <w:pPr>
        <w:numPr>
          <w:ilvl w:val="0"/>
          <w:numId w:val="3"/>
        </w:numPr>
        <w:tabs>
          <w:tab w:val="left" w:pos="0"/>
        </w:tabs>
        <w:adjustRightInd w:val="0"/>
        <w:snapToGrid w:val="0"/>
        <w:spacing w:line="500" w:lineRule="exact"/>
        <w:ind w:left="0" w:leftChars="0" w:firstLine="420" w:firstLineChars="0"/>
        <w:jc w:val="left"/>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Supplier Guidelines:</w:t>
      </w:r>
    </w:p>
    <w:p w14:paraId="4BB4CB65">
      <w:pPr>
        <w:numPr>
          <w:ilvl w:val="0"/>
          <w:numId w:val="3"/>
        </w:numPr>
        <w:tabs>
          <w:tab w:val="left" w:pos="0"/>
        </w:tabs>
        <w:adjustRightInd w:val="0"/>
        <w:snapToGrid w:val="0"/>
        <w:spacing w:line="500" w:lineRule="exact"/>
        <w:ind w:left="0" w:leftChars="0" w:firstLine="420" w:firstLineChars="0"/>
        <w:jc w:val="left"/>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Bid evaluation methods;</w:t>
      </w:r>
    </w:p>
    <w:p w14:paraId="537F8B04">
      <w:pPr>
        <w:numPr>
          <w:ilvl w:val="0"/>
          <w:numId w:val="3"/>
        </w:numPr>
        <w:tabs>
          <w:tab w:val="left" w:pos="0"/>
        </w:tabs>
        <w:adjustRightInd w:val="0"/>
        <w:snapToGrid w:val="0"/>
        <w:spacing w:line="500" w:lineRule="exact"/>
        <w:ind w:left="0" w:leftChars="0" w:firstLine="420" w:firstLineChars="0"/>
        <w:jc w:val="left"/>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Procurement Requirements;</w:t>
      </w:r>
    </w:p>
    <w:p w14:paraId="7423B017">
      <w:pPr>
        <w:numPr>
          <w:ilvl w:val="0"/>
          <w:numId w:val="3"/>
        </w:numPr>
        <w:tabs>
          <w:tab w:val="left" w:pos="0"/>
        </w:tabs>
        <w:adjustRightInd w:val="0"/>
        <w:snapToGrid w:val="0"/>
        <w:spacing w:line="500" w:lineRule="exact"/>
        <w:ind w:left="0" w:leftChars="0" w:firstLine="420" w:firstLineChars="0"/>
        <w:jc w:val="left"/>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terms of the contract ；</w:t>
      </w:r>
    </w:p>
    <w:p w14:paraId="7AF35588">
      <w:pPr>
        <w:numPr>
          <w:ilvl w:val="0"/>
          <w:numId w:val="3"/>
        </w:numPr>
        <w:tabs>
          <w:tab w:val="left" w:pos="0"/>
        </w:tabs>
        <w:adjustRightInd w:val="0"/>
        <w:snapToGrid w:val="0"/>
        <w:spacing w:line="500" w:lineRule="exact"/>
        <w:ind w:left="0" w:leftChars="0" w:firstLine="420" w:firstLineChars="0"/>
        <w:jc w:val="left"/>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Tender Document Format</w:t>
      </w:r>
    </w:p>
    <w:p w14:paraId="1854C630">
      <w:pPr>
        <w:tabs>
          <w:tab w:val="left" w:pos="0"/>
        </w:tabs>
        <w:adjustRightInd w:val="0"/>
        <w:snapToGrid w:val="0"/>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1.2 Suppliers shall carefully review all clauses, items, formats, technical specifications, parameters, and requirements specified in the tender documents. Failure to submit all required materials as stipulated or to provide substantive responses to all aspects of the tender documents will result in rejection or invalidation of the bid.</w:t>
      </w:r>
    </w:p>
    <w:p w14:paraId="15B40BD8">
      <w:pPr>
        <w:pStyle w:val="4"/>
        <w:keepNext w:val="0"/>
        <w:keepLines w:val="0"/>
        <w:spacing w:line="500" w:lineRule="exact"/>
        <w:ind w:firstLine="560" w:firstLineChars="200"/>
        <w:rPr>
          <w:rFonts w:hint="eastAsia" w:ascii="宋体" w:hAnsi="宋体" w:eastAsia="宋体" w:cs="宋体"/>
          <w:szCs w:val="28"/>
          <w:highlight w:val="none"/>
          <w:lang w:eastAsia="zh-CN"/>
        </w:rPr>
      </w:pPr>
      <w:bookmarkStart w:id="95" w:name="_Toc9190"/>
      <w:bookmarkStart w:id="96" w:name="_Toc18986"/>
      <w:bookmarkStart w:id="97" w:name="_Toc19174"/>
      <w:bookmarkStart w:id="98" w:name="_Toc19797"/>
      <w:bookmarkStart w:id="99" w:name="_Toc7486"/>
      <w:bookmarkStart w:id="100" w:name="_Toc3817"/>
      <w:bookmarkStart w:id="101" w:name="_Toc6554"/>
      <w:bookmarkStart w:id="102" w:name="_Toc3827"/>
      <w:bookmarkStart w:id="103" w:name="_Toc1945"/>
      <w:bookmarkStart w:id="104" w:name="_Toc14603"/>
      <w:r>
        <w:rPr>
          <w:rFonts w:hint="eastAsia" w:ascii="Times New Roman" w:hAnsi="宋体" w:eastAsia="微软雅黑" w:cs="宋体"/>
          <w:b/>
          <w:kern w:val="2"/>
          <w:sz w:val="28"/>
          <w:szCs w:val="28"/>
          <w:highlight w:val="none"/>
          <w:lang w:val="en-US" w:eastAsia="zh-CN" w:bidi="ar-SA"/>
        </w:rPr>
        <w:t>2. Clarifications to the Tender Documents</w:t>
      </w:r>
      <w:bookmarkEnd w:id="95"/>
      <w:bookmarkEnd w:id="96"/>
      <w:bookmarkEnd w:id="97"/>
      <w:bookmarkEnd w:id="98"/>
      <w:bookmarkEnd w:id="99"/>
      <w:bookmarkEnd w:id="100"/>
      <w:bookmarkEnd w:id="101"/>
      <w:bookmarkEnd w:id="102"/>
      <w:bookmarkEnd w:id="103"/>
      <w:bookmarkEnd w:id="104"/>
    </w:p>
    <w:p w14:paraId="46A44D7E">
      <w:pPr>
        <w:adjustRightInd w:val="0"/>
        <w:snapToGrid w:val="0"/>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2.1 The supplier shall carefully read and fully understand all provisions in the tender documents; any questions or doubts shall be promptly communicated in writing. Failure to do so shall be deemed acceptance of all terms and requirements of the tender documents, and the supplier shall bear all resulting legal liabilities. All consequences and risks arising from the supplier's inadequate reading, insufficient understanding, misinterpretation, omissions, or lack of clarity regarding market conditions shall be borne solely by the supplier.</w:t>
      </w:r>
    </w:p>
    <w:p w14:paraId="3715DC8D">
      <w:pPr>
        <w:tabs>
          <w:tab w:val="left" w:pos="0"/>
        </w:tabs>
        <w:adjustRightInd w:val="0"/>
        <w:snapToGrid w:val="0"/>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2.2 Any supplier who has inquiries or requests for clarification regarding the tender documents shall submit them in writing to the designated agency within seven working days of receiving the documents, using the communication address specified in the public tender documents. The procuring entity or the agency shall provide written responses to all received inquiries or clarification requests.</w:t>
      </w:r>
    </w:p>
    <w:p w14:paraId="09A34A52">
      <w:pPr>
        <w:pStyle w:val="4"/>
        <w:keepNext w:val="0"/>
        <w:keepLines w:val="0"/>
        <w:spacing w:line="500" w:lineRule="exact"/>
        <w:ind w:firstLine="560" w:firstLineChars="200"/>
        <w:rPr>
          <w:rFonts w:hint="eastAsia" w:ascii="宋体" w:hAnsi="宋体" w:eastAsia="宋体" w:cs="宋体"/>
          <w:szCs w:val="28"/>
          <w:highlight w:val="none"/>
          <w:lang w:eastAsia="zh-CN"/>
        </w:rPr>
      </w:pPr>
      <w:bookmarkStart w:id="105" w:name="_Toc6390"/>
      <w:bookmarkStart w:id="106" w:name="_Toc4878"/>
      <w:bookmarkStart w:id="107" w:name="_Toc14621"/>
      <w:bookmarkStart w:id="108" w:name="_Toc12674"/>
      <w:bookmarkStart w:id="109" w:name="_Toc21032"/>
      <w:bookmarkStart w:id="110" w:name="_Toc14087"/>
      <w:bookmarkStart w:id="111" w:name="_Toc26460"/>
      <w:bookmarkStart w:id="112" w:name="_Toc7956"/>
      <w:bookmarkStart w:id="113" w:name="_Toc4238"/>
      <w:bookmarkStart w:id="114" w:name="_Toc6711"/>
      <w:r>
        <w:rPr>
          <w:rFonts w:hint="eastAsia" w:ascii="Times New Roman" w:hAnsi="宋体" w:eastAsia="微软雅黑" w:cs="宋体"/>
          <w:b/>
          <w:kern w:val="2"/>
          <w:sz w:val="28"/>
          <w:szCs w:val="28"/>
          <w:highlight w:val="none"/>
          <w:lang w:val="en-US" w:eastAsia="zh-CN" w:bidi="ar-SA"/>
        </w:rPr>
        <w:t>3. Amendments to the Tender Documents</w:t>
      </w:r>
      <w:bookmarkEnd w:id="105"/>
      <w:bookmarkEnd w:id="106"/>
      <w:bookmarkEnd w:id="107"/>
      <w:bookmarkEnd w:id="108"/>
      <w:bookmarkEnd w:id="109"/>
      <w:bookmarkEnd w:id="110"/>
      <w:bookmarkEnd w:id="111"/>
      <w:bookmarkEnd w:id="112"/>
      <w:bookmarkEnd w:id="113"/>
      <w:bookmarkEnd w:id="114"/>
    </w:p>
    <w:p w14:paraId="3B87C6BB">
      <w:pPr>
        <w:tabs>
          <w:tab w:val="left" w:pos="0"/>
        </w:tabs>
        <w:adjustRightInd w:val="0"/>
        <w:snapToGrid w:val="0"/>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3.1 Fifteen days prior to the bid submission deadline, the agency may, for any reason, proactively amend the tender documents or make amendments while responding to suppliers' clarification requests. Such clarifications and amendments shall be notified in writing to all suppliers and shall constitute supplements to the tender documents, possessing equal legal force.</w:t>
      </w:r>
    </w:p>
    <w:p w14:paraId="703FF611">
      <w:pPr>
        <w:tabs>
          <w:tab w:val="left" w:pos="0"/>
        </w:tabs>
        <w:adjustRightInd w:val="0"/>
        <w:snapToGrid w:val="0"/>
        <w:spacing w:line="500" w:lineRule="exact"/>
        <w:ind w:firstLine="480" w:firstLineChars="200"/>
        <w:jc w:val="left"/>
        <w:rPr>
          <w:rFonts w:hint="eastAsia" w:ascii="宋体" w:hAnsi="宋体" w:eastAsia="宋体" w:cs="宋体"/>
          <w:b/>
          <w:bCs/>
          <w:color w:val="FF0000"/>
          <w:sz w:val="24"/>
          <w:szCs w:val="24"/>
          <w:highlight w:val="none"/>
          <w:lang w:eastAsia="zh-CN"/>
        </w:rPr>
      </w:pPr>
      <w:r>
        <w:rPr>
          <w:rFonts w:hint="eastAsia" w:ascii="Times New Roman" w:hAnsi="宋体" w:eastAsia="微软雅黑" w:cs="宋体"/>
          <w:kern w:val="2"/>
          <w:sz w:val="24"/>
          <w:szCs w:val="24"/>
          <w:highlight w:val="none"/>
          <w:lang w:val="en-US" w:eastAsia="zh-CN" w:bidi="ar-SA"/>
        </w:rPr>
        <w:t>3.2 To allow suppliers sufficient time to make supplementary amendments to modifications or clarifications in the tender documents, the agency may appropriately extend the bid submission deadline and bid opening time, and shall notify all suppliers who have purchased the tender documents in writing of the revised deadlines before the specified submission date.</w:t>
      </w:r>
    </w:p>
    <w:p w14:paraId="152FBAB6">
      <w:pPr>
        <w:pStyle w:val="4"/>
        <w:spacing w:line="500" w:lineRule="exact"/>
        <w:ind w:firstLine="560" w:firstLineChars="200"/>
        <w:rPr>
          <w:rFonts w:hint="eastAsia" w:ascii="宋体" w:hAnsi="宋体" w:eastAsia="宋体" w:cs="宋体"/>
          <w:szCs w:val="28"/>
          <w:highlight w:val="none"/>
          <w:lang w:eastAsia="zh-CN"/>
        </w:rPr>
      </w:pPr>
      <w:bookmarkStart w:id="115" w:name="_Toc18148"/>
      <w:bookmarkStart w:id="116" w:name="_Toc29467"/>
      <w:bookmarkStart w:id="117" w:name="_Toc29089"/>
      <w:bookmarkStart w:id="118" w:name="_Toc5095"/>
      <w:bookmarkStart w:id="119" w:name="_Toc359"/>
      <w:bookmarkStart w:id="120" w:name="_Toc10451"/>
      <w:bookmarkStart w:id="121" w:name="_Toc24911"/>
      <w:bookmarkStart w:id="122" w:name="_Toc1861"/>
      <w:bookmarkStart w:id="123" w:name="_Toc8379"/>
      <w:bookmarkStart w:id="124" w:name="_Toc17070"/>
      <w:r>
        <w:rPr>
          <w:rFonts w:hint="eastAsia" w:ascii="Times New Roman" w:hAnsi="宋体" w:eastAsia="微软雅黑" w:cs="宋体"/>
          <w:b/>
          <w:kern w:val="2"/>
          <w:sz w:val="28"/>
          <w:szCs w:val="28"/>
          <w:highlight w:val="none"/>
          <w:lang w:val="en-US" w:eastAsia="zh-CN" w:bidi="ar-SA"/>
        </w:rPr>
        <w:t>4. The authority to interpret the tender documents belongs to the agency.</w:t>
      </w:r>
      <w:bookmarkEnd w:id="115"/>
      <w:bookmarkEnd w:id="116"/>
      <w:bookmarkEnd w:id="117"/>
      <w:bookmarkEnd w:id="118"/>
      <w:bookmarkEnd w:id="119"/>
      <w:bookmarkEnd w:id="120"/>
      <w:bookmarkEnd w:id="121"/>
      <w:bookmarkEnd w:id="122"/>
      <w:bookmarkEnd w:id="123"/>
      <w:bookmarkEnd w:id="124"/>
    </w:p>
    <w:p w14:paraId="1902A68F">
      <w:pPr>
        <w:pStyle w:val="4"/>
        <w:spacing w:line="500" w:lineRule="exact"/>
        <w:ind w:firstLine="560" w:firstLineChars="200"/>
        <w:rPr>
          <w:rFonts w:hint="eastAsia" w:ascii="宋体" w:hAnsi="宋体" w:eastAsia="宋体" w:cs="宋体"/>
          <w:szCs w:val="28"/>
          <w:highlight w:val="none"/>
          <w:lang w:eastAsia="zh-CN"/>
        </w:rPr>
      </w:pPr>
      <w:bookmarkStart w:id="125" w:name="_Toc31438"/>
      <w:bookmarkStart w:id="126" w:name="_Toc29911"/>
      <w:bookmarkStart w:id="127" w:name="_Toc2169"/>
      <w:bookmarkStart w:id="128" w:name="_Toc16405"/>
      <w:bookmarkStart w:id="129" w:name="_Toc25947"/>
      <w:bookmarkStart w:id="130" w:name="_Toc18976"/>
      <w:bookmarkStart w:id="131" w:name="_Toc23677"/>
      <w:bookmarkStart w:id="132" w:name="_Toc25634"/>
      <w:bookmarkStart w:id="133" w:name="_Toc5060"/>
      <w:r>
        <w:rPr>
          <w:rFonts w:hint="eastAsia" w:ascii="Times New Roman" w:hAnsi="宋体" w:eastAsia="微软雅黑" w:cs="宋体"/>
          <w:b/>
          <w:kern w:val="2"/>
          <w:sz w:val="28"/>
          <w:szCs w:val="28"/>
          <w:highlight w:val="none"/>
          <w:lang w:val="en-US" w:eastAsia="zh-CN" w:bidi="ar-SA"/>
        </w:rPr>
        <w:t>5. Implementation of Government Procurement Policies</w:t>
      </w:r>
      <w:bookmarkEnd w:id="125"/>
      <w:bookmarkEnd w:id="126"/>
      <w:bookmarkEnd w:id="127"/>
      <w:bookmarkEnd w:id="128"/>
      <w:bookmarkEnd w:id="129"/>
      <w:bookmarkEnd w:id="130"/>
      <w:bookmarkEnd w:id="131"/>
      <w:bookmarkEnd w:id="132"/>
      <w:bookmarkEnd w:id="133"/>
    </w:p>
    <w:p w14:paraId="68B05442">
      <w:pPr>
        <w:tabs>
          <w:tab w:val="left" w:pos="0"/>
        </w:tabs>
        <w:adjustRightInd w:val="0"/>
        <w:snapToGrid w:val="0"/>
        <w:spacing w:line="500" w:lineRule="exact"/>
        <w:ind w:firstLine="480" w:firstLineChars="200"/>
        <w:jc w:val="left"/>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5.1 Procurement Policy</w:t>
      </w:r>
    </w:p>
    <w:p w14:paraId="14388DC0">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Times New Roman" w:hAnsi="宋体" w:eastAsia="微软雅黑" w:cs="宋体"/>
          <w:kern w:val="0"/>
          <w:sz w:val="24"/>
          <w:szCs w:val="24"/>
          <w:highlight w:val="none"/>
          <w:lang w:val="en-US" w:eastAsia="zh-CN" w:bidi="ar-SA"/>
        </w:rPr>
        <w:t>(1) "Measures for Promoting the Development of Small and Medium-sized Enterprises through Government Procurement" (Cai Ku [2020] No.46);</w:t>
      </w:r>
    </w:p>
    <w:p w14:paraId="06599792">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Times New Roman" w:hAnsi="宋体" w:eastAsia="微软雅黑" w:cs="宋体"/>
          <w:kern w:val="0"/>
          <w:sz w:val="24"/>
          <w:szCs w:val="24"/>
          <w:highlight w:val="none"/>
          <w:lang w:val="en-US" w:eastAsia="zh-CN" w:bidi="ar-SA"/>
        </w:rPr>
        <w:t>(2) The Notice of the Ministry of Finance and the Ministry of Justice on Issues Concerning Government Procurement Support for Prison Enterprise Development (Cai Ku [2014] No.68);</w:t>
      </w:r>
    </w:p>
    <w:p w14:paraId="7B322D32">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Times New Roman" w:hAnsi="宋体" w:eastAsia="微软雅黑" w:cs="宋体"/>
          <w:kern w:val="0"/>
          <w:sz w:val="24"/>
          <w:szCs w:val="24"/>
          <w:highlight w:val="none"/>
          <w:lang w:val="en-US" w:eastAsia="zh-CN" w:bidi="ar-SA"/>
        </w:rPr>
        <w:t>(3) The Notice of the General Office of the State Council on Establishing a System for Government-Mandated Procurement of Energy-Efficient Products (Guo Ban Fa [2007] No.51);</w:t>
      </w:r>
    </w:p>
    <w:p w14:paraId="0DFBEF5A">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Times New Roman" w:hAnsi="宋体" w:eastAsia="微软雅黑" w:cs="宋体"/>
          <w:kern w:val="0"/>
          <w:sz w:val="24"/>
          <w:szCs w:val="24"/>
          <w:highlight w:val="none"/>
          <w:lang w:val="en-US" w:eastAsia="zh-CN" w:bidi="ar-SA"/>
        </w:rPr>
        <w:t>(4) Notice of the Ministry of Finance and the National Development and Reform Commission on Issuing the "Implementation Opinions on Government Procurement of Energy-Efficient Products" (Cai Ku [2004] No.185);</w:t>
      </w:r>
    </w:p>
    <w:p w14:paraId="2530C2B6">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Times New Roman" w:hAnsi="宋体" w:eastAsia="微软雅黑" w:cs="宋体"/>
          <w:kern w:val="0"/>
          <w:sz w:val="24"/>
          <w:szCs w:val="24"/>
          <w:highlight w:val="none"/>
          <w:lang w:val="en-US" w:eastAsia="zh-CN" w:bidi="ar-SA"/>
        </w:rPr>
        <w:t>(5) "Opinions of the Ministry of Finance and the State Environmental Protection Administration on the Implementation of Government Procurement for Environmentally Labelled Products" (Cai Ku [2006] No.90);</w:t>
      </w:r>
    </w:p>
    <w:p w14:paraId="737E136C">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Times New Roman" w:hAnsi="宋体" w:eastAsia="微软雅黑" w:cs="宋体"/>
          <w:kern w:val="0"/>
          <w:sz w:val="24"/>
          <w:szCs w:val="24"/>
          <w:highlight w:val="none"/>
          <w:lang w:val="en-US" w:eastAsia="zh-CN" w:bidi="ar-SA"/>
        </w:rPr>
        <w:t>(6) The Notice on Jointly Issuing Government Procurement Policies to Promote Employment for Persons with Disabilities by Three Departments (Cai Ku [2017] No.141);</w:t>
      </w:r>
    </w:p>
    <w:p w14:paraId="4B51D3E7">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Times New Roman" w:hAnsi="宋体" w:eastAsia="微软雅黑" w:cs="宋体"/>
          <w:kern w:val="0"/>
          <w:sz w:val="24"/>
          <w:szCs w:val="24"/>
          <w:highlight w:val="none"/>
          <w:lang w:val="en-US" w:eastAsia="zh-CN" w:bidi="ar-SA"/>
        </w:rPr>
        <w:t>(7) Notice of the Ministry of Finance, National Development and Reform Commission, Ministry of Ecology and Environment, and State Administration for Market Regulation on Adjusting and Optimizing the Implementation Mechanism for Government Procurement of Energy-Efficient Products and Environmental Label Products (Cai Ku [2019] No.9);</w:t>
      </w:r>
    </w:p>
    <w:p w14:paraId="5221A70E">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Times New Roman" w:hAnsi="宋体" w:eastAsia="微软雅黑" w:cs="宋体"/>
          <w:kern w:val="0"/>
          <w:sz w:val="24"/>
          <w:szCs w:val="24"/>
          <w:highlight w:val="none"/>
          <w:lang w:val="en-US" w:eastAsia="zh-CN" w:bidi="ar-SA"/>
        </w:rPr>
        <w:t>(8) Notice of the Ministry of Finance, Ministry of Agriculture and Rural Affairs, and National Rural Revitalization Administration on Utilizing Government Procurement Policies to Support Rural Industrial Revitalization (Cai Ku [2021] No.19);</w:t>
      </w:r>
    </w:p>
    <w:p w14:paraId="3CB2CC53">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Times New Roman" w:hAnsi="宋体" w:eastAsia="微软雅黑" w:cs="宋体"/>
          <w:kern w:val="0"/>
          <w:sz w:val="24"/>
          <w:szCs w:val="24"/>
          <w:highlight w:val="none"/>
          <w:lang w:val="en-US" w:eastAsia="zh-CN" w:bidi="ar-SA"/>
        </w:rPr>
        <w:t>(9) The Shaanxi Provincial Department of Finance's issuance of the "Measures for Credit Financing in Government Procurement for Small and Medium-sized Enterprises in Shaanxi Province" (Shaancai Ban Cai [2018] No.23);</w:t>
      </w:r>
    </w:p>
    <w:p w14:paraId="59E886C4">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Times New Roman" w:hAnsi="宋体" w:eastAsia="微软雅黑" w:cs="宋体"/>
          <w:kern w:val="0"/>
          <w:sz w:val="24"/>
          <w:szCs w:val="24"/>
          <w:highlight w:val="none"/>
          <w:lang w:val="en-US" w:eastAsia="zh-CN" w:bidi="ar-SA"/>
        </w:rPr>
        <w:t>(10) "Notice of the General Office of the State Council on Implementing Domestic Product Standards and Related Policies in Government Procurement" (Guoban Fa [2025] No.34);</w:t>
      </w:r>
    </w:p>
    <w:p w14:paraId="352BF66E">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Times New Roman" w:hAnsi="宋体" w:eastAsia="微软雅黑" w:cs="宋体"/>
          <w:kern w:val="0"/>
          <w:sz w:val="24"/>
          <w:szCs w:val="24"/>
          <w:highlight w:val="none"/>
          <w:lang w:val="en-US" w:eastAsia="zh-CN" w:bidi="ar-SA"/>
        </w:rPr>
        <w:t>(11) Notice on Promoting the Resolution of Abnormally Low Prices in Government Procurement (Cai Ku [2026] No.2);</w:t>
      </w:r>
    </w:p>
    <w:p w14:paraId="5026EAD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z w:val="24"/>
          <w:szCs w:val="24"/>
          <w:highlight w:val="none"/>
        </w:rPr>
      </w:pPr>
      <w:r>
        <w:rPr>
          <w:rFonts w:hint="eastAsia" w:ascii="Times New Roman" w:hAnsi="宋体" w:eastAsia="微软雅黑" w:cs="宋体"/>
          <w:kern w:val="0"/>
          <w:sz w:val="24"/>
          <w:szCs w:val="24"/>
          <w:highlight w:val="none"/>
          <w:lang w:val="en-US" w:eastAsia="zh-CN" w:bidi="ar-SA"/>
        </w:rPr>
        <w:t>(12) Other government procurement policies that need to be implemented.</w:t>
      </w:r>
    </w:p>
    <w:p w14:paraId="7C302503">
      <w:pPr>
        <w:tabs>
          <w:tab w:val="left" w:pos="0"/>
        </w:tabs>
        <w:adjustRightInd w:val="0"/>
        <w:snapToGrid w:val="0"/>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5.2 Energy-saving products and Environmentally Labelled products</w:t>
      </w:r>
    </w:p>
    <w:p w14:paraId="5537402A">
      <w:pPr>
        <w:tabs>
          <w:tab w:val="left" w:pos="0"/>
        </w:tabs>
        <w:adjustRightInd w:val="0"/>
        <w:snapToGrid w:val="0"/>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The products supplied by suppliers shall be subject to government priority procurement and mandatory procurement in accordance with the "Notice on Issuing the List of Energy-Efficient Products for Government Procurement" and the corresponding certification certificates.</w:t>
      </w:r>
    </w:p>
    <w:p w14:paraId="52531851">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Times New Roman" w:hAnsi="宋体" w:eastAsia="微软雅黑" w:cs="宋体"/>
          <w:color w:val="auto"/>
          <w:kern w:val="2"/>
          <w:sz w:val="24"/>
          <w:szCs w:val="24"/>
          <w:highlight w:val="none"/>
          <w:lang w:val="en-US" w:eastAsia="zh-CN" w:bidi="ar-SA"/>
        </w:rPr>
        <w:t>The products supplied by suppliers shall be subject to government priority procurement in accordance with the "Notice on Issuing the List of Government Procurement Items for Environmental Label Products" and the corresponding certification certificates.</w:t>
      </w:r>
    </w:p>
    <w:p w14:paraId="033B7C86">
      <w:pPr>
        <w:tabs>
          <w:tab w:val="left" w:pos="0"/>
        </w:tabs>
        <w:adjustRightInd w:val="0"/>
        <w:snapToGrid w:val="0"/>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Suppliers may provide copies of energy-saving product and environmental labeling certification certificates issued by nationally recognized certification bodies for the products they supply, provided that these certificates are still valid.</w:t>
      </w:r>
    </w:p>
    <w:p w14:paraId="18E952F3">
      <w:pPr>
        <w:tabs>
          <w:tab w:val="left" w:pos="0"/>
        </w:tabs>
        <w:adjustRightInd w:val="0"/>
        <w:snapToGrid w:val="0"/>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5.3 Small and Medium-sized Enterprises</w:t>
      </w:r>
    </w:p>
    <w:p w14:paraId="5D8E40C9">
      <w:pPr>
        <w:tabs>
          <w:tab w:val="left" w:pos="0"/>
        </w:tabs>
        <w:adjustRightInd w:val="0"/>
        <w:snapToGrid w:val="0"/>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If a project is specifically targeted at small and medium-sized enterprises (SMEs), in goods procurement projects, goods manufactured by SMEs—i.e., produced by SMEs and bearing the business name or registered trademark of such enterprises—are deemed SMEs regardless of whether the supplier itself qualifies as one; in engineering procurement projects, projects undertaken by SMEs are considered SMEs; in service procurement projects, services provided by SMEs are likewise regarded as SMEs. Suppliers meeting the policy requirements for SMEs participating in government procurement activities must submit the SME Declaration Letter (see Appendix 1).</w:t>
      </w:r>
    </w:p>
    <w:p w14:paraId="0506F993">
      <w:pPr>
        <w:tabs>
          <w:tab w:val="left" w:pos="0"/>
        </w:tabs>
        <w:adjustRightInd w:val="0"/>
        <w:snapToGrid w:val="0"/>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If a project is not specifically targeted at small and medium-sized enterprises (SMEs), the following criteria apply: In goods procurement projects, products manufactured by micro or small enterprises – i.e., those produced by such enterprises using their business names or registered trademarks – qualify for SME policy benefits regardless of whether the supplier itself is a micro or small enterprise. In engineering procurement projects, projects undertaken by micro or small enterprises – meaning construction contractors are micro or small enterprises – also meet these eligibility requirements. For service procurement projects, services provided by micro or small enterprises shall be treated as such. Suppliers meeting SME policy criteria participating in government procurement must submit an SME Declaration Letter (see Appendix II); failure to do so will result in exclusion from price discount incentives during evaluation. For goods and service projects, prices quoted by small and micro enterprises are subject to a 10%–20% discount; for engineering projects, a 3%–5% discount applies, with the discounted price used for evaluation.</w:t>
      </w:r>
    </w:p>
    <w:p w14:paraId="107E6B3C">
      <w:pPr>
        <w:tabs>
          <w:tab w:val="left" w:pos="0"/>
        </w:tabs>
        <w:adjustRightInd w:val="0"/>
        <w:snapToGrid w:val="0"/>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5.4 In accordance with the provisions of the "Notice of the Ministry of Finance and the Ministry of Justice on Issues Concerning Government Procurement Support for Prison Enterprises" (Cai Ku [2014] No.68), prison enterprises participating in government procurement activities shall be treated as small and micro enterprises. They must provide certification documents issued by provincial-level or higher prison administration bureaus or drug rehabilitation administration bureaus confirming their status as prison enterprises, and shall enjoy small and micro enterprise policies during evaluation. Units that fail to provide such certification documents or do not meet the relevant requirements shall not be recognized as small and micro enterprises.</w:t>
      </w:r>
    </w:p>
    <w:p w14:paraId="7D120C00">
      <w:pPr>
        <w:tabs>
          <w:tab w:val="left" w:pos="0"/>
        </w:tabs>
        <w:adjustRightInd w:val="0"/>
        <w:snapToGrid w:val="0"/>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5.5 In accordance with the provisions of the "Notice on Government Procurement Policies to Promote Employment for Persons with Disabilities" issued by the Ministry of Finance, the Ministry of Civil Affairs, and the China Disabled Persons' Federation (Cai Ku [2017] No.141), welfare institutions for persons with disabilities participating in government procurement activities shall be treated as small and micro enterprises; they must submit a "Statement Letter from Welfare Institutions for Persons with Disabilities" and shall enjoy small and micro enterprise benefits during evaluation. Failure to provide such a letter will result in non-classification as a small and micro enterprise.</w:t>
      </w:r>
    </w:p>
    <w:p w14:paraId="5728A548">
      <w:pPr>
        <w:tabs>
          <w:tab w:val="left" w:pos="0"/>
        </w:tabs>
        <w:adjustRightInd w:val="0"/>
        <w:snapToGrid w:val="0"/>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If welfare institutions for persons with disabilities are classified as small or micro enterprises, they shall not receive duplicate benefits under the policy.</w:t>
      </w:r>
    </w:p>
    <w:p w14:paraId="695FD35F">
      <w:pPr>
        <w:tabs>
          <w:tab w:val="left" w:pos="0"/>
        </w:tabs>
        <w:adjustRightInd w:val="0"/>
        <w:snapToGrid w:val="0"/>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If the "Small and Medium Enterprises Declaration Letter" or "Disability-Friendly Organization Declaration Letter" provided by the supplier contains significant errors, the bid evaluation committee may request the supplier to provide clarification. Upon verification that the supplier meets the criteria for a micro-enterprise, it may qualify for price deduction benefits; otherwise, such benefits shall not apply.</w:t>
      </w:r>
    </w:p>
    <w:p w14:paraId="54C7599F">
      <w:pPr>
        <w:tabs>
          <w:tab w:val="left" w:pos="0"/>
        </w:tabs>
        <w:adjustRightInd w:val="0"/>
        <w:snapToGrid w:val="0"/>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Suppliers eligible for SME support policies may also benefit from priority procurement policies for energy-efficient products and environmentally labeled products.</w:t>
      </w:r>
    </w:p>
    <w:p w14:paraId="52475DA5">
      <w:pPr>
        <w:tabs>
          <w:tab w:val="left" w:pos="0"/>
        </w:tabs>
        <w:adjustRightInd w:val="0"/>
        <w:snapToGrid w:val="0"/>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The identification of small and medium-sized enterprises in government procurement supervision, complaint handling, and administrative penalties shall be conducted by the competent small and medium-sized enterprise authorities of the people's governments at or above the county level where the goods manufacturers are registered.</w:t>
      </w:r>
    </w:p>
    <w:p w14:paraId="2CDD94F1">
      <w:pPr>
        <w:tabs>
          <w:tab w:val="left" w:pos="0"/>
        </w:tabs>
        <w:adjustRightInd w:val="0"/>
        <w:snapToGrid w:val="0"/>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5.6 For suppliers requiring financing or guarantees: Refer to the relevant policies, procedures, and application platform outlined in the "Notice of the Shaanxi Provincial Department of Finance on Issuing the &lt;Shaanxi Province Credit Financing Measures for Government Procurement by Small and Medium-sized Enterprises&gt;" (Shaanxi Cai Ban Cai [2018] No.23) at http://www.ccgp-shaanxi.gov.cn/zcdservice/zcd/shanxi/.</w:t>
      </w:r>
    </w:p>
    <w:p w14:paraId="2811FCD4">
      <w:pPr>
        <w:tabs>
          <w:tab w:val="left" w:pos="0"/>
        </w:tabs>
        <w:adjustRightInd w:val="0"/>
        <w:snapToGrid w:val="0"/>
        <w:spacing w:line="500" w:lineRule="exact"/>
        <w:ind w:firstLine="480" w:firstLineChars="200"/>
        <w:jc w:val="left"/>
        <w:rPr>
          <w:rFonts w:hint="eastAsia" w:ascii="宋体" w:hAnsi="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5.7 Support Policies for Domestic Products</w:t>
      </w:r>
    </w:p>
    <w:p w14:paraId="35D7BBB3">
      <w:pPr>
        <w:tabs>
          <w:tab w:val="left" w:pos="0"/>
        </w:tabs>
        <w:adjustRightInd w:val="0"/>
        <w:snapToGrid w:val="0"/>
        <w:spacing w:line="500" w:lineRule="exact"/>
        <w:ind w:firstLine="480" w:firstLineChars="200"/>
        <w:jc w:val="left"/>
        <w:rPr>
          <w:rFonts w:hint="eastAsia" w:ascii="宋体" w:hAnsi="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In government procurement activities where both domestic and foreign products compete, domestic products shall be granted price evaluation preferences in accordance with the law: a 20% discount shall be applied to their bid prices, and these discounted prices shall be used for evaluation purposes.</w:t>
      </w:r>
    </w:p>
    <w:p w14:paraId="174E2DA5">
      <w:pPr>
        <w:tabs>
          <w:tab w:val="left" w:pos="0"/>
        </w:tabs>
        <w:adjustRightInd w:val="0"/>
        <w:snapToGrid w:val="0"/>
        <w:spacing w:line="500" w:lineRule="exact"/>
        <w:ind w:firstLine="480" w:firstLineChars="200"/>
        <w:jc w:val="left"/>
        <w:rPr>
          <w:rFonts w:hint="default" w:ascii="宋体" w:hAnsi="宋体" w:cs="宋体"/>
          <w:sz w:val="24"/>
          <w:szCs w:val="24"/>
          <w:highlight w:val="none"/>
          <w:lang w:val="en-US" w:eastAsia="zh-CN"/>
        </w:rPr>
        <w:sectPr>
          <w:footerReference r:id="rId9" w:type="default"/>
          <w:footerReference r:id="rId10" w:type="even"/>
          <w:pgSz w:w="11906" w:h="16838"/>
          <w:pgMar w:top="1440" w:right="1706" w:bottom="1440" w:left="1800" w:header="851" w:footer="992" w:gutter="0"/>
          <w:pgNumType w:fmt="decimal"/>
          <w:cols w:space="720" w:num="1"/>
          <w:docGrid w:type="lines" w:linePitch="312" w:charSpace="0"/>
        </w:sectPr>
      </w:pPr>
      <w:r>
        <w:rPr>
          <w:rFonts w:hint="eastAsia" w:ascii="Times New Roman" w:hAnsi="宋体" w:eastAsia="微软雅黑" w:cs="宋体"/>
          <w:kern w:val="2"/>
          <w:sz w:val="24"/>
          <w:szCs w:val="24"/>
          <w:highlight w:val="none"/>
          <w:lang w:val="en-US" w:eastAsia="zh-CN" w:bidi="ar-SA"/>
        </w:rPr>
        <w:t>When a procurement item or procurement package contains multiple products, if the sum of costs for products supplied by a supplier that comply with national product standards accounts for more than 80% of the total product costs provided by that supplier, a price evaluation discount shall be granted to all products supplied by the supplier in accordance with the law; specifically, a 20% price reduction shall be applied to the total quotation for all such products, and the discounted price shall be used for evaluation purposes. For detailed provisions, refer to Annex V.</w:t>
      </w:r>
    </w:p>
    <w:p w14:paraId="5E8522C8">
      <w:pPr>
        <w:jc w:val="center"/>
        <w:outlineLvl w:val="1"/>
        <w:rPr>
          <w:rFonts w:hint="eastAsia" w:ascii="宋体" w:hAnsi="宋体" w:eastAsia="宋体" w:cs="宋体"/>
          <w:sz w:val="36"/>
          <w:szCs w:val="28"/>
          <w:highlight w:val="none"/>
          <w:lang w:eastAsia="zh-CN"/>
        </w:rPr>
      </w:pPr>
      <w:bookmarkStart w:id="134" w:name="_Toc6928"/>
      <w:bookmarkStart w:id="135" w:name="_Toc18665"/>
      <w:bookmarkStart w:id="136" w:name="_Toc19722"/>
      <w:bookmarkStart w:id="137" w:name="_Toc21498"/>
      <w:bookmarkStart w:id="138" w:name="_Toc15601"/>
      <w:bookmarkStart w:id="139" w:name="_Toc5588"/>
      <w:r>
        <w:rPr>
          <w:rFonts w:hint="eastAsia" w:ascii="Times New Roman" w:hAnsi="宋体" w:eastAsia="微软雅黑" w:cs="宋体"/>
          <w:kern w:val="2"/>
          <w:sz w:val="36"/>
          <w:szCs w:val="28"/>
          <w:highlight w:val="none"/>
          <w:lang w:val="en-US" w:eastAsia="zh-CN" w:bidi="ar-SA"/>
        </w:rPr>
        <w:t>III. Tender Documents</w:t>
      </w:r>
      <w:bookmarkEnd w:id="134"/>
      <w:bookmarkEnd w:id="135"/>
      <w:bookmarkEnd w:id="136"/>
      <w:bookmarkEnd w:id="137"/>
      <w:bookmarkEnd w:id="138"/>
      <w:bookmarkEnd w:id="139"/>
    </w:p>
    <w:p w14:paraId="14B0F54F">
      <w:pPr>
        <w:spacing w:line="500" w:lineRule="exact"/>
        <w:ind w:firstLine="480" w:firstLineChars="200"/>
        <w:jc w:val="left"/>
        <w:rPr>
          <w:rFonts w:hint="eastAsia" w:ascii="宋体" w:hAnsi="宋体" w:eastAsia="宋体" w:cs="宋体"/>
          <w:sz w:val="24"/>
          <w:szCs w:val="24"/>
          <w:highlight w:val="none"/>
          <w:lang w:eastAsia="zh-CN"/>
        </w:rPr>
      </w:pPr>
      <w:bookmarkStart w:id="140" w:name="_Toc22752"/>
      <w:r>
        <w:rPr>
          <w:rFonts w:hint="eastAsia" w:ascii="Times New Roman" w:hAnsi="宋体" w:eastAsia="微软雅黑" w:cs="宋体"/>
          <w:kern w:val="2"/>
          <w:sz w:val="24"/>
          <w:szCs w:val="24"/>
          <w:highlight w:val="none"/>
          <w:lang w:val="en-US" w:eastAsia="zh-CN" w:bidi="ar-SA"/>
        </w:rPr>
        <w:t>1. Composition of the Tender Document:</w:t>
      </w:r>
      <w:r>
        <w:rPr>
          <w:rFonts w:hint="eastAsia" w:ascii="Times New Roman" w:hAnsi="宋体" w:eastAsia="微软雅黑" w:cs="宋体"/>
          <w:kern w:val="2"/>
          <w:sz w:val="24"/>
          <w:szCs w:val="24"/>
          <w:highlight w:val="none"/>
          <w:lang w:val="en-US" w:eastAsia="zh-CN" w:bidi="ar-SA"/>
        </w:rPr>
        <w:tab/>
      </w:r>
      <w:bookmarkEnd w:id="140"/>
    </w:p>
    <w:p w14:paraId="04347AAC">
      <w:pPr>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1.1 The tender documents shall be prepared in full compliance with Chapter VI "Format of Tender Documents", Chapter IV "Evaluation Methods", and all other requirements specified herein.</w:t>
      </w:r>
    </w:p>
    <w:p w14:paraId="19B01F09">
      <w:pPr>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If a supplier fails to provide the required supporting documents as specified above when preparing its tender documents, alters the format or content of the documents without authorization, or does not respond in accordance with the prescribed format and content, such documents shall be deemed incomplete and will be rejected during compliance review.</w:t>
      </w:r>
    </w:p>
    <w:p w14:paraId="7ED8586B">
      <w:pPr>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1.2 Remote Bid Opening: Refer to the attached table in the Supplier Guidelines for details.</w:t>
      </w:r>
    </w:p>
    <w:p w14:paraId="2FDCD3BE">
      <w:pPr>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1.3 Electronic Tender Documents: Refer to the attached table at the beginning of the Supplier Guidelines for details.</w:t>
      </w:r>
    </w:p>
    <w:p w14:paraId="0A1EF28C">
      <w:pPr>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1.4 Circumstances under which tender documents are rejected:</w:t>
      </w:r>
    </w:p>
    <w:p w14:paraId="771E39B2">
      <w:pPr>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(1) Failure to submit the tender documents as required by the tender documents;</w:t>
      </w:r>
    </w:p>
    <w:p w14:paraId="33480275">
      <w:pPr>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(2) Failure to submit the bid documents by the deadline;</w:t>
      </w:r>
    </w:p>
    <w:p w14:paraId="2FA747CA">
      <w:pPr>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(3) Other circumstances stipulated by laws and regulations that warrant refusal of acceptance.</w:t>
      </w:r>
    </w:p>
    <w:p w14:paraId="70E727D7">
      <w:pPr>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1.5 Tender documents that cannot be properly evaluated due to preparation issues shall be deemed invalid.</w:t>
      </w:r>
    </w:p>
    <w:p w14:paraId="6F75289B">
      <w:pPr>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b/>
          <w:bCs/>
          <w:kern w:val="2"/>
          <w:sz w:val="24"/>
          <w:szCs w:val="24"/>
          <w:highlight w:val="none"/>
          <w:lang w:val="en-US" w:eastAsia="zh-CN" w:bidi="ar-SA"/>
        </w:rPr>
        <w:t>2 Preparation and Composition of Tender Documents</w:t>
      </w:r>
    </w:p>
    <w:p w14:paraId="61199873">
      <w:pPr>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2.1 The tender documents shall be prepared in accordance with the "Tender Document Format"; additional pages may be included as integral parts of the documents if necessary. The appendix to the tender letter may, subject to meeting the substantive requirements of the tender documents, contain commitments that are more favorable to the tenderee than those specified in the tender documents.</w:t>
      </w:r>
    </w:p>
    <w:p w14:paraId="276E4C9A">
      <w:pPr>
        <w:spacing w:line="500" w:lineRule="exact"/>
        <w:ind w:firstLine="480" w:firstLineChars="200"/>
        <w:jc w:val="left"/>
        <w:rPr>
          <w:rFonts w:hint="eastAsia" w:ascii="宋体" w:hAnsi="宋体" w:eastAsia="宋体" w:cs="宋体"/>
          <w:highlight w:val="none"/>
          <w:lang w:eastAsia="zh-CN"/>
        </w:rPr>
      </w:pPr>
      <w:r>
        <w:rPr>
          <w:rFonts w:hint="eastAsia" w:ascii="Times New Roman" w:hAnsi="宋体" w:eastAsia="微软雅黑" w:cs="宋体"/>
          <w:kern w:val="2"/>
          <w:sz w:val="24"/>
          <w:szCs w:val="24"/>
          <w:highlight w:val="none"/>
          <w:lang w:val="en-US" w:eastAsia="zh-CN" w:bidi="ar-SA"/>
        </w:rPr>
        <w:t>2.2 The tender documents shall comply with all substantive requirements and conditions specified in the bidding documents. Where specific requirements mandate item-by-item responses or submission of supporting evidence, the documents must be prepared accordingly; failure to do so shall constitute non-compliance.</w:t>
      </w:r>
    </w:p>
    <w:p w14:paraId="48EF1CAC">
      <w:pPr>
        <w:widowControl/>
        <w:numPr>
          <w:ilvl w:val="0"/>
          <w:numId w:val="4"/>
        </w:numPr>
        <w:spacing w:line="500" w:lineRule="exact"/>
        <w:ind w:firstLine="482" w:firstLineChars="200"/>
        <w:jc w:val="center"/>
        <w:outlineLvl w:val="1"/>
        <w:rPr>
          <w:rFonts w:ascii="宋体" w:hAnsi="宋体" w:cs="宋体"/>
          <w:b/>
          <w:bCs/>
          <w:kern w:val="0"/>
          <w:sz w:val="24"/>
          <w:szCs w:val="24"/>
          <w:highlight w:val="none"/>
        </w:rPr>
        <w:sectPr>
          <w:footerReference r:id="rId11" w:type="default"/>
          <w:pgSz w:w="11906" w:h="16838"/>
          <w:pgMar w:top="1440" w:right="1706" w:bottom="1440" w:left="1800" w:header="851" w:footer="992" w:gutter="0"/>
          <w:pgNumType w:fmt="decimal"/>
          <w:cols w:space="720" w:num="1"/>
          <w:docGrid w:type="lines" w:linePitch="312" w:charSpace="0"/>
        </w:sectPr>
      </w:pPr>
    </w:p>
    <w:p w14:paraId="246849EC">
      <w:pPr>
        <w:widowControl/>
        <w:spacing w:before="159" w:beforeLines="50" w:after="159" w:afterLines="50" w:line="500" w:lineRule="exact"/>
        <w:jc w:val="center"/>
        <w:outlineLvl w:val="1"/>
        <w:rPr>
          <w:rFonts w:hint="eastAsia" w:ascii="宋体" w:hAnsi="宋体" w:eastAsia="宋体" w:cs="宋体"/>
          <w:b/>
          <w:bCs/>
          <w:kern w:val="0"/>
          <w:sz w:val="32"/>
          <w:szCs w:val="28"/>
          <w:highlight w:val="none"/>
          <w:lang w:eastAsia="zh-CN"/>
        </w:rPr>
      </w:pPr>
      <w:bookmarkStart w:id="141" w:name="_Toc27808"/>
      <w:bookmarkStart w:id="142" w:name="_Toc20233"/>
      <w:bookmarkStart w:id="143" w:name="_Toc3736"/>
      <w:bookmarkStart w:id="144" w:name="_Toc3565"/>
      <w:bookmarkStart w:id="145" w:name="_Toc16080"/>
      <w:bookmarkStart w:id="146" w:name="_Toc6182"/>
      <w:bookmarkStart w:id="147" w:name="_Toc13717"/>
      <w:r>
        <w:rPr>
          <w:rFonts w:hint="eastAsia" w:ascii="Times New Roman" w:hAnsi="宋体" w:eastAsia="微软雅黑" w:cs="宋体"/>
          <w:b/>
          <w:bCs/>
          <w:kern w:val="0"/>
          <w:sz w:val="32"/>
          <w:szCs w:val="28"/>
          <w:highlight w:val="none"/>
          <w:lang w:val="en-US" w:eastAsia="zh-CN" w:bidi="ar-SA"/>
        </w:rPr>
        <w:t>IV. Submission of Tender Documents</w:t>
      </w:r>
      <w:bookmarkEnd w:id="141"/>
      <w:bookmarkEnd w:id="142"/>
      <w:bookmarkEnd w:id="143"/>
      <w:bookmarkEnd w:id="144"/>
      <w:bookmarkEnd w:id="145"/>
      <w:bookmarkEnd w:id="146"/>
      <w:bookmarkEnd w:id="147"/>
    </w:p>
    <w:p w14:paraId="6B3880A4">
      <w:pPr>
        <w:spacing w:line="500" w:lineRule="exact"/>
        <w:ind w:firstLine="560" w:firstLineChars="200"/>
        <w:outlineLvl w:val="2"/>
        <w:rPr>
          <w:rFonts w:hint="eastAsia" w:ascii="宋体" w:hAnsi="宋体" w:eastAsia="宋体" w:cs="宋体"/>
          <w:b/>
          <w:bCs/>
          <w:sz w:val="28"/>
          <w:szCs w:val="28"/>
          <w:highlight w:val="none"/>
          <w:lang w:eastAsia="zh-CN"/>
        </w:rPr>
      </w:pPr>
      <w:bookmarkStart w:id="148" w:name="_Toc28839"/>
      <w:bookmarkStart w:id="149" w:name="_Toc4490"/>
      <w:bookmarkStart w:id="150" w:name="_Toc5384"/>
      <w:bookmarkStart w:id="151" w:name="_Toc163"/>
      <w:bookmarkStart w:id="152" w:name="_Toc32299"/>
      <w:bookmarkStart w:id="153" w:name="_Toc3685"/>
      <w:bookmarkStart w:id="154" w:name="_Toc6756"/>
      <w:bookmarkStart w:id="155" w:name="_Toc17120"/>
      <w:bookmarkStart w:id="156" w:name="_Toc22287"/>
      <w:r>
        <w:rPr>
          <w:rFonts w:hint="eastAsia" w:ascii="Times New Roman" w:hAnsi="宋体" w:eastAsia="微软雅黑" w:cs="宋体"/>
          <w:b/>
          <w:bCs/>
          <w:kern w:val="2"/>
          <w:sz w:val="28"/>
          <w:szCs w:val="28"/>
          <w:highlight w:val="none"/>
          <w:lang w:val="en-US" w:eastAsia="zh-CN" w:bidi="ar-SA"/>
        </w:rPr>
        <w:t>1. Submission of Tender Documents</w:t>
      </w:r>
      <w:bookmarkEnd w:id="148"/>
      <w:bookmarkEnd w:id="149"/>
      <w:bookmarkEnd w:id="150"/>
      <w:bookmarkEnd w:id="151"/>
      <w:bookmarkEnd w:id="152"/>
      <w:bookmarkEnd w:id="153"/>
      <w:bookmarkEnd w:id="154"/>
      <w:bookmarkEnd w:id="155"/>
      <w:bookmarkEnd w:id="156"/>
    </w:p>
    <w:p w14:paraId="49E2F07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Times New Roman" w:hAnsi="宋体" w:eastAsia="微软雅黑" w:cs="宋体"/>
          <w:color w:val="auto"/>
          <w:kern w:val="2"/>
          <w:sz w:val="24"/>
          <w:szCs w:val="24"/>
          <w:highlight w:val="none"/>
          <w:lang w:val="en-US" w:eastAsia="zh-CN" w:bidi="ar-SA"/>
        </w:rPr>
        <w:t>1.1 Submission Method for Tender Documents: Electronic tender documents may be submitted at any time before the deadline for submitting initial tender documents by logging into the National Public Resources Trading Platform (Shaanxi Province · Yangling Demonstration Zone) website and navigating to "Electronic Trading Platform&gt; Enterprise Portal". Submissions received after the deadline will not be accepted. To submit, suppliers should log in to the National Public Resources Trading Center platform (Shaanxi Province · Yangling Demonstration Zone), select "Home&gt; Electronic Trading Platform&gt; Enterprise Portal&gt; My Projects", click "Project Process", and then choose "Upload Tender Document" in the pop-up "Project Management" dialog box to upload the encrypted electronic tender document (*.SXSTF). Successful uploads will be recorded by the electronic platform.</w:t>
      </w:r>
    </w:p>
    <w:p w14:paraId="463D6F8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Times New Roman" w:hAnsi="宋体" w:eastAsia="微软雅黑" w:cs="宋体"/>
          <w:color w:val="auto"/>
          <w:kern w:val="2"/>
          <w:sz w:val="24"/>
          <w:szCs w:val="24"/>
          <w:highlight w:val="none"/>
          <w:lang w:val="en-US" w:eastAsia="zh-CN" w:bidi="ar-SA"/>
        </w:rPr>
        <w:t>1.2 The tenderer shall not accept bid documents submitted after the deadline.</w:t>
      </w:r>
    </w:p>
    <w:p w14:paraId="1924C2E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Times New Roman" w:hAnsi="宋体" w:eastAsia="微软雅黑" w:cs="宋体"/>
          <w:color w:val="auto"/>
          <w:kern w:val="2"/>
          <w:sz w:val="24"/>
          <w:szCs w:val="24"/>
          <w:highlight w:val="none"/>
          <w:lang w:val="en-US" w:eastAsia="zh-CN" w:bidi="ar-SA"/>
        </w:rPr>
        <w:t>1.3 After submitting their tender documents, suppliers may withdraw, supplement, or modify the submitted documents before the deadline for document submission. For electronic tender documents, any supplementation or modification must first involve withdrawing the old version from the electronic trading platform and then resubmitting the updated version.</w:t>
      </w:r>
    </w:p>
    <w:p w14:paraId="05C9E905">
      <w:pPr>
        <w:adjustRightInd w:val="0"/>
        <w:snapToGrid w:val="0"/>
        <w:spacing w:line="500" w:lineRule="exact"/>
        <w:ind w:firstLine="480" w:firstLineChars="200"/>
        <w:rPr>
          <w:rFonts w:ascii="宋体" w:hAnsi="宋体" w:cs="宋体"/>
          <w:sz w:val="24"/>
          <w:szCs w:val="24"/>
          <w:highlight w:val="none"/>
        </w:rPr>
      </w:pPr>
      <w:r>
        <w:rPr>
          <w:rFonts w:hint="eastAsia" w:ascii="Times New Roman" w:hAnsi="宋体" w:eastAsia="微软雅黑" w:cs="宋体"/>
          <w:color w:val="auto"/>
          <w:kern w:val="2"/>
          <w:sz w:val="24"/>
          <w:szCs w:val="24"/>
          <w:highlight w:val="none"/>
          <w:lang w:val="en-US" w:eastAsia="zh-CN" w:bidi="ar-SA"/>
        </w:rPr>
        <w:t>1.4 Suppliers may not withdraw their tender documents after the submission deadline for tender documents.</w:t>
      </w:r>
    </w:p>
    <w:p w14:paraId="0F626506">
      <w:pPr>
        <w:widowControl/>
        <w:spacing w:before="159" w:beforeLines="50" w:after="159" w:afterLines="50" w:line="500" w:lineRule="exact"/>
        <w:jc w:val="center"/>
        <w:outlineLvl w:val="1"/>
        <w:rPr>
          <w:rFonts w:hint="eastAsia" w:ascii="宋体" w:hAnsi="宋体" w:eastAsia="宋体" w:cs="宋体"/>
          <w:b/>
          <w:bCs/>
          <w:kern w:val="0"/>
          <w:sz w:val="32"/>
          <w:szCs w:val="28"/>
          <w:highlight w:val="none"/>
          <w:lang w:eastAsia="zh-CN"/>
        </w:rPr>
      </w:pPr>
      <w:bookmarkStart w:id="157" w:name="_Toc23451"/>
      <w:bookmarkStart w:id="158" w:name="_Toc17748"/>
      <w:bookmarkStart w:id="159" w:name="_Toc14415"/>
      <w:bookmarkStart w:id="160" w:name="_Toc27066"/>
      <w:bookmarkStart w:id="161" w:name="_Toc26294"/>
      <w:bookmarkStart w:id="162" w:name="_Toc25166"/>
      <w:bookmarkStart w:id="163" w:name="_Toc375"/>
      <w:r>
        <w:rPr>
          <w:rFonts w:hint="eastAsia" w:ascii="Times New Roman" w:hAnsi="宋体" w:eastAsia="微软雅黑" w:cs="宋体"/>
          <w:b/>
          <w:bCs/>
          <w:kern w:val="0"/>
          <w:sz w:val="32"/>
          <w:szCs w:val="28"/>
          <w:highlight w:val="none"/>
          <w:lang w:val="en-US" w:eastAsia="zh-CN" w:bidi="ar-SA"/>
        </w:rPr>
        <w:t>V. Bid Opening, Evaluation, and Award Selection</w:t>
      </w:r>
      <w:bookmarkEnd w:id="157"/>
      <w:bookmarkEnd w:id="158"/>
      <w:bookmarkEnd w:id="159"/>
      <w:bookmarkEnd w:id="160"/>
      <w:bookmarkEnd w:id="161"/>
      <w:bookmarkEnd w:id="162"/>
      <w:bookmarkEnd w:id="163"/>
    </w:p>
    <w:p w14:paraId="4DC8E870">
      <w:pPr>
        <w:pStyle w:val="4"/>
        <w:keepNext w:val="0"/>
        <w:keepLines w:val="0"/>
        <w:spacing w:line="500" w:lineRule="exact"/>
        <w:ind w:left="200" w:firstLine="562"/>
        <w:rPr>
          <w:rFonts w:hint="eastAsia" w:ascii="宋体" w:hAnsi="宋体" w:eastAsia="宋体" w:cs="宋体"/>
          <w:szCs w:val="28"/>
          <w:highlight w:val="none"/>
          <w:lang w:eastAsia="zh-CN"/>
        </w:rPr>
      </w:pPr>
      <w:bookmarkStart w:id="164" w:name="_Toc25883"/>
      <w:bookmarkStart w:id="165" w:name="_Toc4374"/>
      <w:bookmarkStart w:id="166" w:name="_Toc8767"/>
      <w:bookmarkStart w:id="167" w:name="_Toc27216"/>
      <w:bookmarkStart w:id="168" w:name="_Toc16604"/>
      <w:bookmarkStart w:id="169" w:name="_Toc9239"/>
      <w:bookmarkStart w:id="170" w:name="_Toc19476"/>
      <w:bookmarkStart w:id="171" w:name="_Toc1291"/>
      <w:bookmarkStart w:id="172" w:name="_Toc3399"/>
      <w:bookmarkStart w:id="173" w:name="_Toc5904"/>
      <w:r>
        <w:rPr>
          <w:rFonts w:hint="eastAsia" w:ascii="Times New Roman" w:hAnsi="宋体" w:eastAsia="微软雅黑" w:cs="宋体"/>
          <w:b/>
          <w:kern w:val="2"/>
          <w:sz w:val="28"/>
          <w:szCs w:val="28"/>
          <w:highlight w:val="none"/>
          <w:lang w:val="en-US" w:eastAsia="zh-CN" w:bidi="ar-SA"/>
        </w:rPr>
        <w:t>1. Bid Opening</w:t>
      </w:r>
      <w:bookmarkEnd w:id="164"/>
      <w:bookmarkEnd w:id="165"/>
      <w:bookmarkEnd w:id="166"/>
      <w:bookmarkEnd w:id="167"/>
      <w:bookmarkEnd w:id="168"/>
      <w:bookmarkEnd w:id="169"/>
      <w:bookmarkEnd w:id="170"/>
      <w:bookmarkEnd w:id="171"/>
      <w:bookmarkEnd w:id="172"/>
      <w:bookmarkEnd w:id="173"/>
    </w:p>
    <w:p w14:paraId="01017E82">
      <w:pPr>
        <w:widowControl/>
        <w:tabs>
          <w:tab w:val="left" w:pos="0"/>
        </w:tabs>
        <w:spacing w:line="500" w:lineRule="exact"/>
        <w:ind w:firstLine="480" w:firstLineChars="200"/>
        <w:jc w:val="left"/>
        <w:rPr>
          <w:rFonts w:hint="eastAsia" w:ascii="宋体" w:hAnsi="宋体" w:eastAsia="宋体" w:cs="宋体"/>
          <w:color w:val="000000"/>
          <w:sz w:val="24"/>
          <w:szCs w:val="24"/>
          <w:highlight w:val="none"/>
          <w:lang w:eastAsia="zh-CN"/>
        </w:rPr>
      </w:pPr>
      <w:r>
        <w:rPr>
          <w:rFonts w:hint="eastAsia" w:ascii="Times New Roman" w:hAnsi="宋体" w:eastAsia="微软雅黑" w:cs="宋体"/>
          <w:color w:val="000000"/>
          <w:kern w:val="2"/>
          <w:sz w:val="24"/>
          <w:szCs w:val="24"/>
          <w:highlight w:val="none"/>
          <w:lang w:val="en-US" w:eastAsia="zh-CN" w:bidi="ar-SA"/>
        </w:rPr>
        <w:t>1.1 The procurement agency shall convene the bid opening meeting at the time and location specified in the tender announcement; members of the bid evaluation committee are not permitted to attend the bid opening session.</w:t>
      </w:r>
    </w:p>
    <w:p w14:paraId="37560AD6">
      <w:pPr>
        <w:widowControl/>
        <w:tabs>
          <w:tab w:val="left" w:pos="0"/>
        </w:tabs>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1.2 During bid opening, if any of the following circumstances are found in the tender documents, the amendment principles shall apply as follows:</w:t>
      </w:r>
    </w:p>
    <w:p w14:paraId="6B7D9D6E">
      <w:pPr>
        <w:numPr>
          <w:ilvl w:val="0"/>
          <w:numId w:val="5"/>
        </w:numPr>
        <w:spacing w:line="500" w:lineRule="exact"/>
        <w:ind w:left="0" w:leftChars="0" w:firstLine="420" w:firstLineChars="0"/>
        <w:jc w:val="left"/>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In case of any discrepancy between the contents of the quotation schedule (quotation table) in the tender documents and the corresponding sections within the tender documents, the quotation schedule (quotation table) shall prevail.</w:t>
      </w:r>
    </w:p>
    <w:p w14:paraId="091F9994">
      <w:pPr>
        <w:numPr>
          <w:ilvl w:val="0"/>
          <w:numId w:val="5"/>
        </w:numPr>
        <w:spacing w:line="500" w:lineRule="exact"/>
        <w:ind w:left="0" w:leftChars="0" w:firstLine="420" w:firstLineChars="0"/>
        <w:jc w:val="left"/>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If there is a discrepancy between the amount in capital letters and the amount in numerals, the amount in capital letters shall prevail.</w:t>
      </w:r>
    </w:p>
    <w:p w14:paraId="39BFB62F">
      <w:pPr>
        <w:numPr>
          <w:ilvl w:val="0"/>
          <w:numId w:val="5"/>
        </w:numPr>
        <w:spacing w:line="500" w:lineRule="exact"/>
        <w:ind w:left="0" w:leftChars="0" w:firstLine="420" w:firstLineChars="0"/>
        <w:jc w:val="left"/>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If there is a significant discrepancy in the decimal point position or percentage value of unit prices, the total amount in the quotation list shall prevail and the unit prices shall be adjusted accordingly.</w:t>
      </w:r>
    </w:p>
    <w:p w14:paraId="7D5FB6FB">
      <w:pPr>
        <w:numPr>
          <w:ilvl w:val="0"/>
          <w:numId w:val="5"/>
        </w:numPr>
        <w:spacing w:line="500" w:lineRule="exact"/>
        <w:ind w:left="0" w:leftChars="0" w:firstLine="420" w:firstLineChars="0"/>
        <w:jc w:val="left"/>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In case of discrepancy between the total amount and the sum calculated based on unit prices, the result derived from the unit price calculation shall prevail.</w:t>
      </w:r>
    </w:p>
    <w:p w14:paraId="5CBA8188">
      <w:pPr>
        <w:numPr>
          <w:ilvl w:val="0"/>
          <w:numId w:val="5"/>
        </w:numPr>
        <w:spacing w:line="500" w:lineRule="exact"/>
        <w:ind w:left="0" w:leftChars="0" w:firstLine="420" w:firstLineChars="0"/>
        <w:jc w:val="left"/>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In case of inconsistency between the original and duplicate copies of the tender documents, the original shall prevail.</w:t>
      </w:r>
    </w:p>
    <w:p w14:paraId="630A8F8B">
      <w:pPr>
        <w:numPr>
          <w:ilvl w:val="0"/>
          <w:numId w:val="5"/>
        </w:numPr>
        <w:spacing w:line="500" w:lineRule="exact"/>
        <w:ind w:left="0" w:leftChars="0" w:firstLine="420" w:firstLineChars="0"/>
        <w:jc w:val="left"/>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If the quotation list submitted separately in sealed form differs from the original document, the separate sealed quotation list shall prevail.</w:t>
      </w:r>
    </w:p>
    <w:p w14:paraId="4D137D32">
      <w:pPr>
        <w:spacing w:line="500" w:lineRule="exact"/>
        <w:ind w:firstLine="480" w:firstLineChars="200"/>
        <w:jc w:val="left"/>
        <w:rPr>
          <w:rFonts w:hint="eastAsia" w:ascii="宋体" w:hAnsi="宋体" w:eastAsia="宋体" w:cs="宋体"/>
          <w:kern w:val="0"/>
          <w:sz w:val="24"/>
          <w:szCs w:val="24"/>
          <w:highlight w:val="none"/>
          <w:lang w:eastAsia="zh-CN"/>
        </w:rPr>
      </w:pPr>
      <w:r>
        <w:rPr>
          <w:rFonts w:hint="eastAsia" w:ascii="Times New Roman" w:hAnsi="宋体" w:eastAsia="微软雅黑" w:cs="宋体"/>
          <w:kern w:val="0"/>
          <w:sz w:val="24"/>
          <w:szCs w:val="24"/>
          <w:highlight w:val="none"/>
          <w:lang w:val="en-US" w:eastAsia="zh-CN" w:bidi="ar-SA"/>
        </w:rPr>
        <w:t>Where two or more inconsistencies occur simultaneously, corrections shall be made in the order specified in the preceding paragraph. The amended quotation shall become binding upon supplier confirmation in accordance with Paragraph 2 of Article 51 of the Measures for the Administration of Government Procurement of Goods and Services Tendering; if the supplier does not confirm it, the bid shall be invalid.</w:t>
      </w:r>
    </w:p>
    <w:p w14:paraId="03099C1D">
      <w:pPr>
        <w:pStyle w:val="4"/>
        <w:keepNext w:val="0"/>
        <w:keepLines w:val="0"/>
        <w:spacing w:line="500" w:lineRule="exact"/>
        <w:ind w:left="200" w:firstLine="562"/>
        <w:rPr>
          <w:rFonts w:hint="eastAsia" w:ascii="宋体" w:hAnsi="宋体" w:eastAsia="宋体" w:cs="宋体"/>
          <w:szCs w:val="28"/>
          <w:highlight w:val="none"/>
          <w:lang w:eastAsia="zh-CN"/>
        </w:rPr>
      </w:pPr>
      <w:bookmarkStart w:id="174" w:name="_Toc21249"/>
      <w:bookmarkStart w:id="175" w:name="_Toc801"/>
      <w:bookmarkStart w:id="176" w:name="_Toc3057"/>
      <w:bookmarkStart w:id="177" w:name="_Toc11967"/>
      <w:bookmarkStart w:id="178" w:name="_Toc21992"/>
      <w:bookmarkStart w:id="179" w:name="_Toc2145"/>
      <w:bookmarkStart w:id="180" w:name="_Toc4284"/>
      <w:bookmarkStart w:id="181" w:name="_Toc380336750"/>
      <w:bookmarkStart w:id="182" w:name="_Toc26137"/>
      <w:bookmarkStart w:id="183" w:name="_Toc20569"/>
      <w:bookmarkStart w:id="184" w:name="_Toc358364344"/>
      <w:bookmarkStart w:id="185" w:name="_Toc12917"/>
      <w:bookmarkStart w:id="186" w:name="_Toc11812"/>
      <w:r>
        <w:rPr>
          <w:rFonts w:hint="eastAsia" w:ascii="Times New Roman" w:hAnsi="宋体" w:eastAsia="微软雅黑" w:cs="宋体"/>
          <w:b/>
          <w:kern w:val="2"/>
          <w:sz w:val="28"/>
          <w:szCs w:val="28"/>
          <w:highlight w:val="none"/>
          <w:lang w:val="en-US" w:eastAsia="zh-CN" w:bidi="ar-SA"/>
        </w:rPr>
        <w:t>2. Bid Evaluation Committee</w:t>
      </w:r>
      <w:bookmarkEnd w:id="174"/>
      <w:bookmarkEnd w:id="175"/>
      <w:bookmarkEnd w:id="176"/>
      <w:bookmarkEnd w:id="177"/>
      <w:bookmarkEnd w:id="178"/>
      <w:bookmarkEnd w:id="179"/>
      <w:bookmarkEnd w:id="180"/>
      <w:bookmarkEnd w:id="181"/>
      <w:bookmarkEnd w:id="182"/>
      <w:bookmarkEnd w:id="183"/>
      <w:bookmarkEnd w:id="184"/>
      <w:bookmarkEnd w:id="185"/>
      <w:bookmarkEnd w:id="186"/>
    </w:p>
    <w:p w14:paraId="42E8B313">
      <w:pPr>
        <w:widowControl/>
        <w:spacing w:line="460" w:lineRule="exact"/>
        <w:ind w:firstLine="420" w:firstLineChars="175"/>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2.1 To ensure that the bid evaluation process is open, fair, and impartial, a Bid Evaluation Committee shall be established in accordance with the law. The committee shall consist of representatives of the procuring entity and evaluation experts, with a total number of members exceeding five and being an odd number; among them, evaluation experts shall account for no less than two-thirds of the total membership. Members of the Bid Evaluation Committee shall comply with and fulfill the following responsibilities and obligations:</w:t>
      </w:r>
    </w:p>
    <w:p w14:paraId="7FAF3D45">
      <w:pPr>
        <w:spacing w:line="360" w:lineRule="auto"/>
        <w:ind w:firstLine="420" w:firstLineChars="175"/>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2.1.1 Comply with laws and regulations, perform duties objectively, impartially, and diligently, review whether the tender documents meet the requirements of the bidding documents, and provide an evaluation;</w:t>
      </w:r>
    </w:p>
    <w:p w14:paraId="3C163315">
      <w:pPr>
        <w:spacing w:line="360" w:lineRule="auto"/>
        <w:ind w:left="42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2.1.2 Requires suppliers to provide explanations or clarifications regarding matters in the tender documents;</w:t>
      </w:r>
    </w:p>
    <w:p w14:paraId="65F71B76">
      <w:pPr>
        <w:spacing w:line="360" w:lineRule="auto"/>
        <w:ind w:firstLine="420" w:firstLineChars="175"/>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2.1.3 Conduct bid evaluation in accordance with the requirements of the tender documents and the evaluation criteria, recommend a list of qualified winning candidates, and assume personal responsibility for the evaluation results;</w:t>
      </w:r>
    </w:p>
    <w:p w14:paraId="1EE784F3">
      <w:pPr>
        <w:spacing w:line="360" w:lineRule="auto"/>
        <w:ind w:left="42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2.1.4 Maintain confidentiality regarding the bid evaluation process, results, and suppliers' trade secrets;</w:t>
      </w:r>
    </w:p>
    <w:p w14:paraId="4CF46C92">
      <w:pPr>
        <w:spacing w:line="360" w:lineRule="auto"/>
        <w:ind w:left="42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2.1.5 Participate in drafting the bid evaluation result report;</w:t>
      </w:r>
    </w:p>
    <w:p w14:paraId="3732B366">
      <w:pPr>
        <w:spacing w:line="360" w:lineRule="auto"/>
        <w:ind w:left="42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2.1.6 Assist the procuring entity and the agency in responding to inquiries raised by suppliers;</w:t>
      </w:r>
    </w:p>
    <w:p w14:paraId="60F0DFFE">
      <w:pPr>
        <w:spacing w:line="360" w:lineRule="auto"/>
        <w:ind w:left="420"/>
        <w:jc w:val="left"/>
        <w:rPr>
          <w:rFonts w:hint="eastAsia" w:ascii="宋体" w:hAnsi="宋体" w:eastAsia="宋体" w:cs="宋体"/>
          <w:kern w:val="0"/>
          <w:sz w:val="24"/>
          <w:szCs w:val="24"/>
          <w:highlight w:val="none"/>
          <w:lang w:eastAsia="zh-CN"/>
        </w:rPr>
      </w:pPr>
      <w:r>
        <w:rPr>
          <w:rFonts w:hint="eastAsia" w:ascii="Times New Roman" w:hAnsi="宋体" w:eastAsia="微软雅黑" w:cs="宋体"/>
          <w:kern w:val="2"/>
          <w:sz w:val="24"/>
          <w:szCs w:val="24"/>
          <w:highlight w:val="none"/>
          <w:lang w:val="en-US" w:eastAsia="zh-CN" w:bidi="ar-SA"/>
        </w:rPr>
        <w:t>2.1.7 Collaborate with the finance department in handling complaints;</w:t>
      </w:r>
    </w:p>
    <w:p w14:paraId="0F7EBF0A">
      <w:pPr>
        <w:pStyle w:val="4"/>
        <w:spacing w:line="500" w:lineRule="exact"/>
        <w:ind w:left="200" w:firstLine="562"/>
        <w:rPr>
          <w:rFonts w:hint="eastAsia" w:ascii="宋体" w:hAnsi="宋体" w:eastAsia="宋体" w:cs="宋体"/>
          <w:szCs w:val="28"/>
          <w:highlight w:val="none"/>
          <w:lang w:eastAsia="zh-CN"/>
        </w:rPr>
      </w:pPr>
      <w:bookmarkStart w:id="187" w:name="_Toc29036"/>
      <w:bookmarkStart w:id="188" w:name="_Toc385958808"/>
      <w:bookmarkStart w:id="189" w:name="_Toc12465"/>
      <w:bookmarkStart w:id="190" w:name="_Toc27940"/>
      <w:bookmarkStart w:id="191" w:name="_Toc23584"/>
      <w:bookmarkStart w:id="192" w:name="_Toc19276"/>
      <w:bookmarkStart w:id="193" w:name="_Toc28085"/>
      <w:bookmarkStart w:id="194" w:name="_Toc5609"/>
      <w:bookmarkStart w:id="195" w:name="_Toc10908"/>
      <w:bookmarkStart w:id="196" w:name="_Toc386129876"/>
      <w:bookmarkStart w:id="197" w:name="_Toc5172"/>
      <w:bookmarkStart w:id="198" w:name="_Toc31862"/>
      <w:bookmarkStart w:id="199" w:name="_Toc21728"/>
      <w:r>
        <w:rPr>
          <w:rFonts w:hint="eastAsia" w:ascii="Times New Roman" w:hAnsi="宋体" w:eastAsia="微软雅黑" w:cs="宋体"/>
          <w:b/>
          <w:kern w:val="2"/>
          <w:sz w:val="28"/>
          <w:szCs w:val="28"/>
          <w:highlight w:val="none"/>
          <w:lang w:val="en-US" w:eastAsia="zh-CN" w:bidi="ar-SA"/>
        </w:rPr>
        <w:t>3. Preliminary Review of Tender Documents</w:t>
      </w:r>
      <w:bookmarkEnd w:id="187"/>
      <w:bookmarkEnd w:id="188"/>
      <w:bookmarkEnd w:id="189"/>
      <w:bookmarkEnd w:id="190"/>
      <w:bookmarkEnd w:id="191"/>
      <w:bookmarkEnd w:id="192"/>
      <w:bookmarkEnd w:id="193"/>
      <w:bookmarkEnd w:id="194"/>
      <w:bookmarkEnd w:id="195"/>
      <w:bookmarkEnd w:id="196"/>
      <w:bookmarkEnd w:id="197"/>
      <w:bookmarkEnd w:id="198"/>
      <w:bookmarkEnd w:id="199"/>
    </w:p>
    <w:p w14:paraId="5B111BDF">
      <w:pPr>
        <w:overflowPunct w:val="0"/>
        <w:adjustRightInd w:val="0"/>
        <w:snapToGrid w:val="0"/>
        <w:spacing w:line="500" w:lineRule="exact"/>
        <w:ind w:left="420"/>
        <w:rPr>
          <w:rFonts w:hint="eastAsia" w:ascii="宋体" w:hAnsi="宋体" w:eastAsia="宋体" w:cs="宋体"/>
          <w:kern w:val="0"/>
          <w:sz w:val="24"/>
          <w:szCs w:val="24"/>
          <w:highlight w:val="none"/>
          <w:lang w:eastAsia="zh-CN"/>
        </w:rPr>
      </w:pPr>
      <w:r>
        <w:rPr>
          <w:rFonts w:hint="eastAsia" w:ascii="Times New Roman" w:hAnsi="宋体" w:eastAsia="微软雅黑" w:cs="宋体"/>
          <w:kern w:val="0"/>
          <w:sz w:val="24"/>
          <w:szCs w:val="24"/>
          <w:highlight w:val="none"/>
          <w:lang w:val="en-US" w:eastAsia="zh-CN" w:bidi="ar-SA"/>
        </w:rPr>
        <w:t>3.1 Qualification Review of Suppliers</w:t>
      </w:r>
    </w:p>
    <w:p w14:paraId="7BC956F8">
      <w:pPr>
        <w:overflowPunct w:val="0"/>
        <w:adjustRightInd w:val="0"/>
        <w:snapToGrid w:val="0"/>
        <w:spacing w:line="360" w:lineRule="auto"/>
        <w:ind w:firstLine="480" w:firstLineChars="200"/>
        <w:rPr>
          <w:rFonts w:hint="eastAsia" w:ascii="宋体" w:hAnsi="宋体" w:eastAsia="宋体" w:cs="宋体"/>
          <w:kern w:val="0"/>
          <w:sz w:val="24"/>
          <w:szCs w:val="24"/>
          <w:highlight w:val="none"/>
          <w:lang w:eastAsia="zh-CN"/>
        </w:rPr>
      </w:pPr>
      <w:r>
        <w:rPr>
          <w:rFonts w:hint="eastAsia" w:ascii="Times New Roman" w:hAnsi="宋体" w:eastAsia="微软雅黑" w:cs="宋体"/>
          <w:kern w:val="0"/>
          <w:sz w:val="24"/>
          <w:szCs w:val="24"/>
          <w:highlight w:val="none"/>
          <w:lang w:val="en-US" w:eastAsia="zh-CN" w:bidi="ar-SA"/>
        </w:rPr>
        <w:t>In accordance with laws, regulations, and the provisions of the tender documents, the procuring entity or its authorized agency shall review the supplier's qualification documentation to verify compliance with required qualifications. Details of the qualification review criteria are specified in the appendix preceding the Supplier Guidelines.</w:t>
      </w:r>
    </w:p>
    <w:p w14:paraId="7ED97330">
      <w:pPr>
        <w:overflowPunct w:val="0"/>
        <w:adjustRightInd w:val="0"/>
        <w:snapToGrid w:val="0"/>
        <w:spacing w:line="360" w:lineRule="auto"/>
        <w:ind w:firstLine="480" w:firstLineChars="200"/>
        <w:rPr>
          <w:rFonts w:hint="eastAsia" w:ascii="宋体" w:hAnsi="宋体" w:eastAsia="宋体" w:cs="宋体"/>
          <w:kern w:val="0"/>
          <w:sz w:val="24"/>
          <w:szCs w:val="24"/>
          <w:highlight w:val="none"/>
          <w:lang w:eastAsia="zh-CN"/>
        </w:rPr>
      </w:pPr>
      <w:r>
        <w:rPr>
          <w:rFonts w:hint="eastAsia" w:ascii="Times New Roman" w:hAnsi="宋体" w:eastAsia="微软雅黑" w:cs="宋体"/>
          <w:kern w:val="0"/>
          <w:sz w:val="24"/>
          <w:szCs w:val="24"/>
          <w:highlight w:val="none"/>
          <w:lang w:val="en-US" w:eastAsia="zh-CN" w:bidi="ar-SA"/>
        </w:rPr>
        <w:t>3.2 Compliance Review of Tender Documents</w:t>
      </w:r>
    </w:p>
    <w:p w14:paraId="0F5CB9A5">
      <w:pPr>
        <w:pStyle w:val="14"/>
        <w:snapToGrid w:val="0"/>
        <w:spacing w:line="360" w:lineRule="auto"/>
        <w:ind w:firstLine="480" w:firstLineChars="200"/>
        <w:rPr>
          <w:rFonts w:hint="eastAsia" w:hAnsi="宋体" w:eastAsia="宋体" w:cs="宋体"/>
          <w:kern w:val="0"/>
          <w:sz w:val="24"/>
          <w:szCs w:val="24"/>
          <w:highlight w:val="none"/>
          <w:lang w:eastAsia="zh-CN"/>
        </w:rPr>
      </w:pPr>
      <w:r>
        <w:rPr>
          <w:rFonts w:hint="eastAsia" w:ascii="Times New Roman" w:hAnsi="宋体" w:eastAsia="微软雅黑" w:cs="宋体"/>
          <w:color w:val="000000"/>
          <w:kern w:val="0"/>
          <w:sz w:val="24"/>
          <w:szCs w:val="24"/>
          <w:highlight w:val="none"/>
          <w:lang w:val="en-US" w:eastAsia="zh-CN" w:bidi="ar-SA"/>
        </w:rPr>
        <w:t>The bid evaluation committee shall conduct a compliance review of the tender documents submitted by qualified suppliers to determine whether they meet the substantive requirements specified in the tender documents. The details of the compliance review are outlined in the appendix preceding the Supplier Guidelines.</w:t>
      </w:r>
    </w:p>
    <w:p w14:paraId="709A507E">
      <w:pPr>
        <w:overflowPunct w:val="0"/>
        <w:adjustRightInd w:val="0"/>
        <w:snapToGrid w:val="0"/>
        <w:spacing w:line="360" w:lineRule="auto"/>
        <w:ind w:firstLine="480" w:firstLineChars="200"/>
        <w:rPr>
          <w:rFonts w:hint="eastAsia" w:ascii="宋体" w:hAnsi="宋体" w:eastAsia="宋体" w:cs="宋体"/>
          <w:kern w:val="0"/>
          <w:sz w:val="24"/>
          <w:szCs w:val="24"/>
          <w:highlight w:val="none"/>
          <w:lang w:eastAsia="zh-CN"/>
        </w:rPr>
      </w:pPr>
      <w:r>
        <w:rPr>
          <w:rFonts w:hint="eastAsia" w:ascii="Times New Roman" w:hAnsi="宋体" w:eastAsia="微软雅黑" w:cs="宋体"/>
          <w:kern w:val="0"/>
          <w:sz w:val="24"/>
          <w:szCs w:val="24"/>
          <w:highlight w:val="none"/>
          <w:lang w:val="en-US" w:eastAsia="zh-CN" w:bidi="ar-SA"/>
        </w:rPr>
        <w:t>3.3 In any of the following circumstances, the supplier shall be deemed to have colluded in bidding, and its bid shall be invalid:</w:t>
      </w:r>
    </w:p>
    <w:p w14:paraId="57BD15B1">
      <w:pPr>
        <w:pStyle w:val="25"/>
        <w:spacing w:after="210" w:afterAutospacing="0" w:line="27" w:lineRule="atLeast"/>
        <w:jc w:val="both"/>
        <w:rPr>
          <w:rFonts w:hint="eastAsia" w:eastAsia="宋体"/>
          <w:highlight w:val="none"/>
          <w:lang w:eastAsia="zh-CN"/>
        </w:rPr>
      </w:pPr>
      <w:r>
        <w:rPr>
          <w:rFonts w:hint="eastAsia" w:ascii="Times New Roman" w:hAnsi="宋体" w:eastAsia="微软雅黑" w:cs="宋体"/>
          <w:kern w:val="0"/>
          <w:sz w:val="24"/>
          <w:szCs w:val="24"/>
          <w:highlight w:val="none"/>
          <w:lang w:val="en-US" w:eastAsia="zh-CN" w:bidi="ar-SA"/>
        </w:rPr>
        <w:t>(1) Tender documents submitted by different suppliers shall be prepared by the same entity or individual;</w:t>
      </w:r>
    </w:p>
    <w:p w14:paraId="5716E55B">
      <w:pPr>
        <w:pStyle w:val="25"/>
        <w:spacing w:after="210" w:afterAutospacing="0" w:line="27" w:lineRule="atLeast"/>
        <w:jc w:val="both"/>
        <w:rPr>
          <w:rFonts w:hint="eastAsia" w:eastAsia="宋体"/>
          <w:highlight w:val="none"/>
          <w:lang w:eastAsia="zh-CN"/>
        </w:rPr>
      </w:pPr>
      <w:r>
        <w:rPr>
          <w:rFonts w:hint="eastAsia" w:ascii="Times New Roman" w:hAnsi="宋体" w:eastAsia="微软雅黑" w:cs="宋体"/>
          <w:kern w:val="0"/>
          <w:sz w:val="24"/>
          <w:szCs w:val="24"/>
          <w:highlight w:val="none"/>
          <w:lang w:val="en-US" w:eastAsia="zh-CN" w:bidi="ar-SA"/>
        </w:rPr>
        <w:t>(2) The project management members or contact persons specified in the tender documents of different suppliers are the same individual;</w:t>
      </w:r>
    </w:p>
    <w:p w14:paraId="53A932FC">
      <w:pPr>
        <w:pStyle w:val="25"/>
        <w:spacing w:after="210" w:afterAutospacing="0" w:line="27" w:lineRule="atLeast"/>
        <w:jc w:val="both"/>
        <w:rPr>
          <w:rFonts w:hint="eastAsia" w:eastAsia="宋体"/>
          <w:highlight w:val="none"/>
          <w:lang w:eastAsia="zh-CN"/>
        </w:rPr>
      </w:pPr>
      <w:r>
        <w:rPr>
          <w:rFonts w:hint="eastAsia" w:ascii="Times New Roman" w:hAnsi="宋体" w:eastAsia="微软雅黑" w:cs="宋体"/>
          <w:kern w:val="0"/>
          <w:sz w:val="24"/>
          <w:szCs w:val="24"/>
          <w:highlight w:val="none"/>
          <w:lang w:val="en-US" w:eastAsia="zh-CN" w:bidi="ar-SA"/>
        </w:rPr>
        <w:t>(3) The tender documents from different suppliers exhibit unusually consistent characteristics, or the bid prices show regular variations;</w:t>
      </w:r>
    </w:p>
    <w:p w14:paraId="4730B389">
      <w:pPr>
        <w:pStyle w:val="25"/>
        <w:spacing w:after="210" w:afterAutospacing="0" w:line="27" w:lineRule="atLeast"/>
        <w:jc w:val="both"/>
        <w:rPr>
          <w:rFonts w:hint="eastAsia" w:eastAsia="宋体"/>
          <w:highlight w:val="none"/>
          <w:lang w:eastAsia="zh-CN"/>
        </w:rPr>
      </w:pPr>
      <w:r>
        <w:rPr>
          <w:rFonts w:hint="eastAsia" w:ascii="Times New Roman" w:hAnsi="宋体" w:eastAsia="微软雅黑" w:cs="宋体"/>
          <w:kern w:val="0"/>
          <w:sz w:val="24"/>
          <w:szCs w:val="24"/>
          <w:highlight w:val="none"/>
          <w:lang w:val="en-US" w:eastAsia="zh-CN" w:bidi="ar-SA"/>
        </w:rPr>
        <w:t>(4) Bid documents from different suppliers are mixed together;</w:t>
      </w:r>
    </w:p>
    <w:p w14:paraId="00C8638B">
      <w:pPr>
        <w:tabs>
          <w:tab w:val="left" w:pos="0"/>
        </w:tabs>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3.4 For bids that pass the review and are deemed complete and compliant, their bids shall be considered valid and proceed to the next stage of evaluation.</w:t>
      </w:r>
    </w:p>
    <w:p w14:paraId="216A4120">
      <w:pPr>
        <w:pStyle w:val="4"/>
        <w:spacing w:line="500" w:lineRule="exact"/>
        <w:ind w:left="200" w:firstLine="562"/>
        <w:rPr>
          <w:rFonts w:hint="eastAsia" w:ascii="宋体" w:hAnsi="宋体" w:eastAsia="宋体" w:cs="宋体"/>
          <w:szCs w:val="28"/>
          <w:highlight w:val="none"/>
          <w:lang w:eastAsia="zh-CN"/>
        </w:rPr>
      </w:pPr>
      <w:bookmarkStart w:id="200" w:name="_Toc31817"/>
      <w:bookmarkStart w:id="201" w:name="_Toc13155"/>
      <w:bookmarkStart w:id="202" w:name="_Toc22633"/>
      <w:bookmarkStart w:id="203" w:name="_Toc29254"/>
      <w:bookmarkStart w:id="204" w:name="_Toc2171"/>
      <w:bookmarkStart w:id="205" w:name="_Toc32132"/>
      <w:bookmarkStart w:id="206" w:name="_Toc17705"/>
      <w:bookmarkStart w:id="207" w:name="_Toc25423"/>
      <w:bookmarkStart w:id="208" w:name="_Toc27302"/>
      <w:bookmarkStart w:id="209" w:name="_Toc25867"/>
      <w:r>
        <w:rPr>
          <w:rFonts w:hint="eastAsia" w:ascii="Times New Roman" w:hAnsi="宋体" w:eastAsia="微软雅黑" w:cs="宋体"/>
          <w:b/>
          <w:kern w:val="2"/>
          <w:sz w:val="28"/>
          <w:szCs w:val="28"/>
          <w:highlight w:val="none"/>
          <w:lang w:val="en-US" w:eastAsia="zh-CN" w:bidi="ar-SA"/>
        </w:rPr>
        <w:t>4. Clarifications to the Tender Documents</w:t>
      </w:r>
      <w:bookmarkEnd w:id="200"/>
      <w:bookmarkEnd w:id="201"/>
      <w:bookmarkEnd w:id="202"/>
      <w:bookmarkEnd w:id="203"/>
      <w:bookmarkEnd w:id="204"/>
      <w:bookmarkEnd w:id="205"/>
      <w:bookmarkEnd w:id="206"/>
      <w:bookmarkEnd w:id="207"/>
      <w:bookmarkEnd w:id="208"/>
      <w:bookmarkEnd w:id="209"/>
    </w:p>
    <w:p w14:paraId="6A8EEDCF">
      <w:pPr>
        <w:overflowPunct w:val="0"/>
        <w:adjustRightInd w:val="0"/>
        <w:snapToGrid w:val="0"/>
        <w:spacing w:line="500" w:lineRule="exact"/>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4.1 During the bid evaluation period, the procurement agency may request suppliers to provide clarifications on any ambiguous or disputed aspects of their tender documents as identified by the Evaluation Committee.</w:t>
      </w:r>
    </w:p>
    <w:p w14:paraId="1CBA5636">
      <w:pPr>
        <w:spacing w:line="500" w:lineRule="exact"/>
        <w:ind w:firstLine="480" w:firstLineChars="200"/>
        <w:rPr>
          <w:rFonts w:hint="eastAsia" w:ascii="宋体" w:hAnsi="宋体" w:eastAsia="宋体" w:cs="宋体"/>
          <w:kern w:val="0"/>
          <w:sz w:val="24"/>
          <w:szCs w:val="24"/>
          <w:highlight w:val="none"/>
          <w:lang w:eastAsia="zh-CN"/>
        </w:rPr>
      </w:pPr>
      <w:r>
        <w:rPr>
          <w:rFonts w:hint="eastAsia" w:ascii="Times New Roman" w:hAnsi="宋体" w:eastAsia="微软雅黑" w:cs="宋体"/>
          <w:kern w:val="0"/>
          <w:sz w:val="24"/>
          <w:szCs w:val="24"/>
          <w:highlight w:val="none"/>
          <w:lang w:val="en-US" w:eastAsia="zh-CN" w:bidi="ar-SA"/>
        </w:rPr>
        <w:t>4.2 The supplier must submit a written response in accordance with the content and timeframe specified by the Evaluation Committee, which shall be signed and approved by the legal representative or supplier representative and shall form part of the tender documents. Any clarifications, explanations, or corrections must not exceed the scope of the tender documents or alter their substantive content. If the supplier refuses to make such clarifications, explanations, or corrections as required, the supplier shall bear solely the risk that the Evaluation Committee may deem its bid invalid.</w:t>
      </w:r>
    </w:p>
    <w:p w14:paraId="02FB327E">
      <w:pPr>
        <w:spacing w:line="500" w:lineRule="exact"/>
        <w:ind w:firstLine="480" w:firstLineChars="200"/>
        <w:rPr>
          <w:rFonts w:hint="eastAsia" w:ascii="宋体" w:hAnsi="宋体" w:eastAsia="宋体" w:cs="宋体"/>
          <w:color w:val="000000"/>
          <w:kern w:val="0"/>
          <w:sz w:val="24"/>
          <w:szCs w:val="24"/>
          <w:highlight w:val="none"/>
          <w:lang w:eastAsia="zh-CN"/>
        </w:rPr>
      </w:pPr>
      <w:r>
        <w:rPr>
          <w:rFonts w:hint="eastAsia" w:ascii="Times New Roman" w:hAnsi="宋体" w:eastAsia="微软雅黑" w:cs="宋体"/>
          <w:color w:val="000000"/>
          <w:kern w:val="2"/>
          <w:sz w:val="24"/>
          <w:szCs w:val="24"/>
          <w:highlight w:val="none"/>
          <w:lang w:val="en-US" w:eastAsia="zh-CN" w:bidi="ar-SA"/>
        </w:rPr>
        <w:t>4.3 If the Bid Evaluation Committee determines that a supplier's quotation is significantly lower than those of other suppliers who have passed the compliance review, and may potentially compromise product quality or indicate a lack of good faith in performance, it shall require the supplier to submit a written explanation within a reasonable timeframe at the evaluation site, accompanied by relevant supporting documents when necessary; if the supplier fails to demonstrate the reasonableness of its quotation, the Bid Evaluation Committee shall treat such bid as invalid.</w:t>
      </w:r>
    </w:p>
    <w:p w14:paraId="2E787015">
      <w:pPr>
        <w:pStyle w:val="4"/>
        <w:spacing w:line="500" w:lineRule="exact"/>
        <w:ind w:left="200" w:firstLine="562"/>
        <w:rPr>
          <w:rFonts w:hint="eastAsia" w:ascii="宋体" w:hAnsi="宋体" w:eastAsia="宋体" w:cs="宋体"/>
          <w:szCs w:val="28"/>
          <w:highlight w:val="none"/>
          <w:lang w:eastAsia="zh-CN"/>
        </w:rPr>
      </w:pPr>
      <w:bookmarkStart w:id="210" w:name="_Toc30947"/>
      <w:bookmarkStart w:id="211" w:name="_Toc6584"/>
      <w:bookmarkStart w:id="212" w:name="_Toc23242"/>
      <w:bookmarkStart w:id="213" w:name="_Toc19223"/>
      <w:bookmarkStart w:id="214" w:name="_Toc20545"/>
      <w:bookmarkStart w:id="215" w:name="_Toc3543"/>
      <w:bookmarkStart w:id="216" w:name="_Toc12511"/>
      <w:bookmarkStart w:id="217" w:name="_Toc17506"/>
      <w:bookmarkStart w:id="218" w:name="_Toc16689"/>
      <w:bookmarkStart w:id="219" w:name="_Toc8353"/>
      <w:r>
        <w:rPr>
          <w:rFonts w:hint="eastAsia" w:ascii="Times New Roman" w:hAnsi="宋体" w:eastAsia="微软雅黑" w:cs="宋体"/>
          <w:b/>
          <w:kern w:val="2"/>
          <w:sz w:val="28"/>
          <w:szCs w:val="28"/>
          <w:highlight w:val="none"/>
          <w:lang w:val="en-US" w:eastAsia="zh-CN" w:bidi="ar-SA"/>
        </w:rPr>
        <w:t>5. Bid Evaluation</w:t>
      </w:r>
      <w:bookmarkEnd w:id="210"/>
      <w:bookmarkEnd w:id="211"/>
      <w:bookmarkEnd w:id="212"/>
      <w:bookmarkEnd w:id="213"/>
      <w:bookmarkEnd w:id="214"/>
      <w:bookmarkEnd w:id="215"/>
      <w:bookmarkEnd w:id="216"/>
      <w:bookmarkEnd w:id="217"/>
      <w:bookmarkEnd w:id="218"/>
      <w:bookmarkEnd w:id="219"/>
    </w:p>
    <w:p w14:paraId="15AB1962">
      <w:pPr>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5.1 The Bid Evaluation Committee shall have the authority to address all issues arising during the bid opening and evaluation process in accordance with the provisions of the Government Procurement Law of the People's Republic of China and its implementing regulations, as well as the Measures for the Administration of Bidding and Tendering of Government Procurement of Goods and Services, adhering to the principles of openness, fairness, and impartiality.</w:t>
      </w:r>
    </w:p>
    <w:p w14:paraId="5A89D3A0">
      <w:pPr>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5.2 Application of the Comprehensive Scoring Method: A step-by-step evaluation approach is adopted. Suppliers failing any stage will not proceed to subsequent evaluations. All suppliers that pass all stages are subject to comparative analysis, independent scoring, and comprehensive evaluation by the Evaluation Committee based on the criteria specified in Part IV of the Public Tender Document. The Committee consolidates the scores and ranks the suppliers from highest to lowest total score, recommending 1 to 3 winning candidates. In cases where two or more suppliers have identical scores, ranking is determined by bid price scores; if both scores and bid prices are identical, ranking is determined by technical specification performance, followed by preparation of an evaluation report.</w:t>
      </w:r>
    </w:p>
    <w:p w14:paraId="1CB07408">
      <w:pPr>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According to the relevant provisions of the "Administrative Measures for Tendering and Bidding of Government Procurement of Goods and Services," for single-product procurement projects involving identical brand products, or for non-single-product procurement projects where multiple suppliers provide core products with exactly the same brand that have passed qualification and compliance reviews, all such suppliers participating in bidding under the same contract shall be treated as a single supplier. The supplier with the highest evaluation score for the same brand shall be recommended as the winning supplier; if evaluation scores are identical, the procuring entity or its authorized bid evaluation committee shall determine one supplier as the recommended winning supplier based on the highest quotation score.</w:t>
      </w:r>
    </w:p>
    <w:p w14:paraId="017395A0">
      <w:pPr>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5.3 The Bid Evaluation Committee shall only evaluate and compare bids that substantially comply with the tender documents; the evaluation shall strictly adhere to the requirements and conditions specified in the tender documents; specific evaluation principles and award criteria are detailed in Part IV "Bid Evaluation Methods" of the tender documents.</w:t>
      </w:r>
    </w:p>
    <w:p w14:paraId="453BC2B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ascii="Calibri" w:hAnsi="Calibri" w:cs="Calibri"/>
          <w:i w:val="0"/>
          <w:iCs w:val="0"/>
          <w:caps w:val="0"/>
          <w:color w:val="000000"/>
          <w:spacing w:val="0"/>
          <w:sz w:val="21"/>
          <w:szCs w:val="21"/>
          <w:highlight w:val="none"/>
        </w:rPr>
      </w:pPr>
      <w:r>
        <w:rPr>
          <w:rFonts w:hint="eastAsia" w:ascii="Times New Roman" w:hAnsi="宋体" w:eastAsia="微软雅黑" w:cs="宋体"/>
          <w:i w:val="0"/>
          <w:iCs w:val="0"/>
          <w:caps w:val="0"/>
          <w:color w:val="000000"/>
          <w:spacing w:val="0"/>
          <w:kern w:val="0"/>
          <w:sz w:val="24"/>
          <w:szCs w:val="24"/>
          <w:highlight w:val="none"/>
          <w:shd w:val="clear" w:fill="FFFFFF"/>
          <w:vertAlign w:val="baseline"/>
          <w:lang w:val="en-US" w:eastAsia="zh-CN" w:bidi="ar"/>
        </w:rPr>
        <w:t>5.4 Review of abnormally low prices in government procurement</w:t>
      </w:r>
    </w:p>
    <w:p w14:paraId="1839568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highlight w:val="none"/>
        </w:rPr>
      </w:pPr>
      <w:r>
        <w:rPr>
          <w:rFonts w:hint="eastAsia" w:ascii="Times New Roman" w:hAnsi="宋体" w:eastAsia="微软雅黑" w:cs="宋体"/>
          <w:i w:val="0"/>
          <w:iCs w:val="0"/>
          <w:caps w:val="0"/>
          <w:color w:val="000000"/>
          <w:spacing w:val="0"/>
          <w:kern w:val="0"/>
          <w:sz w:val="24"/>
          <w:szCs w:val="24"/>
          <w:highlight w:val="none"/>
          <w:shd w:val="clear" w:fill="FFFFFF"/>
          <w:vertAlign w:val="baseline"/>
          <w:lang w:val="en-US" w:eastAsia="zh-CN" w:bidi="ar"/>
        </w:rPr>
        <w:t>(1) The procuring entity shall specify in the procurement documents that, under any of the following circumstances during government procurement evaluation, the Evaluation Committee shall initiate the review procedure for abnormally low bids (responses):</w:t>
      </w:r>
    </w:p>
    <w:p w14:paraId="4A4394D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highlight w:val="none"/>
        </w:rPr>
      </w:pPr>
      <w:r>
        <w:rPr>
          <w:rFonts w:hint="eastAsia" w:ascii="Times New Roman" w:hAnsi="宋体" w:eastAsia="微软雅黑" w:cs="宋体"/>
          <w:i w:val="0"/>
          <w:iCs w:val="0"/>
          <w:caps w:val="0"/>
          <w:color w:val="000000"/>
          <w:spacing w:val="0"/>
          <w:kern w:val="0"/>
          <w:sz w:val="24"/>
          <w:szCs w:val="24"/>
          <w:highlight w:val="none"/>
          <w:shd w:val="clear" w:fill="FFFFFF"/>
          <w:vertAlign w:val="baseline"/>
          <w:lang w:val="en-US" w:eastAsia="zh-CN" w:bidi="ar"/>
        </w:rPr>
        <w:t>1. If the bid (response) quotation is below 50% of the average bid (response) quotation of all suppliers that have passed the compliance review, i.e., the bid (response) quotation &lt;50% × the average bid (response) quotation of all compliant suppliers;</w:t>
      </w:r>
    </w:p>
    <w:p w14:paraId="761BF00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highlight w:val="none"/>
        </w:rPr>
      </w:pPr>
      <w:r>
        <w:rPr>
          <w:rFonts w:hint="eastAsia" w:ascii="Times New Roman" w:hAnsi="宋体" w:eastAsia="微软雅黑" w:cs="宋体"/>
          <w:i w:val="0"/>
          <w:iCs w:val="0"/>
          <w:caps w:val="0"/>
          <w:color w:val="000000"/>
          <w:spacing w:val="0"/>
          <w:kern w:val="0"/>
          <w:sz w:val="24"/>
          <w:szCs w:val="24"/>
          <w:highlight w:val="none"/>
          <w:shd w:val="clear" w:fill="FFFFFF"/>
          <w:vertAlign w:val="baseline"/>
          <w:lang w:val="en-US" w:eastAsia="zh-CN" w:bidi="ar"/>
        </w:rPr>
        <w:t>2. If the bid (response) quotation is less than 50% of that of the supplier with the second-lowest quotation after passing the compliance review, i.e., the bid (response) quotation &lt;50% of the second-lowest quotation from the compliant supplier;</w:t>
      </w:r>
    </w:p>
    <w:p w14:paraId="49C8D42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highlight w:val="none"/>
        </w:rPr>
      </w:pPr>
      <w:r>
        <w:rPr>
          <w:rFonts w:hint="eastAsia" w:ascii="Times New Roman" w:hAnsi="宋体" w:eastAsia="微软雅黑" w:cs="宋体"/>
          <w:i w:val="0"/>
          <w:iCs w:val="0"/>
          <w:caps w:val="0"/>
          <w:color w:val="000000"/>
          <w:spacing w:val="0"/>
          <w:kern w:val="0"/>
          <w:sz w:val="24"/>
          <w:szCs w:val="24"/>
          <w:highlight w:val="none"/>
          <w:shd w:val="clear" w:fill="FFFFFF"/>
          <w:vertAlign w:val="baseline"/>
          <w:lang w:val="en-US" w:eastAsia="zh-CN" w:bidi="ar"/>
        </w:rPr>
        <w:t>3. If the bid (response) price is below 45% of the maximum price limit for the procurement project, i.e., &lt;maximum price limit × 45%;</w:t>
      </w:r>
    </w:p>
    <w:p w14:paraId="39FDE50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highlight w:val="none"/>
        </w:rPr>
      </w:pPr>
      <w:r>
        <w:rPr>
          <w:rFonts w:hint="eastAsia" w:ascii="Times New Roman" w:hAnsi="宋体" w:eastAsia="微软雅黑" w:cs="宋体"/>
          <w:i w:val="0"/>
          <w:iCs w:val="0"/>
          <w:caps w:val="0"/>
          <w:color w:val="000000"/>
          <w:spacing w:val="0"/>
          <w:kern w:val="0"/>
          <w:sz w:val="24"/>
          <w:szCs w:val="24"/>
          <w:highlight w:val="none"/>
          <w:shd w:val="clear" w:fill="FFFFFF"/>
          <w:vertAlign w:val="baseline"/>
          <w:lang w:val="en-US" w:eastAsia="zh-CN" w:bidi="ar"/>
        </w:rPr>
        <w:t>4. The Evaluation Committee, based on professional judgment, determines that the supplier's quotation is excessively low, may compromise product quality, or falls under other circumstances that indicate a lack of good faith in performance.</w:t>
      </w:r>
    </w:p>
    <w:p w14:paraId="4A7C9CC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highlight w:val="none"/>
        </w:rPr>
      </w:pPr>
      <w:r>
        <w:rPr>
          <w:rFonts w:hint="eastAsia" w:ascii="Times New Roman" w:hAnsi="宋体" w:eastAsia="微软雅黑" w:cs="宋体"/>
          <w:i w:val="0"/>
          <w:iCs w:val="0"/>
          <w:caps w:val="0"/>
          <w:color w:val="000000"/>
          <w:spacing w:val="0"/>
          <w:kern w:val="0"/>
          <w:sz w:val="24"/>
          <w:szCs w:val="24"/>
          <w:highlight w:val="none"/>
          <w:shd w:val="clear" w:fill="FFFFFF"/>
          <w:vertAlign w:val="baseline"/>
          <w:lang w:val="en-US" w:eastAsia="zh-CN" w:bidi="ar"/>
        </w:rPr>
        <w:t>The procuring entity may adjust the numerical thresholds for initiating review of abnormally low bids (responses) specified in items 1 to 3 above based on the specific project circumstances, provided that the adjustment shall not exceed 65%.</w:t>
      </w:r>
    </w:p>
    <w:p w14:paraId="58183B5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highlight w:val="none"/>
        </w:rPr>
      </w:pPr>
      <w:r>
        <w:rPr>
          <w:rFonts w:hint="eastAsia" w:ascii="Times New Roman" w:hAnsi="宋体" w:eastAsia="微软雅黑" w:cs="宋体"/>
          <w:i w:val="0"/>
          <w:iCs w:val="0"/>
          <w:caps w:val="0"/>
          <w:color w:val="000000"/>
          <w:spacing w:val="0"/>
          <w:kern w:val="0"/>
          <w:sz w:val="24"/>
          <w:szCs w:val="24"/>
          <w:highlight w:val="none"/>
          <w:shd w:val="clear" w:fill="FFFFFF"/>
          <w:vertAlign w:val="baseline"/>
          <w:lang w:val="en-US" w:eastAsia="zh-CN" w:bidi="ar"/>
        </w:rPr>
        <w:t>Where relevant laws and regulations specify requirements for supplier quotations, those provisions shall prevail.</w:t>
      </w:r>
    </w:p>
    <w:p w14:paraId="07B5054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highlight w:val="none"/>
        </w:rPr>
      </w:pPr>
      <w:r>
        <w:rPr>
          <w:rFonts w:hint="eastAsia" w:ascii="Times New Roman" w:hAnsi="宋体" w:eastAsia="微软雅黑" w:cs="宋体"/>
          <w:i w:val="0"/>
          <w:iCs w:val="0"/>
          <w:caps w:val="0"/>
          <w:color w:val="000000"/>
          <w:spacing w:val="0"/>
          <w:kern w:val="0"/>
          <w:sz w:val="24"/>
          <w:szCs w:val="24"/>
          <w:highlight w:val="none"/>
          <w:shd w:val="clear" w:fill="FFFFFF"/>
          <w:vertAlign w:val="baseline"/>
          <w:lang w:val="en-US" w:eastAsia="zh-CN" w:bidi="ar"/>
        </w:rPr>
        <w:t>(2) After the Evaluation Committee initiates the review of bids (responses) with abnormally low prices, if the case falls under any of the circumstances specified in items 1 to 4 above, it shall require the relevant supplier to provide an explanation regarding the bid (response) price within a reasonable time frame at the evaluation site, along with written explanations and necessary supporting documents related to the reasonableness of the quotation, such as specific cost estimates for the project—including but not limited to raw material costs, labor costs, and manufacturing expenses. The reasonable time granted to the supplier shall generally be no less than 30 minutes. For cases falling under item 3, if the supplier has already submitted the relevant written explanations and necessary supporting documents together with the bid (response) documents, they may be omitted during the evaluation process.</w:t>
      </w:r>
    </w:p>
    <w:p w14:paraId="00A17FB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highlight w:val="none"/>
        </w:rPr>
      </w:pPr>
      <w:r>
        <w:rPr>
          <w:rFonts w:hint="eastAsia" w:ascii="Times New Roman" w:hAnsi="宋体" w:eastAsia="微软雅黑" w:cs="宋体"/>
          <w:i w:val="0"/>
          <w:iCs w:val="0"/>
          <w:caps w:val="0"/>
          <w:color w:val="000000"/>
          <w:spacing w:val="0"/>
          <w:kern w:val="0"/>
          <w:sz w:val="24"/>
          <w:szCs w:val="24"/>
          <w:highlight w:val="none"/>
          <w:shd w:val="clear" w:fill="FFFFFF"/>
          <w:vertAlign w:val="baseline"/>
          <w:lang w:val="en-US" w:eastAsia="zh-CN" w:bidi="ar"/>
        </w:rPr>
        <w:t>The evaluation committee shall assess the reasonableness of quotations based on professional expertise, taking into account factors such as winning bid prices for similar projects, market price levels of comparable products, industry labor cost standards, and average industry costs published by relevant national authorities or industry associations. If a bidder fails to provide written explanations or supporting documents, or if such documents fail to demonstrate the reasonableness of their quotation, the committee shall deem the bid or response invalid.</w:t>
      </w:r>
    </w:p>
    <w:p w14:paraId="541BB61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highlight w:val="none"/>
        </w:rPr>
      </w:pPr>
      <w:r>
        <w:rPr>
          <w:rFonts w:hint="eastAsia" w:ascii="Times New Roman" w:hAnsi="宋体" w:eastAsia="微软雅黑" w:cs="宋体"/>
          <w:i w:val="0"/>
          <w:iCs w:val="0"/>
          <w:caps w:val="0"/>
          <w:color w:val="000000"/>
          <w:spacing w:val="0"/>
          <w:kern w:val="0"/>
          <w:sz w:val="24"/>
          <w:szCs w:val="24"/>
          <w:highlight w:val="none"/>
          <w:shd w:val="clear" w:fill="FFFFFF"/>
          <w:vertAlign w:val="baseline"/>
          <w:lang w:val="en-US" w:eastAsia="zh-CN" w:bidi="ar"/>
        </w:rPr>
        <w:t>The purchaser and the procurement agency shall facilitate the Evaluation Committee in promptly obtaining relevant information—including winning bid prices for similar projects, market price levels of comparable products, industry labor cost standards, and average industry costs published by relevant national authorities guiding industry associations—at the evaluation site. When accessing such information through online channels or other means, the Evaluation Committee must strictly adhere to evaluation procedures and refrain from any actions that could compromise the fairness of the assessment.</w:t>
      </w:r>
    </w:p>
    <w:p w14:paraId="0A1E0AF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highlight w:val="none"/>
        </w:rPr>
      </w:pPr>
      <w:r>
        <w:rPr>
          <w:rFonts w:hint="eastAsia" w:ascii="Times New Roman" w:hAnsi="宋体" w:eastAsia="微软雅黑" w:cs="宋体"/>
          <w:i w:val="0"/>
          <w:iCs w:val="0"/>
          <w:caps w:val="0"/>
          <w:color w:val="000000"/>
          <w:spacing w:val="0"/>
          <w:kern w:val="0"/>
          <w:sz w:val="24"/>
          <w:szCs w:val="24"/>
          <w:highlight w:val="none"/>
          <w:shd w:val="clear" w:fill="FFFFFF"/>
          <w:vertAlign w:val="baseline"/>
          <w:lang w:val="en-US" w:eastAsia="zh-CN" w:bidi="ar"/>
        </w:rPr>
        <w:t>The reasons for initiating the review of abnormal low bids (responses), the review comments, and the review results shall be documented in the evaluation report and archived together with the relevant written explanations and supporting materials provided by the supplier, as well as the evaluation committee's records of internet browsing activities and query history.</w:t>
      </w:r>
    </w:p>
    <w:p w14:paraId="77FAF2D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highlight w:val="none"/>
        </w:rPr>
      </w:pPr>
      <w:r>
        <w:rPr>
          <w:rFonts w:hint="eastAsia" w:ascii="Times New Roman" w:hAnsi="宋体" w:eastAsia="微软雅黑" w:cs="宋体"/>
          <w:i w:val="0"/>
          <w:iCs w:val="0"/>
          <w:caps w:val="0"/>
          <w:color w:val="000000"/>
          <w:spacing w:val="0"/>
          <w:kern w:val="0"/>
          <w:sz w:val="24"/>
          <w:szCs w:val="24"/>
          <w:highlight w:val="none"/>
          <w:shd w:val="clear" w:fill="FFFFFF"/>
          <w:vertAlign w:val="baseline"/>
          <w:lang w:val="en-US" w:eastAsia="zh-CN" w:bidi="ar"/>
        </w:rPr>
        <w:t>(3) Financial departments at all levels shall strengthen guidance and supervision of evaluation experts, further reinforcing their responsibilities. If financial departments identify during complaint handling or supervision inspections that the evaluation committee has failed to conduct reviews on abnormally low prices in accordance with regulations, they shall take corrective actions in accordance with the law and hold the evaluation experts legally accountable.</w:t>
      </w:r>
    </w:p>
    <w:p w14:paraId="40C5A9FE">
      <w:pPr>
        <w:pStyle w:val="4"/>
        <w:spacing w:line="500" w:lineRule="exact"/>
        <w:ind w:left="200" w:firstLine="562"/>
        <w:rPr>
          <w:rFonts w:hint="eastAsia" w:ascii="宋体" w:hAnsi="宋体" w:eastAsia="宋体" w:cs="宋体"/>
          <w:szCs w:val="28"/>
          <w:highlight w:val="none"/>
          <w:lang w:eastAsia="zh-CN"/>
        </w:rPr>
      </w:pPr>
      <w:bookmarkStart w:id="220" w:name="_Toc13265"/>
      <w:bookmarkStart w:id="221" w:name="_Toc24951"/>
      <w:bookmarkStart w:id="222" w:name="_Toc16276"/>
      <w:bookmarkStart w:id="223" w:name="_Toc32226"/>
      <w:bookmarkStart w:id="224" w:name="_Toc32646"/>
      <w:bookmarkStart w:id="225" w:name="_Toc30618"/>
      <w:bookmarkStart w:id="226" w:name="_Toc28921"/>
      <w:bookmarkStart w:id="227" w:name="_Toc6551"/>
      <w:bookmarkStart w:id="228" w:name="_Toc17362"/>
      <w:bookmarkStart w:id="229" w:name="_Toc12947"/>
      <w:r>
        <w:rPr>
          <w:rFonts w:hint="eastAsia" w:ascii="Times New Roman" w:hAnsi="宋体" w:eastAsia="微软雅黑" w:cs="宋体"/>
          <w:b/>
          <w:kern w:val="2"/>
          <w:sz w:val="28"/>
          <w:szCs w:val="28"/>
          <w:highlight w:val="none"/>
          <w:lang w:val="en-US" w:eastAsia="zh-CN" w:bidi="ar-SA"/>
        </w:rPr>
        <w:t>6. Calibration</w:t>
      </w:r>
      <w:bookmarkEnd w:id="220"/>
      <w:bookmarkEnd w:id="221"/>
      <w:bookmarkEnd w:id="222"/>
      <w:bookmarkEnd w:id="223"/>
      <w:bookmarkEnd w:id="224"/>
      <w:bookmarkEnd w:id="225"/>
      <w:bookmarkEnd w:id="226"/>
      <w:bookmarkEnd w:id="227"/>
      <w:bookmarkEnd w:id="228"/>
      <w:bookmarkEnd w:id="229"/>
    </w:p>
    <w:p w14:paraId="0FDFBB4A">
      <w:pPr>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6.1 The agency shall deliver the bid evaluation report to the procuring entity within one working day after the conclusion of the evaluation. Upon receipt of the report, the procuring entity shall confirm the first preferred bidder as the winning entity in accordance with the order of recommended candidates specified therein within four working days, and shall provide a written response to the agency.</w:t>
      </w:r>
    </w:p>
    <w:p w14:paraId="17AEBFA3">
      <w:pPr>
        <w:spacing w:line="500" w:lineRule="exact"/>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6.2 Within 1 working day after receiving the "Letter of Award Confirmation" from the procuring entity, the agency shall publish an announcement on the government procurement information platform designated by the financial department and issue a "Notice of Award" to the successful bidder.</w:t>
      </w:r>
    </w:p>
    <w:p w14:paraId="64C9221F">
      <w:pPr>
        <w:widowControl/>
        <w:spacing w:before="159" w:beforeLines="50" w:after="159" w:afterLines="50" w:line="500" w:lineRule="exact"/>
        <w:jc w:val="center"/>
        <w:outlineLvl w:val="1"/>
        <w:rPr>
          <w:rFonts w:hint="eastAsia" w:ascii="宋体" w:hAnsi="宋体" w:eastAsia="宋体" w:cs="宋体"/>
          <w:b/>
          <w:bCs/>
          <w:kern w:val="0"/>
          <w:sz w:val="32"/>
          <w:szCs w:val="28"/>
          <w:highlight w:val="none"/>
          <w:lang w:eastAsia="zh-CN"/>
        </w:rPr>
      </w:pPr>
      <w:bookmarkStart w:id="230" w:name="_Toc3026"/>
      <w:bookmarkStart w:id="231" w:name="_Toc25308"/>
      <w:bookmarkStart w:id="232" w:name="_Toc19972"/>
      <w:bookmarkStart w:id="233" w:name="_Toc15668"/>
      <w:r>
        <w:rPr>
          <w:rFonts w:hint="eastAsia" w:ascii="Times New Roman" w:hAnsi="宋体" w:eastAsia="微软雅黑" w:cs="宋体"/>
          <w:b/>
          <w:bCs/>
          <w:kern w:val="0"/>
          <w:sz w:val="32"/>
          <w:szCs w:val="28"/>
          <w:highlight w:val="none"/>
          <w:lang w:val="en-US" w:eastAsia="zh-CN" w:bidi="ar-SA"/>
        </w:rPr>
        <w:t>VI. Signing the Contract</w:t>
      </w:r>
      <w:bookmarkEnd w:id="230"/>
      <w:bookmarkEnd w:id="231"/>
      <w:bookmarkEnd w:id="232"/>
      <w:bookmarkEnd w:id="233"/>
    </w:p>
    <w:p w14:paraId="15BD05E0">
      <w:pPr>
        <w:pStyle w:val="8"/>
        <w:spacing w:line="360" w:lineRule="auto"/>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The procuring entity and the winning supplier shall enter into a procurement contract in accordance with the terms specified in the procurement documents within 25 days from the date of issuance of the notice of award or transaction completion.</w:t>
      </w:r>
    </w:p>
    <w:p w14:paraId="41057610">
      <w:pPr>
        <w:widowControl/>
        <w:spacing w:before="159" w:beforeLines="50" w:after="159" w:afterLines="50" w:line="500" w:lineRule="exact"/>
        <w:jc w:val="center"/>
        <w:outlineLvl w:val="1"/>
        <w:rPr>
          <w:rFonts w:hint="eastAsia" w:ascii="宋体" w:hAnsi="宋体" w:eastAsia="宋体" w:cs="宋体"/>
          <w:b/>
          <w:bCs/>
          <w:kern w:val="0"/>
          <w:sz w:val="32"/>
          <w:szCs w:val="28"/>
          <w:highlight w:val="none"/>
          <w:lang w:eastAsia="zh-CN"/>
        </w:rPr>
      </w:pPr>
      <w:bookmarkStart w:id="234" w:name="_Toc18077"/>
      <w:bookmarkStart w:id="235" w:name="_Toc12613"/>
      <w:r>
        <w:rPr>
          <w:rFonts w:hint="eastAsia" w:ascii="Times New Roman" w:hAnsi="宋体" w:eastAsia="微软雅黑" w:cs="宋体"/>
          <w:b/>
          <w:bCs/>
          <w:kern w:val="0"/>
          <w:sz w:val="32"/>
          <w:szCs w:val="28"/>
          <w:highlight w:val="none"/>
          <w:lang w:val="en-US" w:eastAsia="zh-CN" w:bidi="ar-SA"/>
        </w:rPr>
        <w:t>VII. Challenges and Complaints</w:t>
      </w:r>
      <w:bookmarkEnd w:id="234"/>
      <w:bookmarkEnd w:id="235"/>
    </w:p>
    <w:p w14:paraId="6ACE837C">
      <w:pPr>
        <w:widowControl/>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The receipt and handling of inquiries or complaints shall comply with the relevant provisions of the Government Procurement Law of the People's Republic of China and its implementing regulations, the Measures for Inquiries and Complaints in Government Procurement, and the Notice of the Ministry of Finance on Strengthening the Acceptance and Review of Supplier Complaints in Government Procurement.</w:t>
      </w:r>
    </w:p>
    <w:p w14:paraId="772542CE">
      <w:pPr>
        <w:widowControl/>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1. If a supplier believes that the procurement documents, procurement process, or the award/transaction results have harmed its rights and interests, it may submit a written objection to the procuring entity or procurement agency within 10 days from the date it becomes aware or should have become aware of such harm; objections submitted after this period will be deemed invalid. The date on which a supplier becomes aware of the harm to its rights and interests shall be defined as follows:</w:t>
      </w:r>
    </w:p>
    <w:p w14:paraId="7E1B212D">
      <w:pPr>
        <w:widowControl/>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1) For objections raised against the procurement documents, the deadline shall be either the date of receipt of the documents or the expiration date of their public announcement period.</w:t>
      </w:r>
    </w:p>
    <w:p w14:paraId="23961F30">
      <w:pPr>
        <w:widowControl/>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2) For inquiries regarding the procurement process, the date shall be that of completion of each procurement procedure step;</w:t>
      </w:r>
    </w:p>
    <w:p w14:paraId="78198C60">
      <w:pPr>
        <w:widowControl/>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3) The deadline for raising objections to the winning bid or transaction result shall be the date when the announcement period for such results expires.</w:t>
      </w:r>
    </w:p>
    <w:p w14:paraId="73FD1C8C">
      <w:pPr>
        <w:widowControl/>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2. Suppliers shall submit all objections regarding the same procurement procedure stage in a single submission during the statutory objection period.</w:t>
      </w:r>
    </w:p>
    <w:p w14:paraId="42D10D57">
      <w:pPr>
        <w:widowControl/>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3. The inquiry letter shall include the following key components:</w:t>
      </w:r>
    </w:p>
    <w:p w14:paraId="1EC55623">
      <w:pPr>
        <w:widowControl/>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1) The supplier's name, address, postal code, contact person, and telephone number;</w:t>
      </w:r>
    </w:p>
    <w:p w14:paraId="142EA8B1">
      <w:pPr>
        <w:widowControl/>
        <w:spacing w:line="360" w:lineRule="auto"/>
        <w:ind w:firstLine="240" w:firstLineChars="1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2) Question the project name and number;</w:t>
      </w:r>
    </w:p>
    <w:p w14:paraId="7C506684">
      <w:pPr>
        <w:widowControl/>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3) Specific and clear issues subject to challenge, along with related requests;</w:t>
      </w:r>
    </w:p>
    <w:p w14:paraId="099008FB">
      <w:pPr>
        <w:widowControl/>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4) factual basis;</w:t>
      </w:r>
    </w:p>
    <w:p w14:paraId="79F22E2A">
      <w:pPr>
        <w:widowControl/>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5) Necessary legal basis;</w:t>
      </w:r>
    </w:p>
    <w:p w14:paraId="037BA380">
      <w:pPr>
        <w:widowControl/>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6) Date of raising the question.</w:t>
      </w:r>
    </w:p>
    <w:p w14:paraId="579D0C91">
      <w:pPr>
        <w:widowControl/>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4. Suppliers may authorize agents to raise objections or file complaints. The power of attorney shall specify the agent's name or title, scope of authority, specific powers, duration, and relevant terms. If the supplier is a natural person, the document must be signed by the individual; if the supplier is a legal entity or other organization, it must be signed or sealed by the legal representative, principal officer, or authorized representative, with the official seal affixed.</w:t>
      </w:r>
    </w:p>
    <w:p w14:paraId="6D3F424D">
      <w:pPr>
        <w:widowControl/>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When raising inquiries or complaints, the representative must submit a power of attorney signed by the supplier.</w:t>
      </w:r>
    </w:p>
    <w:p w14:paraId="4FA578BC">
      <w:pPr>
        <w:widowControl/>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5. The content of a challenge letter must not contain false or malicious elements. In accordance with the principle that "he who asserts must prove," the challenger must submit relevant, conclusive evidence materials along with precise citations of their sources; such evidence must be legally obtained. The procuring entity or procurement agency has the authority to forward the challenge letter to all parties involved in the matter for explanations. For malicious challengers who fabricate facts, provide false materials, obtain evidence through illegal means, or abuse their rights to disrupt procurement procedures, the procuring entity or procurement agency shall reject the challenge in accordance with the law.</w:t>
      </w:r>
    </w:p>
    <w:p w14:paraId="3C64CDC2">
      <w:pPr>
        <w:widowControl/>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6. Method for submitting a request for clarification: It must be submitted in person by the individual, their legal representative, or an authorized representative, accompanied by the original written document and valid identification; otherwise, it will not be accepted.</w:t>
      </w:r>
    </w:p>
    <w:p w14:paraId="4D2A2526">
      <w:pPr>
        <w:widowControl/>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7. Department responsible for reviewing objections: Shaanxi Zhuoxi Project Management Co., Ltd.</w:t>
      </w:r>
    </w:p>
    <w:p w14:paraId="312AFF0A">
      <w:pPr>
        <w:widowControl/>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Question hotline: 029-88225322.</w:t>
      </w:r>
    </w:p>
    <w:p w14:paraId="562F7718">
      <w:pPr>
        <w:widowControl/>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8. Submission address for the objection letter: 21st Floor, Building B, Heli Zijun, No.30 Keji Road, Yanta District, Xi'an City.</w:t>
      </w:r>
    </w:p>
    <w:p w14:paraId="5D23B66A">
      <w:pPr>
        <w:widowControl/>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9. For this procurement activity, the delivery method for written responses to the inquiry letter submitted by the procurement agency is on-site collection.</w:t>
      </w:r>
    </w:p>
    <w:p w14:paraId="3E5C15A5">
      <w:pPr>
        <w:widowControl/>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If the raised inquiry is complex and the procuring entity or procurement agency cannot provide a response within the specified timeframe, it shall notify the supplier who raised the inquiry in advance and report the matter to the procurement supervision authority at the same level.</w:t>
      </w:r>
    </w:p>
    <w:p w14:paraId="42831CF1">
      <w:pPr>
        <w:widowControl/>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10. If a supplier is dissatisfied with the response from the procuring entity or the procurement agency, or if neither party provides a response within the stipulated timeframe, the supplier may file a complaint with the procurement supervision authority at the same level as the procuring entity within 15 working days after the response deadline expires.</w:t>
      </w:r>
    </w:p>
    <w:p w14:paraId="527B3826">
      <w:pPr>
        <w:widowControl/>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11. The inquiry letter must be in Chinese. The template for the inquiry letter is provided in Appendix VI of the tender documents issued by the Ministry of Finance.</w:t>
      </w:r>
    </w:p>
    <w:p w14:paraId="601E1C62">
      <w:pPr>
        <w:rPr>
          <w:rFonts w:ascii="宋体" w:hAnsi="宋体" w:cs="宋体"/>
          <w:highlight w:val="none"/>
        </w:rPr>
      </w:pPr>
    </w:p>
    <w:p w14:paraId="5481A8C0">
      <w:pPr>
        <w:pStyle w:val="2"/>
        <w:pageBreakBefore/>
        <w:spacing w:before="319" w:beforeLines="100" w:after="319" w:afterLines="100" w:line="500" w:lineRule="exact"/>
        <w:rPr>
          <w:rFonts w:hint="eastAsia" w:ascii="宋体" w:hAnsi="宋体" w:eastAsia="宋体" w:cs="宋体"/>
          <w:color w:val="000000"/>
          <w:sz w:val="36"/>
          <w:szCs w:val="36"/>
          <w:highlight w:val="none"/>
          <w:lang w:eastAsia="zh-CN"/>
        </w:rPr>
      </w:pPr>
      <w:bookmarkStart w:id="236" w:name="_Toc3298"/>
      <w:bookmarkEnd w:id="236"/>
      <w:bookmarkStart w:id="237" w:name="_Toc29994"/>
      <w:bookmarkStart w:id="238" w:name="_Toc31079"/>
      <w:r>
        <w:rPr>
          <w:rFonts w:hint="eastAsia" w:ascii="Times New Roman" w:hAnsi="宋体" w:eastAsia="微软雅黑" w:cs="宋体"/>
          <w:b/>
          <w:color w:val="000000"/>
          <w:kern w:val="44"/>
          <w:sz w:val="36"/>
          <w:szCs w:val="36"/>
          <w:highlight w:val="none"/>
          <w:lang w:val="en-US" w:eastAsia="zh-CN" w:bidi="ar-SA"/>
        </w:rPr>
        <w:t xml:space="preserve">Part </w:t>
      </w:r>
      <w:bookmarkStart w:id="239" w:name="_Toc16984"/>
      <w:r>
        <w:rPr>
          <w:rFonts w:hint="eastAsia" w:ascii="Times New Roman" w:hAnsi="宋体" w:eastAsia="微软雅黑" w:cs="宋体"/>
          <w:b/>
          <w:color w:val="000000"/>
          <w:kern w:val="44"/>
          <w:sz w:val="36"/>
          <w:szCs w:val="36"/>
          <w:highlight w:val="none"/>
          <w:lang w:val="en-US" w:eastAsia="zh-CN" w:bidi="ar-SA"/>
        </w:rPr>
        <w:t xml:space="preserve">IV: </w:t>
      </w:r>
      <w:bookmarkEnd w:id="239"/>
      <w:r>
        <w:rPr>
          <w:rFonts w:hint="eastAsia" w:ascii="Times New Roman" w:hAnsi="宋体" w:eastAsia="微软雅黑" w:cs="宋体"/>
          <w:b/>
          <w:color w:val="000000"/>
          <w:kern w:val="44"/>
          <w:sz w:val="36"/>
          <w:szCs w:val="36"/>
          <w:highlight w:val="none"/>
          <w:lang w:val="en-US" w:eastAsia="zh-CN" w:bidi="ar-SA"/>
        </w:rPr>
        <w:t>Bid Evaluation Methods</w:t>
      </w:r>
      <w:bookmarkEnd w:id="237"/>
      <w:bookmarkEnd w:id="238"/>
    </w:p>
    <w:tbl>
      <w:tblPr>
        <w:tblStyle w:val="30"/>
        <w:tblW w:w="8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900"/>
        <w:gridCol w:w="854"/>
        <w:gridCol w:w="5849"/>
      </w:tblGrid>
      <w:tr w14:paraId="19D99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760" w:type="dxa"/>
            <w:vAlign w:val="center"/>
          </w:tcPr>
          <w:p w14:paraId="60525F59">
            <w:pPr>
              <w:adjustRightInd w:val="0"/>
              <w:snapToGrid w:val="0"/>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order number</w:t>
            </w:r>
          </w:p>
        </w:tc>
        <w:tc>
          <w:tcPr>
            <w:tcW w:w="900" w:type="dxa"/>
            <w:vAlign w:val="center"/>
          </w:tcPr>
          <w:p w14:paraId="42553D8C">
            <w:pPr>
              <w:adjustRightInd w:val="0"/>
              <w:snapToGrid w:val="0"/>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evaluation factor</w:t>
            </w:r>
          </w:p>
        </w:tc>
        <w:tc>
          <w:tcPr>
            <w:tcW w:w="854" w:type="dxa"/>
            <w:vAlign w:val="center"/>
          </w:tcPr>
          <w:p w14:paraId="6E9310A0">
            <w:pPr>
              <w:adjustRightInd w:val="0"/>
              <w:snapToGrid w:val="0"/>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value</w:t>
            </w:r>
          </w:p>
        </w:tc>
        <w:tc>
          <w:tcPr>
            <w:tcW w:w="5849" w:type="dxa"/>
            <w:vAlign w:val="center"/>
          </w:tcPr>
          <w:p w14:paraId="40D899B7">
            <w:pPr>
              <w:adjustRightInd w:val="0"/>
              <w:snapToGrid w:val="0"/>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code of points</w:t>
            </w:r>
          </w:p>
        </w:tc>
      </w:tr>
      <w:tr w14:paraId="25DF4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00"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074FA64C">
            <w:pPr>
              <w:adjustRightInd w:val="0"/>
              <w:snapToGrid w:val="0"/>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1</w:t>
            </w:r>
          </w:p>
        </w:tc>
        <w:tc>
          <w:tcPr>
            <w:tcW w:w="900" w:type="dxa"/>
            <w:tcBorders>
              <w:top w:val="single" w:color="auto" w:sz="4" w:space="0"/>
              <w:left w:val="single" w:color="auto" w:sz="4" w:space="0"/>
              <w:bottom w:val="single" w:color="auto" w:sz="4" w:space="0"/>
              <w:right w:val="single" w:color="auto" w:sz="4" w:space="0"/>
            </w:tcBorders>
            <w:vAlign w:val="center"/>
          </w:tcPr>
          <w:p w14:paraId="3A1CF979">
            <w:pPr>
              <w:adjustRightInd w:val="0"/>
              <w:snapToGrid w:val="0"/>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quoted price</w:t>
            </w:r>
          </w:p>
        </w:tc>
        <w:tc>
          <w:tcPr>
            <w:tcW w:w="854" w:type="dxa"/>
            <w:tcBorders>
              <w:top w:val="single" w:color="auto" w:sz="4" w:space="0"/>
              <w:left w:val="single" w:color="auto" w:sz="4" w:space="0"/>
              <w:bottom w:val="single" w:color="auto" w:sz="4" w:space="0"/>
              <w:right w:val="single" w:color="auto" w:sz="4" w:space="0"/>
            </w:tcBorders>
            <w:vAlign w:val="center"/>
          </w:tcPr>
          <w:p w14:paraId="7F0C63D7">
            <w:pPr>
              <w:adjustRightInd w:val="0"/>
              <w:snapToGrid w:val="0"/>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30 minutes</w:t>
            </w:r>
          </w:p>
        </w:tc>
        <w:tc>
          <w:tcPr>
            <w:tcW w:w="5849" w:type="dxa"/>
            <w:tcBorders>
              <w:top w:val="single" w:color="auto" w:sz="4" w:space="0"/>
              <w:left w:val="single" w:color="auto" w:sz="4" w:space="0"/>
              <w:bottom w:val="single" w:color="auto" w:sz="4" w:space="0"/>
              <w:right w:val="single" w:color="auto" w:sz="4" w:space="0"/>
            </w:tcBorders>
            <w:vAlign w:val="center"/>
          </w:tcPr>
          <w:p w14:paraId="657A2261">
            <w:pPr>
              <w:adjustRightInd w:val="0"/>
              <w:snapToGrid w:val="0"/>
              <w:spacing w:line="360" w:lineRule="auto"/>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Bid documents that pass the preliminary review shall have their bid prices recognized as valid.</w:t>
            </w:r>
          </w:p>
          <w:p w14:paraId="595407C0">
            <w:pPr>
              <w:adjustRightInd w:val="0"/>
              <w:snapToGrid w:val="0"/>
              <w:spacing w:line="360" w:lineRule="auto"/>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Bidding reference price: The lowest bid that meets all requirements specified in the tender documents shall serve as the bidding reference price.</w:t>
            </w:r>
          </w:p>
          <w:p w14:paraId="31D857DA">
            <w:pPr>
              <w:adjustRightInd w:val="0"/>
              <w:snapToGrid w:val="0"/>
              <w:spacing w:line="360" w:lineRule="auto"/>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The price scores for other suppliers are calculated using the following formula: Bid Score = (Reference Price / Bid Price) × 30</w:t>
            </w:r>
          </w:p>
        </w:tc>
      </w:tr>
      <w:tr w14:paraId="4CF4D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12"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12095FBE">
            <w:pPr>
              <w:adjustRightInd w:val="0"/>
              <w:snapToGrid w:val="0"/>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2</w:t>
            </w:r>
          </w:p>
        </w:tc>
        <w:tc>
          <w:tcPr>
            <w:tcW w:w="900" w:type="dxa"/>
            <w:tcBorders>
              <w:top w:val="single" w:color="auto" w:sz="4" w:space="0"/>
              <w:left w:val="single" w:color="auto" w:sz="4" w:space="0"/>
              <w:bottom w:val="single" w:color="auto" w:sz="4" w:space="0"/>
              <w:right w:val="single" w:color="auto" w:sz="4" w:space="0"/>
            </w:tcBorders>
            <w:vAlign w:val="center"/>
          </w:tcPr>
          <w:p w14:paraId="211E39A0">
            <w:pPr>
              <w:adjustRightInd w:val="0"/>
              <w:snapToGrid w:val="0"/>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Technical Indicator Evaluation</w:t>
            </w:r>
          </w:p>
        </w:tc>
        <w:tc>
          <w:tcPr>
            <w:tcW w:w="854" w:type="dxa"/>
            <w:tcBorders>
              <w:top w:val="single" w:color="auto" w:sz="4" w:space="0"/>
              <w:left w:val="single" w:color="auto" w:sz="4" w:space="0"/>
              <w:bottom w:val="single" w:color="auto" w:sz="4" w:space="0"/>
              <w:right w:val="single" w:color="auto" w:sz="4" w:space="0"/>
            </w:tcBorders>
            <w:vAlign w:val="center"/>
          </w:tcPr>
          <w:p w14:paraId="458FD28B">
            <w:pPr>
              <w:adjustRightInd w:val="0"/>
              <w:snapToGrid w:val="0"/>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40 minutes</w:t>
            </w:r>
          </w:p>
        </w:tc>
        <w:tc>
          <w:tcPr>
            <w:tcW w:w="5849" w:type="dxa"/>
            <w:tcBorders>
              <w:top w:val="single" w:color="auto" w:sz="4" w:space="0"/>
              <w:left w:val="single" w:color="auto" w:sz="4" w:space="0"/>
              <w:bottom w:val="single" w:color="auto" w:sz="4" w:space="0"/>
              <w:right w:val="single" w:color="auto" w:sz="4" w:space="0"/>
            </w:tcBorders>
            <w:vAlign w:val="center"/>
          </w:tcPr>
          <w:p w14:paraId="16E3C85F">
            <w:pPr>
              <w:adjustRightInd w:val="0"/>
              <w:snapToGrid w:val="0"/>
              <w:spacing w:line="360" w:lineRule="auto"/>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Based on the technical specifications of the submitted products provided by suppliers, which fully comply with and meet the requirements of the tender documents, and after evaluation using the Technical Deviation Table and the supporting documentation specified in the procurement documents, a score of 40 points is awarded for no negative deviations; ★ Parameters are substantive parameters, and negative deviations are not permitted; any negative deviation will result in disqualification; ▲ Each negative deviation for a parameter deducts 2 points, while each negative deviation for other parameters deducts 0.22 points, until all points have been deducted.</w:t>
            </w:r>
          </w:p>
          <w:p w14:paraId="3F45FC44">
            <w:pPr>
              <w:adjustRightInd w:val="0"/>
              <w:snapToGrid w:val="0"/>
              <w:spacing w:line="360" w:lineRule="auto"/>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Note: The ★ and ▲ parameters must be supported by corresponding evidence (any one of the following: product color brochure, official website functional screenshot, test report, or manufacturer-issued technical white paper). Failure to provide such evidence or evidence that does not meet the technical specifications in the tender documents will constitute a non-compliance deviation.</w:t>
            </w:r>
          </w:p>
        </w:tc>
      </w:tr>
      <w:tr w14:paraId="480F8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2"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6F1D1A88">
            <w:pPr>
              <w:adjustRightInd w:val="0"/>
              <w:snapToGrid w:val="0"/>
              <w:spacing w:line="360" w:lineRule="auto"/>
              <w:jc w:val="center"/>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3</w:t>
            </w:r>
          </w:p>
        </w:tc>
        <w:tc>
          <w:tcPr>
            <w:tcW w:w="900" w:type="dxa"/>
            <w:tcBorders>
              <w:top w:val="single" w:color="auto" w:sz="4" w:space="0"/>
              <w:left w:val="single" w:color="auto" w:sz="4" w:space="0"/>
              <w:bottom w:val="single" w:color="auto" w:sz="4" w:space="0"/>
              <w:right w:val="single" w:color="auto" w:sz="4" w:space="0"/>
            </w:tcBorders>
            <w:vAlign w:val="center"/>
          </w:tcPr>
          <w:p w14:paraId="3BC739DF">
            <w:pPr>
              <w:adjustRightInd w:val="0"/>
              <w:snapToGrid w:val="0"/>
              <w:spacing w:line="360" w:lineRule="auto"/>
              <w:jc w:val="center"/>
              <w:rPr>
                <w:rFonts w:hint="eastAsia" w:ascii="宋体" w:hAnsi="宋体" w:eastAsia="宋体" w:cs="宋体"/>
                <w:sz w:val="24"/>
                <w:szCs w:val="24"/>
                <w:highlight w:val="none"/>
              </w:rPr>
            </w:pPr>
            <w:r>
              <w:rPr>
                <w:rFonts w:hint="eastAsia" w:ascii="Times New Roman" w:hAnsi="宋体" w:eastAsia="微软雅黑" w:cs="宋体"/>
                <w:kern w:val="2"/>
                <w:sz w:val="24"/>
                <w:szCs w:val="24"/>
                <w:highlight w:val="none"/>
                <w:lang w:val="en-US" w:eastAsia="zh-CN" w:bidi="ar-SA"/>
              </w:rPr>
              <w:t>Legitimate source channels</w:t>
            </w:r>
          </w:p>
        </w:tc>
        <w:tc>
          <w:tcPr>
            <w:tcW w:w="854" w:type="dxa"/>
            <w:tcBorders>
              <w:top w:val="single" w:color="auto" w:sz="4" w:space="0"/>
              <w:left w:val="single" w:color="auto" w:sz="4" w:space="0"/>
              <w:bottom w:val="single" w:color="auto" w:sz="4" w:space="0"/>
              <w:right w:val="single" w:color="auto" w:sz="4" w:space="0"/>
            </w:tcBorders>
            <w:vAlign w:val="center"/>
          </w:tcPr>
          <w:p w14:paraId="06A306CD">
            <w:pPr>
              <w:adjustRightInd w:val="0"/>
              <w:snapToGrid w:val="0"/>
              <w:spacing w:line="360" w:lineRule="auto"/>
              <w:jc w:val="center"/>
              <w:rPr>
                <w:rFonts w:hint="default" w:ascii="宋体" w:hAnsi="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2 points</w:t>
            </w:r>
          </w:p>
        </w:tc>
        <w:tc>
          <w:tcPr>
            <w:tcW w:w="5849" w:type="dxa"/>
            <w:tcBorders>
              <w:top w:val="single" w:color="auto" w:sz="4" w:space="0"/>
              <w:left w:val="single" w:color="auto" w:sz="4" w:space="0"/>
              <w:bottom w:val="single" w:color="auto" w:sz="4" w:space="0"/>
              <w:right w:val="single" w:color="auto" w:sz="4" w:space="0"/>
            </w:tcBorders>
            <w:vAlign w:val="center"/>
          </w:tcPr>
          <w:p w14:paraId="58AEC756">
            <w:pPr>
              <w:adjustRightInd w:val="0"/>
              <w:snapToGrid w:val="0"/>
              <w:spacing w:line="360" w:lineRule="auto"/>
              <w:rPr>
                <w:rFonts w:hint="default" w:ascii="宋体" w:hAnsi="宋体" w:eastAsia="宋体" w:cs="宋体"/>
                <w:sz w:val="24"/>
                <w:szCs w:val="24"/>
                <w:highlight w:val="none"/>
                <w:lang w:val="en-US"/>
              </w:rPr>
            </w:pPr>
            <w:r>
              <w:rPr>
                <w:rFonts w:hint="eastAsia" w:ascii="Times New Roman" w:hAnsi="宋体" w:eastAsia="微软雅黑" w:cs="宋体"/>
                <w:kern w:val="2"/>
                <w:sz w:val="24"/>
                <w:szCs w:val="24"/>
                <w:highlight w:val="none"/>
                <w:lang w:val="en-US" w:eastAsia="zh-CN" w:bidi="ar-SA"/>
              </w:rPr>
              <w:t>Provide documentation proving the legitimate source of the submitted product (including but not limited to manufacturer authorization, sales agreements, or agency agreements); this item is worth 2 points. Failure to provide such documentation or incomplete submission will result in zero points.</w:t>
            </w:r>
          </w:p>
        </w:tc>
      </w:tr>
      <w:tr w14:paraId="380F1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2"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63586C17">
            <w:pPr>
              <w:adjustRightInd w:val="0"/>
              <w:snapToGrid w:val="0"/>
              <w:spacing w:line="360" w:lineRule="auto"/>
              <w:jc w:val="center"/>
              <w:rPr>
                <w:rFonts w:hint="default" w:ascii="宋体" w:hAnsi="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4</w:t>
            </w:r>
          </w:p>
        </w:tc>
        <w:tc>
          <w:tcPr>
            <w:tcW w:w="900" w:type="dxa"/>
            <w:tcBorders>
              <w:top w:val="single" w:color="auto" w:sz="4" w:space="0"/>
              <w:left w:val="single" w:color="auto" w:sz="4" w:space="0"/>
              <w:bottom w:val="single" w:color="auto" w:sz="4" w:space="0"/>
              <w:right w:val="single" w:color="auto" w:sz="4" w:space="0"/>
            </w:tcBorders>
            <w:vAlign w:val="center"/>
          </w:tcPr>
          <w:p w14:paraId="561AA623">
            <w:pPr>
              <w:adjustRightInd w:val="0"/>
              <w:snapToGrid w:val="0"/>
              <w:spacing w:line="360" w:lineRule="auto"/>
              <w:jc w:val="center"/>
              <w:rPr>
                <w:rFonts w:hint="eastAsia" w:ascii="宋体" w:hAnsi="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guarantee period</w:t>
            </w:r>
          </w:p>
        </w:tc>
        <w:tc>
          <w:tcPr>
            <w:tcW w:w="854" w:type="dxa"/>
            <w:tcBorders>
              <w:top w:val="single" w:color="auto" w:sz="4" w:space="0"/>
              <w:left w:val="single" w:color="auto" w:sz="4" w:space="0"/>
              <w:bottom w:val="single" w:color="auto" w:sz="4" w:space="0"/>
              <w:right w:val="single" w:color="auto" w:sz="4" w:space="0"/>
            </w:tcBorders>
            <w:vAlign w:val="center"/>
          </w:tcPr>
          <w:p w14:paraId="27A982CB">
            <w:pPr>
              <w:adjustRightInd w:val="0"/>
              <w:snapToGrid w:val="0"/>
              <w:spacing w:line="360" w:lineRule="auto"/>
              <w:jc w:val="center"/>
              <w:rPr>
                <w:rFonts w:hint="default" w:ascii="宋体" w:hAnsi="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1 point</w:t>
            </w:r>
          </w:p>
        </w:tc>
        <w:tc>
          <w:tcPr>
            <w:tcW w:w="5849" w:type="dxa"/>
            <w:tcBorders>
              <w:top w:val="single" w:color="auto" w:sz="4" w:space="0"/>
              <w:left w:val="single" w:color="auto" w:sz="4" w:space="0"/>
              <w:bottom w:val="single" w:color="auto" w:sz="4" w:space="0"/>
              <w:right w:val="single" w:color="auto" w:sz="4" w:space="0"/>
            </w:tcBorders>
            <w:vAlign w:val="center"/>
          </w:tcPr>
          <w:p w14:paraId="27F824AA">
            <w:pPr>
              <w:adjustRightInd w:val="0"/>
              <w:snapToGrid w:val="0"/>
              <w:spacing w:line="360" w:lineRule="auto"/>
              <w:rPr>
                <w:rFonts w:hint="eastAsia" w:ascii="宋体" w:hAnsi="宋体" w:eastAsia="宋体" w:cs="宋体"/>
                <w:color w:val="000000"/>
                <w:kern w:val="0"/>
                <w:sz w:val="24"/>
                <w:szCs w:val="24"/>
                <w:highlight w:val="none"/>
                <w:lang w:val="en-US" w:eastAsia="zh-CN" w:bidi="ar"/>
              </w:rPr>
            </w:pPr>
            <w:r>
              <w:rPr>
                <w:rFonts w:hint="eastAsia" w:ascii="Times New Roman" w:hAnsi="宋体" w:eastAsia="微软雅黑" w:cs="宋体"/>
                <w:color w:val="000000"/>
                <w:kern w:val="0"/>
                <w:sz w:val="24"/>
                <w:szCs w:val="24"/>
                <w:highlight w:val="none"/>
                <w:lang w:val="en-US" w:eastAsia="zh-CN" w:bidi="ar"/>
              </w:rPr>
              <w:t>The supplier's warranty period shall earn 0.5 points for each additional year beyond the requirements specified in the tender documents, with a maximum score of 1 point.</w:t>
            </w:r>
          </w:p>
        </w:tc>
      </w:tr>
      <w:tr w14:paraId="3D072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8"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1E768F1D">
            <w:pPr>
              <w:adjustRightInd w:val="0"/>
              <w:snapToGrid w:val="0"/>
              <w:spacing w:line="360" w:lineRule="auto"/>
              <w:jc w:val="center"/>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5</w:t>
            </w:r>
          </w:p>
        </w:tc>
        <w:tc>
          <w:tcPr>
            <w:tcW w:w="900" w:type="dxa"/>
            <w:tcBorders>
              <w:top w:val="single" w:color="auto" w:sz="4" w:space="0"/>
              <w:left w:val="single" w:color="auto" w:sz="4" w:space="0"/>
              <w:bottom w:val="single" w:color="auto" w:sz="4" w:space="0"/>
              <w:right w:val="single" w:color="auto" w:sz="4" w:space="0"/>
            </w:tcBorders>
            <w:vAlign w:val="center"/>
          </w:tcPr>
          <w:p w14:paraId="19AE7B2F">
            <w:pPr>
              <w:adjustRightInd w:val="0"/>
              <w:snapToGrid w:val="0"/>
              <w:spacing w:line="360" w:lineRule="auto"/>
              <w:jc w:val="center"/>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implementation plans</w:t>
            </w:r>
          </w:p>
        </w:tc>
        <w:tc>
          <w:tcPr>
            <w:tcW w:w="854" w:type="dxa"/>
            <w:tcBorders>
              <w:top w:val="single" w:color="auto" w:sz="4" w:space="0"/>
              <w:left w:val="single" w:color="auto" w:sz="4" w:space="0"/>
              <w:bottom w:val="single" w:color="auto" w:sz="4" w:space="0"/>
              <w:right w:val="single" w:color="auto" w:sz="4" w:space="0"/>
            </w:tcBorders>
            <w:vAlign w:val="center"/>
          </w:tcPr>
          <w:p w14:paraId="179854C8">
            <w:pPr>
              <w:adjustRightInd w:val="0"/>
              <w:snapToGrid w:val="0"/>
              <w:spacing w:line="360" w:lineRule="auto"/>
              <w:jc w:val="center"/>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10 points</w:t>
            </w:r>
          </w:p>
        </w:tc>
        <w:tc>
          <w:tcPr>
            <w:tcW w:w="5849" w:type="dxa"/>
            <w:tcBorders>
              <w:top w:val="single" w:color="auto" w:sz="4" w:space="0"/>
              <w:left w:val="single" w:color="auto" w:sz="4" w:space="0"/>
              <w:bottom w:val="single" w:color="auto" w:sz="4" w:space="0"/>
              <w:right w:val="single" w:color="auto" w:sz="4" w:space="0"/>
            </w:tcBorders>
            <w:vAlign w:val="center"/>
          </w:tcPr>
          <w:p w14:paraId="35D808D8">
            <w:pPr>
              <w:adjustRightInd w:val="0"/>
              <w:snapToGrid w:val="0"/>
              <w:spacing w:line="360" w:lineRule="auto"/>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The proposal shall be reviewed based on the implementation plan provided by the supplier, which includes: ① Overall implementation plan (including the dismantling plan for existing digital angiography systems); ② Planned schedule; ③ Project team composition; ④ Installation and commissioning plan; ⑤ Project acceptance plan. Full submission of all five items earns 10 points; a deduction of 2 points is applied for each missing item until all points are deducted; a deduction of 0.5 points is applied for each defect until all points are deducted. (Defects include: missing content, incomplete information or absence of key details, simple descriptions lacking substantive content; content not specifically tailored to this project or unsuitable for its characteristics; application of content from other projects; contradictory statements regarding the same issue; logical inconsistencies, errors in scientific principles or common knowledge; scenarios detrimental to achieving project objectives; or situations impossible under current technical conditions.)</w:t>
            </w:r>
          </w:p>
        </w:tc>
      </w:tr>
      <w:tr w14:paraId="41E66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9"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43533797">
            <w:pPr>
              <w:adjustRightInd w:val="0"/>
              <w:snapToGrid w:val="0"/>
              <w:spacing w:line="360" w:lineRule="auto"/>
              <w:jc w:val="center"/>
              <w:rPr>
                <w:rFonts w:hint="default"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6</w:t>
            </w:r>
          </w:p>
        </w:tc>
        <w:tc>
          <w:tcPr>
            <w:tcW w:w="900" w:type="dxa"/>
            <w:tcBorders>
              <w:top w:val="single" w:color="auto" w:sz="4" w:space="0"/>
              <w:left w:val="single" w:color="auto" w:sz="4" w:space="0"/>
              <w:bottom w:val="single" w:color="auto" w:sz="4" w:space="0"/>
              <w:right w:val="single" w:color="auto" w:sz="4" w:space="0"/>
            </w:tcBorders>
            <w:vAlign w:val="center"/>
          </w:tcPr>
          <w:p w14:paraId="0D9694FA">
            <w:pPr>
              <w:adjustRightInd w:val="0"/>
              <w:snapToGrid w:val="0"/>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After-sales Service Plan</w:t>
            </w:r>
          </w:p>
        </w:tc>
        <w:tc>
          <w:tcPr>
            <w:tcW w:w="854" w:type="dxa"/>
            <w:tcBorders>
              <w:top w:val="single" w:color="auto" w:sz="4" w:space="0"/>
              <w:left w:val="single" w:color="auto" w:sz="4" w:space="0"/>
              <w:bottom w:val="single" w:color="auto" w:sz="4" w:space="0"/>
              <w:right w:val="single" w:color="auto" w:sz="4" w:space="0"/>
            </w:tcBorders>
            <w:vAlign w:val="center"/>
          </w:tcPr>
          <w:p w14:paraId="207B6F7F">
            <w:pPr>
              <w:adjustRightInd w:val="0"/>
              <w:snapToGrid w:val="0"/>
              <w:spacing w:line="360" w:lineRule="auto"/>
              <w:jc w:val="center"/>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6 points</w:t>
            </w:r>
          </w:p>
        </w:tc>
        <w:tc>
          <w:tcPr>
            <w:tcW w:w="5849" w:type="dxa"/>
            <w:tcBorders>
              <w:top w:val="single" w:color="auto" w:sz="4" w:space="0"/>
              <w:left w:val="single" w:color="auto" w:sz="4" w:space="0"/>
              <w:bottom w:val="single" w:color="auto" w:sz="4" w:space="0"/>
              <w:right w:val="single" w:color="auto" w:sz="4" w:space="0"/>
            </w:tcBorders>
            <w:vAlign w:val="center"/>
          </w:tcPr>
          <w:p w14:paraId="754C0E6C">
            <w:pPr>
              <w:numPr>
                <w:ilvl w:val="0"/>
                <w:numId w:val="0"/>
              </w:numPr>
              <w:adjustRightInd w:val="0"/>
              <w:snapToGrid w:val="0"/>
              <w:spacing w:line="360" w:lineRule="auto"/>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The evaluation shall be conducted based on the after-sales service plan provided by the supplier, which must include: ① staffing allocation and deployment plan for after-sales service personnel; ② response time schedules for fault resolution and emergency handling plans; ③ quality assurance period. Full provision of all three items earns 6 points; a deduction of 2 points is applied for each missing item until all points are deducted; a deduction of 0.5 points is applied for each defect (defects include: missing content, incomplete information or absence of key details, simple descriptions lacking substantive content; content not specifically tailored to this project or unsuitable for its characteristics; application of content from other projects; contradictory descriptions regarding the same issue; logical inconsistencies, errors in scientific principles or common knowledge; scenarios detrimental to achieving project objectives; or situations impossible under current technical conditions).</w:t>
            </w:r>
          </w:p>
        </w:tc>
      </w:tr>
      <w:tr w14:paraId="1D42A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00"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401CF88A">
            <w:pPr>
              <w:adjustRightInd w:val="0"/>
              <w:snapToGrid w:val="0"/>
              <w:spacing w:line="360" w:lineRule="auto"/>
              <w:jc w:val="center"/>
              <w:rPr>
                <w:rFonts w:hint="default"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7</w:t>
            </w:r>
          </w:p>
        </w:tc>
        <w:tc>
          <w:tcPr>
            <w:tcW w:w="900" w:type="dxa"/>
            <w:tcBorders>
              <w:top w:val="single" w:color="auto" w:sz="4" w:space="0"/>
              <w:left w:val="single" w:color="auto" w:sz="4" w:space="0"/>
              <w:bottom w:val="single" w:color="auto" w:sz="4" w:space="0"/>
              <w:right w:val="single" w:color="auto" w:sz="4" w:space="0"/>
            </w:tcBorders>
            <w:vAlign w:val="center"/>
          </w:tcPr>
          <w:p w14:paraId="21094FD2">
            <w:pPr>
              <w:adjustRightInd w:val="0"/>
              <w:snapToGrid w:val="0"/>
              <w:spacing w:line="360" w:lineRule="auto"/>
              <w:jc w:val="center"/>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training scheme</w:t>
            </w:r>
          </w:p>
        </w:tc>
        <w:tc>
          <w:tcPr>
            <w:tcW w:w="854" w:type="dxa"/>
            <w:tcBorders>
              <w:top w:val="single" w:color="auto" w:sz="4" w:space="0"/>
              <w:left w:val="single" w:color="auto" w:sz="4" w:space="0"/>
              <w:bottom w:val="single" w:color="auto" w:sz="4" w:space="0"/>
              <w:right w:val="single" w:color="auto" w:sz="4" w:space="0"/>
            </w:tcBorders>
            <w:vAlign w:val="center"/>
          </w:tcPr>
          <w:p w14:paraId="0BEBE24F">
            <w:pPr>
              <w:adjustRightInd w:val="0"/>
              <w:snapToGrid w:val="0"/>
              <w:spacing w:line="360" w:lineRule="auto"/>
              <w:jc w:val="center"/>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4 points</w:t>
            </w:r>
          </w:p>
        </w:tc>
        <w:tc>
          <w:tcPr>
            <w:tcW w:w="5849" w:type="dxa"/>
            <w:tcBorders>
              <w:top w:val="single" w:color="auto" w:sz="4" w:space="0"/>
              <w:left w:val="single" w:color="auto" w:sz="4" w:space="0"/>
              <w:bottom w:val="single" w:color="auto" w:sz="4" w:space="0"/>
              <w:right w:val="single" w:color="auto" w:sz="4" w:space="0"/>
            </w:tcBorders>
            <w:vAlign w:val="center"/>
          </w:tcPr>
          <w:p w14:paraId="5969A680">
            <w:pPr>
              <w:adjustRightInd w:val="0"/>
              <w:snapToGrid w:val="0"/>
              <w:spacing w:line="360" w:lineRule="auto"/>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The training program provided by the supplier shall be evaluated based on the following components: ① Training objectives; ② Training content; ③ Training schedule; ④ Personnel allocation. Full provision of all four items earns 4 points; a deduction of 1 point is applied for each missing item until all points are deducted; a deduction of 0.5 points applies for each defect (defects include: incomplete or missing content, absence of key points, simple descriptions without substantive content; failure to specifically address this project or incompatibility with its characteristics; use of content from other projects; contradictory statements regarding the same issue; logical inconsistencies, errors in scientific principles or common knowledge; scenarios detrimental to achieving project objectives; or situations impossible under current technological conditions).</w:t>
            </w:r>
          </w:p>
        </w:tc>
      </w:tr>
      <w:tr w14:paraId="727B0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2"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658A01E3">
            <w:pPr>
              <w:adjustRightInd w:val="0"/>
              <w:snapToGrid w:val="0"/>
              <w:spacing w:line="360" w:lineRule="auto"/>
              <w:jc w:val="center"/>
              <w:rPr>
                <w:rFonts w:hint="default"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8</w:t>
            </w:r>
          </w:p>
        </w:tc>
        <w:tc>
          <w:tcPr>
            <w:tcW w:w="900" w:type="dxa"/>
            <w:tcBorders>
              <w:top w:val="single" w:color="auto" w:sz="4" w:space="0"/>
              <w:left w:val="single" w:color="auto" w:sz="4" w:space="0"/>
              <w:bottom w:val="single" w:color="auto" w:sz="4" w:space="0"/>
              <w:right w:val="single" w:color="auto" w:sz="4" w:space="0"/>
            </w:tcBorders>
            <w:vAlign w:val="center"/>
          </w:tcPr>
          <w:p w14:paraId="4F1DAC1D">
            <w:pPr>
              <w:adjustRightInd w:val="0"/>
              <w:snapToGrid w:val="0"/>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achievement</w:t>
            </w:r>
          </w:p>
        </w:tc>
        <w:tc>
          <w:tcPr>
            <w:tcW w:w="854" w:type="dxa"/>
            <w:tcBorders>
              <w:top w:val="single" w:color="auto" w:sz="4" w:space="0"/>
              <w:left w:val="single" w:color="auto" w:sz="4" w:space="0"/>
              <w:bottom w:val="single" w:color="auto" w:sz="4" w:space="0"/>
              <w:right w:val="single" w:color="auto" w:sz="4" w:space="0"/>
            </w:tcBorders>
            <w:vAlign w:val="center"/>
          </w:tcPr>
          <w:p w14:paraId="20ED202D">
            <w:pPr>
              <w:adjustRightInd w:val="0"/>
              <w:snapToGrid w:val="0"/>
              <w:spacing w:line="360" w:lineRule="auto"/>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6 points</w:t>
            </w:r>
          </w:p>
        </w:tc>
        <w:tc>
          <w:tcPr>
            <w:tcW w:w="5849" w:type="dxa"/>
            <w:tcBorders>
              <w:top w:val="single" w:color="auto" w:sz="4" w:space="0"/>
              <w:left w:val="single" w:color="auto" w:sz="4" w:space="0"/>
              <w:bottom w:val="single" w:color="auto" w:sz="4" w:space="0"/>
              <w:right w:val="single" w:color="auto" w:sz="4" w:space="0"/>
            </w:tcBorders>
            <w:vAlign w:val="center"/>
          </w:tcPr>
          <w:p w14:paraId="503D278A">
            <w:pPr>
              <w:pStyle w:val="10"/>
              <w:rPr>
                <w:rFonts w:hint="eastAsia" w:eastAsia="宋体"/>
                <w:highlight w:val="none"/>
                <w:lang w:val="en-US" w:eastAsia="zh-CN"/>
              </w:rPr>
            </w:pPr>
            <w:r>
              <w:rPr>
                <w:rFonts w:hint="eastAsia" w:ascii="Times New Roman" w:hAnsi="宋体" w:eastAsia="微软雅黑" w:cs="宋体"/>
                <w:color w:val="auto"/>
                <w:kern w:val="0"/>
                <w:sz w:val="24"/>
                <w:szCs w:val="24"/>
                <w:highlight w:val="none"/>
                <w:lang w:val="en-US" w:eastAsia="zh-CN" w:bidi="ar-SA"/>
              </w:rPr>
              <w:t>1. Suppliers shall submit performance contracts for similar projects dated from January 1, 2023 (as of the contract signing date) onward; each contract will earn 1 point, with a maximum total of 3 points (valid only for supplier-submitted contracts; complete contract copies must be included in the tender documents).</w:t>
            </w:r>
          </w:p>
          <w:p w14:paraId="5A336A14">
            <w:pPr>
              <w:adjustRightInd w:val="0"/>
              <w:snapToGrid w:val="0"/>
              <w:spacing w:line="360" w:lineRule="auto"/>
              <w:rPr>
                <w:rFonts w:hint="eastAsia" w:ascii="宋体" w:hAnsi="宋体" w:eastAsia="宋体" w:cs="宋体"/>
                <w:sz w:val="24"/>
                <w:szCs w:val="24"/>
                <w:highlight w:val="none"/>
                <w:lang w:eastAsia="zh-CN"/>
              </w:rPr>
            </w:pPr>
            <w:r>
              <w:rPr>
                <w:rFonts w:hint="eastAsia" w:ascii="Times New Roman" w:hAnsi="宋体" w:eastAsia="微软雅黑" w:cs="宋体"/>
                <w:color w:val="auto"/>
                <w:kern w:val="2"/>
                <w:sz w:val="24"/>
                <w:szCs w:val="24"/>
                <w:highlight w:val="none"/>
                <w:lang w:val="en-US" w:eastAsia="zh-CN" w:bidi="ar-SA"/>
              </w:rPr>
              <w:t>2. Suppliers shall submit performance contracts signed by the manufacturer from January 1, 2023 (as of the contract signing date) up to the present that correspond to the same product model as the submitted item; each contract will earn 1 point, with a maximum total of 3 points (valid only for manufacturer-signed contracts; complete copies must be provided in the tender documents).</w:t>
            </w:r>
          </w:p>
        </w:tc>
      </w:tr>
      <w:tr w14:paraId="4CFD0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2"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2A01F7DC">
            <w:pPr>
              <w:adjustRightInd w:val="0"/>
              <w:snapToGrid w:val="0"/>
              <w:spacing w:line="360" w:lineRule="auto"/>
              <w:jc w:val="center"/>
              <w:rPr>
                <w:rFonts w:hint="default" w:ascii="宋体" w:hAnsi="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9</w:t>
            </w:r>
          </w:p>
        </w:tc>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14:paraId="77CC576A">
            <w:pPr>
              <w:adjustRightInd w:val="0"/>
              <w:snapToGrid w:val="0"/>
              <w:spacing w:line="360" w:lineRule="auto"/>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energy conservation and environment protection</w:t>
            </w: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486CD383">
            <w:pPr>
              <w:adjustRightInd w:val="0"/>
              <w:snapToGrid w:val="0"/>
              <w:spacing w:line="360" w:lineRule="auto"/>
              <w:jc w:val="center"/>
              <w:rPr>
                <w:rFonts w:hint="default"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1 point</w:t>
            </w:r>
          </w:p>
        </w:tc>
        <w:tc>
          <w:tcPr>
            <w:tcW w:w="5849" w:type="dxa"/>
            <w:tcBorders>
              <w:top w:val="single" w:color="auto" w:sz="4" w:space="0"/>
              <w:left w:val="single" w:color="auto" w:sz="4" w:space="0"/>
              <w:bottom w:val="single" w:color="auto" w:sz="4" w:space="0"/>
              <w:right w:val="single" w:color="auto" w:sz="4" w:space="0"/>
            </w:tcBorders>
            <w:shd w:val="clear" w:color="auto" w:fill="auto"/>
            <w:vAlign w:val="center"/>
          </w:tcPr>
          <w:p w14:paraId="396F4D39">
            <w:pPr>
              <w:adjustRightInd w:val="0"/>
              <w:snapToGrid w:val="0"/>
              <w:spacing w:line="360" w:lineRule="auto"/>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Suppliers receive 0.5 points for each product submitted that is certified by a national certification body as an energy-saving product, or as an environmentally labeled product; 1 point for each product submitted that meets both criteria (points are not awarded repeatedly—for example, if a product already earns 1 point, it cannot receive additional 0.5 points for either energy-saving or environmental labeling), with a maximum total of 1 point.</w:t>
            </w:r>
          </w:p>
        </w:tc>
      </w:tr>
    </w:tbl>
    <w:p w14:paraId="6972F1A9">
      <w:pPr>
        <w:spacing w:line="360" w:lineRule="auto"/>
        <w:ind w:firstLine="480" w:firstLineChars="200"/>
        <w:rPr>
          <w:rFonts w:hint="eastAsia" w:ascii="宋体" w:hAnsi="宋体" w:eastAsia="宋体" w:cs="宋体"/>
          <w:b/>
          <w:bCs/>
          <w:sz w:val="24"/>
          <w:highlight w:val="none"/>
          <w:lang w:eastAsia="zh-CN"/>
        </w:rPr>
      </w:pPr>
      <w:r>
        <w:rPr>
          <w:rFonts w:hint="eastAsia" w:ascii="Times New Roman" w:hAnsi="宋体" w:eastAsia="微软雅黑" w:cs="宋体"/>
          <w:b/>
          <w:bCs/>
          <w:kern w:val="2"/>
          <w:sz w:val="24"/>
          <w:szCs w:val="22"/>
          <w:highlight w:val="none"/>
          <w:lang w:val="en-US" w:eastAsia="zh-CN" w:bidi="ar-SA"/>
        </w:rPr>
        <w:t>Review Criteria Notes:</w:t>
      </w:r>
    </w:p>
    <w:p w14:paraId="4B2AC20E">
      <w:pPr>
        <w:spacing w:line="360" w:lineRule="auto"/>
        <w:ind w:firstLine="480" w:firstLineChars="200"/>
        <w:rPr>
          <w:rFonts w:hint="eastAsia" w:ascii="宋体" w:hAnsi="宋体" w:eastAsia="宋体" w:cs="宋体"/>
          <w:b/>
          <w:bCs/>
          <w:sz w:val="24"/>
          <w:highlight w:val="none"/>
          <w:lang w:eastAsia="zh-CN"/>
        </w:rPr>
      </w:pPr>
      <w:bookmarkStart w:id="240" w:name="_Toc15647"/>
      <w:bookmarkStart w:id="241" w:name="_Toc6835"/>
      <w:bookmarkStart w:id="242" w:name="_Toc2536"/>
      <w:r>
        <w:rPr>
          <w:rFonts w:hint="eastAsia" w:ascii="Times New Roman" w:hAnsi="宋体" w:eastAsia="微软雅黑" w:cs="宋体"/>
          <w:b/>
          <w:bCs/>
          <w:kern w:val="2"/>
          <w:sz w:val="24"/>
          <w:szCs w:val="22"/>
          <w:highlight w:val="none"/>
          <w:lang w:val="en-US" w:eastAsia="zh-CN" w:bidi="ar-SA"/>
        </w:rPr>
        <w:t>1. For projects not specifically targeting small and medium-sized enterprises or those implemented by disability welfare institutions, a 10% price deduction shall apply to small and micro-enterprises as well as disability welfare institutions; the evaluated prices shall be calculated based on the deducted amounts. If a disability welfare institution is classified as a small or micro-enterprise, it shall not receive duplicate benefits under this policy.</w:t>
      </w:r>
      <w:bookmarkEnd w:id="240"/>
      <w:bookmarkEnd w:id="241"/>
      <w:bookmarkEnd w:id="242"/>
    </w:p>
    <w:p w14:paraId="347875CB">
      <w:pPr>
        <w:spacing w:line="360" w:lineRule="auto"/>
        <w:ind w:firstLine="480" w:firstLineChars="200"/>
        <w:rPr>
          <w:rFonts w:hint="eastAsia" w:ascii="宋体" w:hAnsi="宋体" w:eastAsia="宋体" w:cs="宋体"/>
          <w:b/>
          <w:bCs/>
          <w:sz w:val="24"/>
          <w:highlight w:val="none"/>
          <w:lang w:eastAsia="zh-CN"/>
        </w:rPr>
      </w:pPr>
      <w:r>
        <w:rPr>
          <w:rFonts w:hint="eastAsia" w:ascii="Times New Roman" w:hAnsi="宋体" w:eastAsia="微软雅黑" w:cs="宋体"/>
          <w:b/>
          <w:bCs/>
          <w:kern w:val="2"/>
          <w:sz w:val="24"/>
          <w:szCs w:val="22"/>
          <w:highlight w:val="none"/>
          <w:lang w:val="en-US" w:eastAsia="zh-CN" w:bidi="ar-SA"/>
        </w:rPr>
        <w:t>2. Prison enterprises shall be treated as small or micro-enterprises; when participating in this procurement activity, they must provide certification documents issued by provincial-level or higher prison administration bureaus or drug rehabilitation administration bureaus (including the Xinjiang Production and Construction Corps) confirming their status as prison enterprises.</w:t>
      </w:r>
    </w:p>
    <w:p w14:paraId="3A8725D5">
      <w:pPr>
        <w:spacing w:line="360" w:lineRule="auto"/>
        <w:ind w:firstLine="480" w:firstLineChars="200"/>
        <w:rPr>
          <w:rFonts w:hint="eastAsia" w:ascii="宋体" w:hAnsi="宋体" w:eastAsia="宋体" w:cs="宋体"/>
          <w:b/>
          <w:bCs/>
          <w:sz w:val="24"/>
          <w:highlight w:val="none"/>
          <w:lang w:eastAsia="zh-CN"/>
        </w:rPr>
      </w:pPr>
      <w:r>
        <w:rPr>
          <w:rFonts w:hint="eastAsia" w:ascii="Times New Roman" w:hAnsi="宋体" w:eastAsia="微软雅黑" w:cs="宋体"/>
          <w:b/>
          <w:bCs/>
          <w:kern w:val="2"/>
          <w:sz w:val="24"/>
          <w:szCs w:val="22"/>
          <w:highlight w:val="none"/>
          <w:lang w:val="en-US" w:eastAsia="zh-CN" w:bidi="ar-SA"/>
        </w:rPr>
        <w:t>3. Welfare institutions for persons with disabilities shall be treated as small or micro enterprises. When participating in this procurement activity, such institutions must submit a declaration letter as required by Notice No.141 [2017] of the Ministry of Finance and the State Administration of Taxation on Government Procurement Policies to Promote Employment for Persons with Disabilities, jointly issued by three government departments.</w:t>
      </w:r>
    </w:p>
    <w:p w14:paraId="36E91BD7">
      <w:pPr>
        <w:spacing w:line="360" w:lineRule="auto"/>
        <w:ind w:firstLine="480" w:firstLineChars="200"/>
        <w:rPr>
          <w:rFonts w:hint="default" w:ascii="宋体" w:hAnsi="宋体" w:cs="宋体"/>
          <w:b/>
          <w:bCs/>
          <w:sz w:val="24"/>
          <w:highlight w:val="none"/>
          <w:lang w:val="en-US" w:eastAsia="zh-CN"/>
        </w:rPr>
      </w:pPr>
      <w:r>
        <w:rPr>
          <w:rFonts w:hint="eastAsia" w:ascii="Times New Roman" w:hAnsi="宋体" w:eastAsia="微软雅黑" w:cs="宋体"/>
          <w:b/>
          <w:bCs/>
          <w:kern w:val="2"/>
          <w:sz w:val="24"/>
          <w:szCs w:val="22"/>
          <w:highlight w:val="none"/>
          <w:lang w:val="en-US" w:eastAsia="zh-CN" w:bidi="ar-SA"/>
        </w:rPr>
        <w:t>4. Details regarding support policies for domestic products and measures for handling abnormally low prices are specified in the procurement documents.</w:t>
      </w:r>
    </w:p>
    <w:p w14:paraId="423C1330">
      <w:pPr>
        <w:spacing w:line="360" w:lineRule="auto"/>
        <w:ind w:firstLine="480" w:firstLineChars="200"/>
        <w:rPr>
          <w:rFonts w:hint="eastAsia" w:ascii="宋体" w:hAnsi="宋体" w:eastAsia="宋体" w:cs="宋体"/>
          <w:b/>
          <w:bCs/>
          <w:sz w:val="24"/>
          <w:highlight w:val="none"/>
          <w:lang w:eastAsia="zh-CN"/>
        </w:rPr>
      </w:pPr>
      <w:r>
        <w:rPr>
          <w:rFonts w:hint="eastAsia" w:ascii="Times New Roman" w:hAnsi="宋体" w:eastAsia="微软雅黑" w:cs="宋体"/>
          <w:b/>
          <w:bCs/>
          <w:kern w:val="2"/>
          <w:sz w:val="24"/>
          <w:szCs w:val="22"/>
          <w:highlight w:val="none"/>
          <w:lang w:val="en-US" w:eastAsia="zh-CN" w:bidi="ar-SA"/>
        </w:rPr>
        <w:t>5. If any evaluation criteria are omitted, the minimum score is zero.</w:t>
      </w:r>
    </w:p>
    <w:p w14:paraId="25E38A35">
      <w:pPr>
        <w:spacing w:line="360" w:lineRule="auto"/>
        <w:ind w:firstLine="480" w:firstLineChars="200"/>
        <w:rPr>
          <w:rFonts w:hint="eastAsia" w:ascii="宋体" w:hAnsi="宋体" w:cs="宋体"/>
          <w:b/>
          <w:bCs/>
          <w:sz w:val="24"/>
          <w:highlight w:val="none"/>
          <w:lang w:val="en-US" w:eastAsia="zh-CN"/>
        </w:rPr>
      </w:pPr>
      <w:r>
        <w:rPr>
          <w:rFonts w:hint="eastAsia" w:ascii="Times New Roman" w:hAnsi="宋体" w:eastAsia="微软雅黑" w:cs="宋体"/>
          <w:b/>
          <w:bCs/>
          <w:kern w:val="2"/>
          <w:sz w:val="24"/>
          <w:szCs w:val="22"/>
          <w:highlight w:val="none"/>
          <w:lang w:val="en-US" w:eastAsia="zh-CN" w:bidi="ar-SA"/>
        </w:rPr>
        <w:t>6. Each supplier's final score is calculated as the arithmetic mean of all judges' scores, rounded to two decimal places.</w:t>
      </w:r>
    </w:p>
    <w:p w14:paraId="21CD2179">
      <w:pPr>
        <w:spacing w:line="360" w:lineRule="auto"/>
        <w:ind w:firstLine="482" w:firstLineChars="200"/>
        <w:rPr>
          <w:rFonts w:hint="default" w:ascii="宋体" w:hAnsi="宋体" w:eastAsia="宋体" w:cs="宋体"/>
          <w:b/>
          <w:bCs/>
          <w:sz w:val="24"/>
          <w:highlight w:val="none"/>
          <w:lang w:val="en-US" w:eastAsia="zh-CN"/>
        </w:rPr>
      </w:pPr>
    </w:p>
    <w:p w14:paraId="34EDD717">
      <w:pPr>
        <w:pStyle w:val="2"/>
        <w:pageBreakBefore/>
        <w:numPr>
          <w:ilvl w:val="0"/>
          <w:numId w:val="6"/>
        </w:numPr>
        <w:spacing w:line="360" w:lineRule="auto"/>
        <w:ind w:left="0" w:leftChars="0" w:firstLine="0" w:firstLineChars="0"/>
        <w:rPr>
          <w:rFonts w:hint="eastAsia" w:ascii="宋体" w:hAnsi="宋体" w:cs="宋体"/>
          <w:color w:val="000000"/>
          <w:sz w:val="36"/>
          <w:szCs w:val="36"/>
          <w:highlight w:val="none"/>
        </w:rPr>
      </w:pPr>
      <w:bookmarkStart w:id="243" w:name="_Toc11195"/>
      <w:bookmarkStart w:id="244" w:name="_Toc24448"/>
      <w:bookmarkStart w:id="245" w:name="_Toc23776"/>
      <w:r>
        <w:rPr>
          <w:rFonts w:hint="eastAsia" w:ascii="Times New Roman" w:hAnsi="宋体" w:eastAsia="微软雅黑" w:cs="宋体"/>
          <w:b/>
          <w:color w:val="000000"/>
          <w:kern w:val="44"/>
          <w:sz w:val="36"/>
          <w:szCs w:val="36"/>
          <w:highlight w:val="none"/>
          <w:lang w:val="en-US" w:eastAsia="zh-CN" w:bidi="ar-SA"/>
        </w:rPr>
        <w:t>Procurement Requirements</w:t>
      </w:r>
      <w:bookmarkEnd w:id="243"/>
      <w:bookmarkEnd w:id="244"/>
      <w:bookmarkEnd w:id="245"/>
    </w:p>
    <w:p w14:paraId="07C11192">
      <w:pPr>
        <w:numPr>
          <w:ilvl w:val="0"/>
          <w:numId w:val="0"/>
        </w:numPr>
        <w:rPr>
          <w:rFonts w:hint="eastAsia" w:eastAsia="宋体"/>
          <w:highlight w:val="none"/>
          <w:lang w:eastAsia="zh-CN"/>
        </w:rPr>
      </w:pPr>
      <w:r>
        <w:rPr>
          <w:rFonts w:hint="eastAsia" w:ascii="Times New Roman" w:hAnsi="Times New Roman" w:eastAsia="微软雅黑" w:cs="Times New Roman"/>
          <w:b/>
          <w:bCs/>
          <w:kern w:val="2"/>
          <w:sz w:val="24"/>
          <w:szCs w:val="28"/>
          <w:highlight w:val="none"/>
          <w:lang w:val="en-US" w:eastAsia="zh-CN" w:bidi="ar-SA"/>
        </w:rPr>
        <w:t>I. Technical Requirements</w:t>
      </w:r>
    </w:p>
    <w:tbl>
      <w:tblPr>
        <w:tblStyle w:val="30"/>
        <w:tblW w:w="8932" w:type="dxa"/>
        <w:tblInd w:w="-21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719"/>
        <w:gridCol w:w="7213"/>
      </w:tblGrid>
      <w:tr w14:paraId="519AB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93EC4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sz w:val="22"/>
                <w:szCs w:val="22"/>
                <w:highlight w:val="none"/>
                <w:u w:val="none"/>
              </w:rPr>
            </w:pPr>
            <w:bookmarkStart w:id="246" w:name="_Toc19647"/>
            <w:bookmarkStart w:id="247" w:name="_Toc22767"/>
            <w:r>
              <w:rPr>
                <w:rFonts w:hint="eastAsia" w:ascii="Times New Roman" w:hAnsi="宋体" w:eastAsia="微软雅黑" w:cs="宋体"/>
                <w:b/>
                <w:bCs/>
                <w:i w:val="0"/>
                <w:iCs w:val="0"/>
                <w:color w:val="000000"/>
                <w:kern w:val="0"/>
                <w:sz w:val="22"/>
                <w:szCs w:val="22"/>
                <w:highlight w:val="none"/>
                <w:u w:val="none"/>
                <w:lang w:val="en-US" w:eastAsia="zh-CN" w:bidi="ar"/>
              </w:rPr>
              <w:t>Entry</w:t>
            </w:r>
            <w:bookmarkEnd w:id="246"/>
            <w:bookmarkEnd w:id="247"/>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36E34E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kern w:val="0"/>
                <w:sz w:val="22"/>
                <w:szCs w:val="22"/>
                <w:highlight w:val="none"/>
                <w:u w:val="none"/>
                <w:lang w:val="en-US" w:eastAsia="zh-CN" w:bidi="ar"/>
              </w:rPr>
            </w:pPr>
            <w:r>
              <w:rPr>
                <w:rFonts w:hint="eastAsia" w:ascii="Times New Roman" w:hAnsi="宋体" w:eastAsia="微软雅黑" w:cs="宋体"/>
                <w:b/>
                <w:bCs/>
                <w:i w:val="0"/>
                <w:iCs w:val="0"/>
                <w:color w:val="000000"/>
                <w:kern w:val="0"/>
                <w:sz w:val="22"/>
                <w:szCs w:val="22"/>
                <w:highlight w:val="none"/>
                <w:u w:val="none"/>
                <w:lang w:val="en-US" w:eastAsia="zh-CN" w:bidi="ar"/>
              </w:rPr>
              <w:t>ask</w:t>
            </w:r>
          </w:p>
        </w:tc>
      </w:tr>
      <w:tr w14:paraId="51D19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66A14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lang w:val="en-US" w:eastAsia="zh-CN"/>
              </w:rPr>
            </w:pPr>
            <w:r>
              <w:rPr>
                <w:rFonts w:hint="eastAsia" w:ascii="Times New Roman" w:hAnsi="宋体" w:eastAsia="微软雅黑" w:cs="宋体"/>
                <w:i w:val="0"/>
                <w:iCs w:val="0"/>
                <w:color w:val="000000"/>
                <w:kern w:val="2"/>
                <w:sz w:val="22"/>
                <w:szCs w:val="22"/>
                <w:highlight w:val="none"/>
                <w:u w:val="none"/>
                <w:lang w:val="en-US" w:eastAsia="zh-CN" w:bidi="ar-SA"/>
              </w:rPr>
              <w:t>I. Equipment Name</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FF34F3">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lang w:val="en-US" w:eastAsia="zh-CN"/>
              </w:rPr>
            </w:pPr>
            <w:r>
              <w:rPr>
                <w:rFonts w:hint="eastAsia" w:ascii="Times New Roman" w:hAnsi="宋体" w:eastAsia="微软雅黑" w:cs="宋体"/>
                <w:i w:val="0"/>
                <w:iCs w:val="0"/>
                <w:color w:val="000000"/>
                <w:kern w:val="2"/>
                <w:sz w:val="22"/>
                <w:szCs w:val="22"/>
                <w:highlight w:val="none"/>
                <w:u w:val="none"/>
                <w:lang w:val="en-US" w:eastAsia="zh-CN" w:bidi="ar-SA"/>
              </w:rPr>
              <w:t>Digital Subtraction Angiography (DSA) System</w:t>
            </w:r>
          </w:p>
        </w:tc>
      </w:tr>
      <w:tr w14:paraId="23489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FE78DA">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II. Quantity</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B62925">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lang w:val="en-US" w:eastAsia="zh-CN"/>
              </w:rPr>
            </w:pPr>
            <w:r>
              <w:rPr>
                <w:rFonts w:hint="eastAsia" w:ascii="Times New Roman" w:hAnsi="宋体" w:eastAsia="微软雅黑" w:cs="宋体"/>
                <w:i w:val="0"/>
                <w:iCs w:val="0"/>
                <w:color w:val="000000"/>
                <w:kern w:val="2"/>
                <w:sz w:val="22"/>
                <w:szCs w:val="22"/>
                <w:highlight w:val="none"/>
                <w:u w:val="none"/>
                <w:lang w:val="en-US" w:eastAsia="zh-CN" w:bidi="ar-SA"/>
              </w:rPr>
              <w:t>Set</w:t>
            </w:r>
          </w:p>
        </w:tc>
      </w:tr>
      <w:tr w14:paraId="377CD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909F4C">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III. Uses</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FE8BED">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Device Purpose: Primarily used for the diagnosis and treatment of cardiovascular, cerebrovascular, and peripheral vascular diseases. It meets various clinical requirements for angiography and interventional therapy. Capable of performing angiography of the chest, extremities, and nervous system, with real-time subtraction imaging of blood vessels.</w:t>
            </w:r>
          </w:p>
        </w:tc>
      </w:tr>
      <w:tr w14:paraId="1CB5B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0F5D3B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IV. Main Components</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B9CC7BF">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A multi-axis suspended frame, catheter bed, high-pressure generator, ball tube, amorphous silicon digital detector, a digital image processing system fully compliant with flat-panel acquisition requirements, storage system, control and operating system, protective equipment, connection cables, and auxiliary devices.</w:t>
            </w:r>
          </w:p>
        </w:tc>
      </w:tr>
      <w:tr w14:paraId="6ED30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719" w:type="dxa"/>
            <w:vMerge w:val="restart"/>
            <w:tcBorders>
              <w:top w:val="single" w:color="000000" w:sz="8" w:space="0"/>
              <w:left w:val="single" w:color="000000" w:sz="8" w:space="0"/>
              <w:right w:val="single" w:color="000000" w:sz="8" w:space="0"/>
            </w:tcBorders>
            <w:shd w:val="clear" w:color="auto" w:fill="auto"/>
            <w:vAlign w:val="center"/>
          </w:tcPr>
          <w:p w14:paraId="6E82F8A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V. Overall Requirements</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36BB68">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5.1 Provide their respective latest low-dose platforms.</w:t>
            </w:r>
          </w:p>
        </w:tc>
      </w:tr>
      <w:tr w14:paraId="24C17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719" w:type="dxa"/>
            <w:vMerge w:val="continue"/>
            <w:tcBorders>
              <w:left w:val="single" w:color="000000" w:sz="8" w:space="0"/>
              <w:right w:val="single" w:color="000000" w:sz="8" w:space="0"/>
            </w:tcBorders>
            <w:shd w:val="clear" w:color="auto" w:fill="auto"/>
            <w:vAlign w:val="center"/>
          </w:tcPr>
          <w:p w14:paraId="32206C3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24D8CB">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▲5.2 Provide a complete original technical white paper from the manufacturer.</w:t>
            </w:r>
          </w:p>
        </w:tc>
      </w:tr>
      <w:tr w14:paraId="41B0B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719" w:type="dxa"/>
            <w:vMerge w:val="continue"/>
            <w:tcBorders>
              <w:left w:val="single" w:color="000000" w:sz="8" w:space="0"/>
              <w:bottom w:val="single" w:color="000000" w:sz="8" w:space="0"/>
              <w:right w:val="single" w:color="000000" w:sz="8" w:space="0"/>
            </w:tcBorders>
            <w:shd w:val="clear" w:color="auto" w:fill="auto"/>
            <w:vAlign w:val="center"/>
          </w:tcPr>
          <w:p w14:paraId="6F8C33B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34CC4C">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★5.3. Provide a 3-year maintenance guarantee issued by the equipment manufacturer.</w:t>
            </w:r>
          </w:p>
        </w:tc>
      </w:tr>
      <w:tr w14:paraId="30282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69442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VI. Technical Specifications</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5846E8">
            <w:pPr>
              <w:keepNext w:val="0"/>
              <w:keepLines w:val="0"/>
              <w:pageBreakBefore w:val="0"/>
              <w:kinsoku/>
              <w:wordWrap/>
              <w:overflowPunct/>
              <w:topLinePunct w:val="0"/>
              <w:autoSpaceDE/>
              <w:autoSpaceDN/>
              <w:bidi w:val="0"/>
              <w:adjustRightInd/>
              <w:snapToGrid/>
              <w:spacing w:line="400" w:lineRule="exact"/>
              <w:jc w:val="both"/>
              <w:rPr>
                <w:rFonts w:hint="eastAsia" w:ascii="宋体" w:hAnsi="宋体" w:eastAsia="宋体" w:cs="宋体"/>
                <w:i w:val="0"/>
                <w:iCs w:val="0"/>
                <w:color w:val="000000"/>
                <w:sz w:val="22"/>
                <w:szCs w:val="22"/>
                <w:highlight w:val="none"/>
                <w:u w:val="none"/>
              </w:rPr>
            </w:pPr>
          </w:p>
        </w:tc>
      </w:tr>
      <w:tr w14:paraId="74551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08B66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★1.1</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F14BECA">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Multi-axis suspension frame system with ≥6 movement axes</w:t>
            </w:r>
          </w:p>
        </w:tc>
      </w:tr>
      <w:tr w14:paraId="53A70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4FEEA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1.2</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355BB8">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lang w:val="en-US"/>
              </w:rPr>
            </w:pPr>
            <w:r>
              <w:rPr>
                <w:rFonts w:hint="eastAsia" w:ascii="Times New Roman" w:hAnsi="宋体" w:eastAsia="微软雅黑" w:cs="宋体"/>
                <w:i w:val="0"/>
                <w:iCs w:val="0"/>
                <w:color w:val="000000"/>
                <w:kern w:val="0"/>
                <w:sz w:val="22"/>
                <w:szCs w:val="22"/>
                <w:highlight w:val="none"/>
                <w:u w:val="none"/>
                <w:lang w:val="en-US" w:eastAsia="zh-CN" w:bidi="ar"/>
              </w:rPr>
              <w:t>Multiple preset rack locations with ≥55 storage options</w:t>
            </w:r>
          </w:p>
        </w:tc>
      </w:tr>
      <w:tr w14:paraId="7F27C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8E978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1.3</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E4F95C">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Equipped with an intelligent bedside control system that enables regulation of the frame and catheter bed movements.</w:t>
            </w:r>
          </w:p>
        </w:tc>
      </w:tr>
      <w:tr w14:paraId="368F3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2A64B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1.4</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FBEA8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CRA≥90°</w:t>
            </w:r>
          </w:p>
        </w:tc>
      </w:tr>
      <w:tr w14:paraId="4D670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3BF2F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1.5</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9AE57A">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CAU≥90°</w:t>
            </w:r>
          </w:p>
        </w:tc>
      </w:tr>
      <w:tr w14:paraId="7025A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0CC2E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1.6</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F8DB09">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RAO≥180°</w:t>
            </w:r>
          </w:p>
        </w:tc>
      </w:tr>
      <w:tr w14:paraId="30683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33E9B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1.7</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70E00AF">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LAO≥120°</w:t>
            </w:r>
          </w:p>
        </w:tc>
      </w:tr>
      <w:tr w14:paraId="56CC9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auto" w:sz="4" w:space="0"/>
              <w:right w:val="single" w:color="000000" w:sz="8" w:space="0"/>
            </w:tcBorders>
            <w:shd w:val="clear" w:color="auto" w:fill="auto"/>
            <w:vAlign w:val="center"/>
          </w:tcPr>
          <w:p w14:paraId="66C0096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1.8</w:t>
            </w:r>
          </w:p>
        </w:tc>
        <w:tc>
          <w:tcPr>
            <w:tcW w:w="7213" w:type="dxa"/>
            <w:tcBorders>
              <w:top w:val="single" w:color="000000" w:sz="8" w:space="0"/>
              <w:left w:val="single" w:color="000000" w:sz="8" w:space="0"/>
              <w:bottom w:val="single" w:color="auto" w:sz="4" w:space="0"/>
              <w:right w:val="single" w:color="000000" w:sz="8" w:space="0"/>
            </w:tcBorders>
            <w:shd w:val="clear" w:color="auto" w:fill="auto"/>
            <w:vAlign w:val="center"/>
          </w:tcPr>
          <w:p w14:paraId="055F8BC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The longitudinal range of motion of the C-arm is ≥180 cm</w:t>
            </w:r>
          </w:p>
        </w:tc>
      </w:tr>
      <w:tr w14:paraId="17484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auto" w:sz="4" w:space="0"/>
              <w:right w:val="single" w:color="000000" w:sz="8" w:space="0"/>
            </w:tcBorders>
            <w:shd w:val="clear" w:color="auto" w:fill="auto"/>
            <w:vAlign w:val="center"/>
          </w:tcPr>
          <w:p w14:paraId="21C8C5D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1.9</w:t>
            </w:r>
          </w:p>
        </w:tc>
        <w:tc>
          <w:tcPr>
            <w:tcW w:w="7213" w:type="dxa"/>
            <w:tcBorders>
              <w:top w:val="single" w:color="000000" w:sz="8" w:space="0"/>
              <w:left w:val="single" w:color="000000" w:sz="8" w:space="0"/>
              <w:bottom w:val="single" w:color="auto" w:sz="4" w:space="0"/>
              <w:right w:val="single" w:color="000000" w:sz="8" w:space="0"/>
            </w:tcBorders>
            <w:shd w:val="clear" w:color="auto" w:fill="auto"/>
            <w:vAlign w:val="center"/>
          </w:tcPr>
          <w:p w14:paraId="13E0EFFA">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The lateral movement range of the C-arm is ≥200 cm</w:t>
            </w:r>
          </w:p>
        </w:tc>
      </w:tr>
      <w:tr w14:paraId="3A19C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auto" w:sz="4" w:space="0"/>
              <w:left w:val="single" w:color="000000" w:sz="8" w:space="0"/>
              <w:bottom w:val="single" w:color="000000" w:sz="8" w:space="0"/>
              <w:right w:val="single" w:color="000000" w:sz="8" w:space="0"/>
            </w:tcBorders>
            <w:shd w:val="clear" w:color="auto" w:fill="auto"/>
            <w:vAlign w:val="center"/>
          </w:tcPr>
          <w:p w14:paraId="0F29F7E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lang w:val="en-US"/>
              </w:rPr>
            </w:pPr>
            <w:r>
              <w:rPr>
                <w:rFonts w:hint="eastAsia" w:ascii="Times New Roman" w:hAnsi="宋体" w:eastAsia="微软雅黑" w:cs="宋体"/>
                <w:i w:val="0"/>
                <w:iCs w:val="0"/>
                <w:color w:val="000000"/>
                <w:kern w:val="0"/>
                <w:sz w:val="22"/>
                <w:szCs w:val="22"/>
                <w:highlight w:val="none"/>
                <w:u w:val="none"/>
                <w:lang w:val="en-US" w:eastAsia="zh-CN" w:bidi="ar"/>
              </w:rPr>
              <w:t>1.10</w:t>
            </w:r>
          </w:p>
        </w:tc>
        <w:tc>
          <w:tcPr>
            <w:tcW w:w="7213" w:type="dxa"/>
            <w:tcBorders>
              <w:top w:val="single" w:color="auto" w:sz="4" w:space="0"/>
              <w:left w:val="single" w:color="000000" w:sz="8" w:space="0"/>
              <w:bottom w:val="single" w:color="000000" w:sz="8" w:space="0"/>
              <w:right w:val="single" w:color="000000" w:sz="8" w:space="0"/>
            </w:tcBorders>
            <w:shd w:val="clear" w:color="auto" w:fill="auto"/>
            <w:vAlign w:val="center"/>
          </w:tcPr>
          <w:p w14:paraId="23C61BE4">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C-arm rotation speed (non-rotational acquisition) ≥ 25 degrees per second</w:t>
            </w:r>
          </w:p>
        </w:tc>
      </w:tr>
      <w:tr w14:paraId="0972C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E6735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lang w:val="en-US"/>
              </w:rPr>
            </w:pPr>
            <w:r>
              <w:rPr>
                <w:rFonts w:hint="eastAsia" w:ascii="Times New Roman" w:hAnsi="宋体" w:eastAsia="微软雅黑" w:cs="宋体"/>
                <w:i w:val="0"/>
                <w:iCs w:val="0"/>
                <w:color w:val="000000"/>
                <w:kern w:val="0"/>
                <w:sz w:val="22"/>
                <w:szCs w:val="22"/>
                <w:highlight w:val="none"/>
                <w:u w:val="none"/>
                <w:lang w:val="en-US" w:eastAsia="zh-CN" w:bidi="ar"/>
              </w:rPr>
              <w:t>1.11</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4C57AC3">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The rotation range of the L-arm is ≥±120°</w:t>
            </w:r>
          </w:p>
        </w:tc>
      </w:tr>
      <w:tr w14:paraId="3AB94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5F6556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lang w:val="en-US"/>
              </w:rPr>
            </w:pPr>
            <w:r>
              <w:rPr>
                <w:rFonts w:hint="eastAsia" w:ascii="Times New Roman" w:hAnsi="宋体" w:eastAsia="微软雅黑" w:cs="宋体"/>
                <w:i w:val="0"/>
                <w:iCs w:val="0"/>
                <w:color w:val="000000"/>
                <w:kern w:val="0"/>
                <w:sz w:val="22"/>
                <w:szCs w:val="22"/>
                <w:highlight w:val="none"/>
                <w:u w:val="none"/>
                <w:lang w:val="en-US" w:eastAsia="zh-CN" w:bidi="ar"/>
              </w:rPr>
              <w:t>1.12</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F08244">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SID variable range ≥ 30 cm</w:t>
            </w:r>
          </w:p>
        </w:tc>
      </w:tr>
      <w:tr w14:paraId="531B8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8D452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lang w:val="en-US"/>
              </w:rPr>
            </w:pPr>
            <w:r>
              <w:rPr>
                <w:rFonts w:hint="eastAsia" w:ascii="Times New Roman" w:hAnsi="宋体" w:eastAsia="微软雅黑" w:cs="宋体"/>
                <w:i w:val="0"/>
                <w:iCs w:val="0"/>
                <w:color w:val="000000"/>
                <w:kern w:val="0"/>
                <w:sz w:val="22"/>
                <w:szCs w:val="22"/>
                <w:highlight w:val="none"/>
                <w:u w:val="none"/>
                <w:lang w:val="en-US" w:eastAsia="zh-CN" w:bidi="ar"/>
              </w:rPr>
              <w:t>1.13</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7320728">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The collimator and flat-panel detector are equipped with automatic tracking and rotation technology. Regardless of the imaging angle between the C-arm frame and the examination table, the flat-panel detector remains relatively stationary relative to the examination table, ensuring that the real-time images consistently maintain an upright upward orientation without deviation.</w:t>
            </w:r>
          </w:p>
        </w:tc>
      </w:tr>
      <w:tr w14:paraId="12DAB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12F58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2</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1F4377">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Catheter bed</w:t>
            </w:r>
          </w:p>
        </w:tc>
      </w:tr>
      <w:tr w14:paraId="2847B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757E2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2.1</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39CA54">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Carbon fiber floating bed surface</w:t>
            </w:r>
          </w:p>
        </w:tc>
      </w:tr>
      <w:tr w14:paraId="247EA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0986F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2.2</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584BF1">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The maximum load capacity for patients is ≥250 kg.</w:t>
            </w:r>
          </w:p>
        </w:tc>
      </w:tr>
      <w:tr w14:paraId="1438B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8122E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2.3</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1E38F2">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lang w:val="en-US"/>
              </w:rPr>
            </w:pPr>
            <w:r>
              <w:rPr>
                <w:rFonts w:hint="eastAsia" w:ascii="Times New Roman" w:hAnsi="宋体" w:eastAsia="微软雅黑" w:cs="宋体"/>
                <w:i w:val="0"/>
                <w:iCs w:val="0"/>
                <w:color w:val="000000"/>
                <w:kern w:val="0"/>
                <w:sz w:val="22"/>
                <w:szCs w:val="22"/>
                <w:highlight w:val="none"/>
                <w:u w:val="none"/>
                <w:lang w:val="en-US" w:eastAsia="zh-CN" w:bidi="ar"/>
              </w:rPr>
              <w:t>Bed length ≥300 cm (excluding the length of extension plates)</w:t>
            </w:r>
          </w:p>
        </w:tc>
      </w:tr>
      <w:tr w14:paraId="63821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28755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2.4</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31368ED">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Bed width ≥48 cm</w:t>
            </w:r>
          </w:p>
        </w:tc>
      </w:tr>
      <w:tr w14:paraId="7B0D3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D1F70F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2.5</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539DAE">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Minimum bed height ≤75 cm</w:t>
            </w:r>
          </w:p>
        </w:tc>
      </w:tr>
      <w:tr w14:paraId="24A99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2227B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2.6</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5F40A7">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lang w:val="en-US"/>
              </w:rPr>
            </w:pPr>
            <w:r>
              <w:rPr>
                <w:rFonts w:hint="eastAsia" w:ascii="Times New Roman" w:hAnsi="宋体" w:eastAsia="微软雅黑" w:cs="宋体"/>
                <w:i w:val="0"/>
                <w:iCs w:val="0"/>
                <w:color w:val="000000"/>
                <w:kern w:val="0"/>
                <w:sz w:val="22"/>
                <w:szCs w:val="22"/>
                <w:highlight w:val="none"/>
                <w:u w:val="none"/>
                <w:lang w:val="en-US" w:eastAsia="zh-CN" w:bidi="ar"/>
              </w:rPr>
              <w:t>The lateral movement range of the bed surface is ≥±18 cm</w:t>
            </w:r>
          </w:p>
        </w:tc>
      </w:tr>
      <w:tr w14:paraId="3EC08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5D760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2.7</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8A16F3">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The longitudinal movement range of the bed surface is ≥125 cm.</w:t>
            </w:r>
          </w:p>
        </w:tc>
      </w:tr>
      <w:tr w14:paraId="58038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158AB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▲2.8</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F3AF3C">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Bed surface rotation ≥270°</w:t>
            </w:r>
          </w:p>
        </w:tc>
      </w:tr>
      <w:tr w14:paraId="61283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6BBFD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2.9</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55D9BA6">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Bedside support for connecting and removing high-pressure syringes</w:t>
            </w:r>
          </w:p>
        </w:tc>
      </w:tr>
      <w:tr w14:paraId="3CC9A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01870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▲2.10</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B60CF4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Supports CPR from any location without returning to the origin</w:t>
            </w:r>
          </w:p>
        </w:tc>
      </w:tr>
      <w:tr w14:paraId="060BF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07F05E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3</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AC40B5">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high pressure generator</w:t>
            </w:r>
          </w:p>
        </w:tc>
      </w:tr>
      <w:tr w14:paraId="27A20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17A7C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3.1</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6BDFB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Maximum output electrical power ≥ 100 kW</w:t>
            </w:r>
          </w:p>
        </w:tc>
      </w:tr>
      <w:tr w14:paraId="418EC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E7471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3.2</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2D634D6">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Maximum tube current support: ≥1000 mA</w:t>
            </w:r>
          </w:p>
        </w:tc>
      </w:tr>
      <w:tr w14:paraId="68399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51D0FE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3.3</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0B1B7D">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Minimum tube voltage ≤ 40 kV</w:t>
            </w:r>
          </w:p>
        </w:tc>
      </w:tr>
      <w:tr w14:paraId="56CFA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D65975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3.4</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FB00F15">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lang w:val="en-US"/>
              </w:rPr>
            </w:pPr>
            <w:r>
              <w:rPr>
                <w:rFonts w:hint="eastAsia" w:ascii="Times New Roman" w:hAnsi="宋体" w:eastAsia="微软雅黑" w:cs="宋体"/>
                <w:i w:val="0"/>
                <w:iCs w:val="0"/>
                <w:color w:val="000000"/>
                <w:kern w:val="0"/>
                <w:sz w:val="22"/>
                <w:szCs w:val="22"/>
                <w:highlight w:val="none"/>
                <w:u w:val="none"/>
                <w:lang w:val="en-US" w:eastAsia="zh-CN" w:bidi="ar"/>
              </w:rPr>
              <w:t>Minimum exposure time ≤ 1 ms</w:t>
            </w:r>
          </w:p>
        </w:tc>
      </w:tr>
      <w:tr w14:paraId="34416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2D8B4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3.5</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AC981F">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Maximum tube voltage ≥ 125 kV</w:t>
            </w:r>
          </w:p>
        </w:tc>
      </w:tr>
      <w:tr w14:paraId="5C361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E83EE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3.6</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81E541">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Minimum tube current ≤ 5 mA</w:t>
            </w:r>
          </w:p>
        </w:tc>
      </w:tr>
      <w:tr w14:paraId="3F2E1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D8B23F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3.7</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8A32074">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High-frequency inverter frequency ≥ 100 kHz</w:t>
            </w:r>
          </w:p>
        </w:tc>
      </w:tr>
      <w:tr w14:paraId="509D6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31F03D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3.8</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C7145C">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Fully automatic exposure control, no test exposure required</w:t>
            </w:r>
          </w:p>
        </w:tc>
      </w:tr>
      <w:tr w14:paraId="5E09C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4F53D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4</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58D5C57">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X-ray tube</w:t>
            </w:r>
          </w:p>
        </w:tc>
      </w:tr>
      <w:tr w14:paraId="431CE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AE138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4.1</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E57C6E">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lang w:val="en-US"/>
              </w:rPr>
            </w:pPr>
            <w:r>
              <w:rPr>
                <w:rFonts w:hint="eastAsia" w:ascii="Times New Roman" w:hAnsi="宋体" w:eastAsia="微软雅黑" w:cs="宋体"/>
                <w:i w:val="0"/>
                <w:iCs w:val="0"/>
                <w:color w:val="000000"/>
                <w:kern w:val="0"/>
                <w:sz w:val="22"/>
                <w:szCs w:val="22"/>
                <w:highlight w:val="none"/>
                <w:u w:val="none"/>
                <w:lang w:val="en-US" w:eastAsia="zh-CN" w:bidi="ar"/>
              </w:rPr>
              <w:t>The tube has ≥3 focal points.</w:t>
            </w:r>
          </w:p>
        </w:tc>
      </w:tr>
      <w:tr w14:paraId="418FB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5915C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4.2</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6509F8">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Small focal spot ≤ 0.4 mm</w:t>
            </w:r>
          </w:p>
        </w:tc>
      </w:tr>
      <w:tr w14:paraId="65F85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DD64F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4.3</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99B759">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lang w:val="en-US"/>
              </w:rPr>
            </w:pPr>
            <w:r>
              <w:rPr>
                <w:rFonts w:hint="eastAsia" w:ascii="Times New Roman" w:hAnsi="宋体" w:eastAsia="微软雅黑" w:cs="宋体"/>
                <w:i w:val="0"/>
                <w:iCs w:val="0"/>
                <w:color w:val="000000"/>
                <w:kern w:val="0"/>
                <w:sz w:val="22"/>
                <w:szCs w:val="22"/>
                <w:highlight w:val="none"/>
                <w:u w:val="none"/>
                <w:lang w:val="en-US" w:eastAsia="zh-CN" w:bidi="ar"/>
              </w:rPr>
              <w:t>Small focal spot power ≥ 25 kW</w:t>
            </w:r>
          </w:p>
        </w:tc>
      </w:tr>
      <w:tr w14:paraId="387D6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339E0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sz w:val="22"/>
                <w:szCs w:val="22"/>
                <w:highlight w:val="none"/>
                <w:u w:val="none"/>
              </w:rPr>
            </w:pPr>
            <w:r>
              <w:rPr>
                <w:rFonts w:hint="eastAsia" w:ascii="Times New Roman" w:hAnsi="宋体" w:eastAsia="微软雅黑" w:cs="宋体"/>
                <w:i w:val="0"/>
                <w:iCs w:val="0"/>
                <w:color w:val="auto"/>
                <w:kern w:val="0"/>
                <w:sz w:val="22"/>
                <w:szCs w:val="22"/>
                <w:highlight w:val="none"/>
                <w:u w:val="none"/>
                <w:lang w:val="en-US" w:eastAsia="zh-CN" w:bidi="ar"/>
              </w:rPr>
              <w:t>4.4</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DA6C1E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auto"/>
                <w:sz w:val="22"/>
                <w:szCs w:val="22"/>
                <w:highlight w:val="none"/>
                <w:u w:val="none"/>
              </w:rPr>
            </w:pPr>
            <w:r>
              <w:rPr>
                <w:rFonts w:hint="eastAsia" w:ascii="Times New Roman" w:hAnsi="宋体" w:eastAsia="微软雅黑" w:cs="宋体"/>
                <w:i w:val="0"/>
                <w:iCs w:val="0"/>
                <w:color w:val="auto"/>
                <w:kern w:val="0"/>
                <w:sz w:val="22"/>
                <w:szCs w:val="22"/>
                <w:highlight w:val="none"/>
                <w:u w:val="none"/>
                <w:lang w:val="en-US" w:eastAsia="zh-CN" w:bidi="ar"/>
              </w:rPr>
              <w:t>Mid-point focus ≤ 0.6 mm</w:t>
            </w:r>
          </w:p>
        </w:tc>
      </w:tr>
      <w:tr w14:paraId="31509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FB0F3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sz w:val="22"/>
                <w:szCs w:val="22"/>
                <w:highlight w:val="none"/>
                <w:u w:val="none"/>
              </w:rPr>
            </w:pPr>
            <w:r>
              <w:rPr>
                <w:rFonts w:hint="eastAsia" w:ascii="Times New Roman" w:hAnsi="宋体" w:eastAsia="微软雅黑" w:cs="宋体"/>
                <w:i w:val="0"/>
                <w:iCs w:val="0"/>
                <w:color w:val="auto"/>
                <w:kern w:val="0"/>
                <w:sz w:val="22"/>
                <w:szCs w:val="22"/>
                <w:highlight w:val="none"/>
                <w:u w:val="none"/>
                <w:lang w:val="en-US" w:eastAsia="zh-CN" w:bidi="ar"/>
              </w:rPr>
              <w:t>4.5</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815636">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auto"/>
                <w:sz w:val="22"/>
                <w:szCs w:val="22"/>
                <w:highlight w:val="none"/>
                <w:u w:val="none"/>
              </w:rPr>
            </w:pPr>
            <w:r>
              <w:rPr>
                <w:rFonts w:hint="eastAsia" w:ascii="Times New Roman" w:hAnsi="宋体" w:eastAsia="微软雅黑" w:cs="宋体"/>
                <w:i w:val="0"/>
                <w:iCs w:val="0"/>
                <w:color w:val="auto"/>
                <w:kern w:val="0"/>
                <w:sz w:val="22"/>
                <w:szCs w:val="22"/>
                <w:highlight w:val="none"/>
                <w:u w:val="none"/>
                <w:lang w:val="en-US" w:eastAsia="zh-CN" w:bidi="ar"/>
              </w:rPr>
              <w:t>Mid-focus power ≥ 40 kW</w:t>
            </w:r>
          </w:p>
        </w:tc>
      </w:tr>
      <w:tr w14:paraId="50925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BA413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4.6</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AC3A31">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Major Focus ≤ 1.0 mm</w:t>
            </w:r>
          </w:p>
        </w:tc>
      </w:tr>
      <w:tr w14:paraId="2FA40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3DAD51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4.7</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581B2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Main focus power ≥ 90 kW</w:t>
            </w:r>
          </w:p>
        </w:tc>
      </w:tr>
      <w:tr w14:paraId="60FF3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427ED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4.8</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BF94D5">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lang w:val="en-US"/>
              </w:rPr>
            </w:pPr>
            <w:r>
              <w:rPr>
                <w:rFonts w:hint="eastAsia" w:ascii="Times New Roman" w:hAnsi="宋体" w:eastAsia="微软雅黑" w:cs="宋体"/>
                <w:i w:val="0"/>
                <w:iCs w:val="0"/>
                <w:color w:val="000000"/>
                <w:kern w:val="0"/>
                <w:sz w:val="22"/>
                <w:szCs w:val="22"/>
                <w:highlight w:val="none"/>
                <w:u w:val="none"/>
                <w:lang w:val="en-US" w:eastAsia="zh-CN" w:bidi="ar"/>
              </w:rPr>
              <w:t>Maximum anodic heat capacity ≥ 3.5 MHu</w:t>
            </w:r>
          </w:p>
        </w:tc>
      </w:tr>
      <w:tr w14:paraId="378BD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4AAC0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4.9</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F0FE0B">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Equipped with gate control technology</w:t>
            </w:r>
          </w:p>
        </w:tc>
      </w:tr>
      <w:tr w14:paraId="572A1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D7AFB7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▲4.10</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7FCFD7">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The heat capacity of the tube sleeve is ≥6.5 MHu</w:t>
            </w:r>
          </w:p>
        </w:tc>
      </w:tr>
      <w:tr w14:paraId="31272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4DD974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4.11</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26712A">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The heat dissipation power of the tube anode is ≥5.5 kW</w:t>
            </w:r>
          </w:p>
        </w:tc>
      </w:tr>
      <w:tr w14:paraId="114A7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FE6240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5</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9072835">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Tabletop detector</w:t>
            </w:r>
          </w:p>
        </w:tc>
      </w:tr>
      <w:tr w14:paraId="729E5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8BEA4E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5.1</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1FC85A1">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Type: Amorphous silicon digital flat-panel detector</w:t>
            </w:r>
          </w:p>
        </w:tc>
      </w:tr>
      <w:tr w14:paraId="34F41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D9180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5.2</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CE7768">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Pixel size ≤ 154 μm</w:t>
            </w:r>
          </w:p>
        </w:tc>
      </w:tr>
      <w:tr w14:paraId="63643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47E89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5.3</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0EB2E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Maximum grayscale ≥ 16 bits</w:t>
            </w:r>
          </w:p>
        </w:tc>
      </w:tr>
      <w:tr w14:paraId="2F3AC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359289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lang w:val="en-US" w:eastAsia="zh-CN"/>
              </w:rPr>
            </w:pPr>
            <w:r>
              <w:rPr>
                <w:rFonts w:hint="eastAsia" w:ascii="Times New Roman" w:hAnsi="宋体" w:eastAsia="微软雅黑" w:cs="宋体"/>
                <w:i w:val="0"/>
                <w:iCs w:val="0"/>
                <w:color w:val="000000"/>
                <w:kern w:val="2"/>
                <w:sz w:val="22"/>
                <w:szCs w:val="22"/>
                <w:highlight w:val="none"/>
                <w:u w:val="none"/>
                <w:lang w:val="en-US" w:eastAsia="zh-CN" w:bidi="ar-SA"/>
              </w:rPr>
              <w:t>5.4</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201533">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Imaging area ≥ 38 cm × 29 cm</w:t>
            </w:r>
          </w:p>
        </w:tc>
      </w:tr>
      <w:tr w14:paraId="2F46E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6DD52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lang w:val="en-US"/>
              </w:rPr>
            </w:pPr>
            <w:r>
              <w:rPr>
                <w:rFonts w:hint="eastAsia" w:ascii="Times New Roman" w:hAnsi="宋体" w:eastAsia="微软雅黑" w:cs="宋体"/>
                <w:i w:val="0"/>
                <w:iCs w:val="0"/>
                <w:color w:val="000000"/>
                <w:kern w:val="0"/>
                <w:sz w:val="22"/>
                <w:szCs w:val="22"/>
                <w:highlight w:val="none"/>
                <w:u w:val="none"/>
                <w:lang w:val="en-US" w:eastAsia="zh-CN" w:bidi="ar"/>
              </w:rPr>
              <w:t>5.5</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030435">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Maximum Resolution ≥ 3.25 lp/mm</w:t>
            </w:r>
          </w:p>
        </w:tc>
      </w:tr>
      <w:tr w14:paraId="1F24A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FD320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lang w:val="en-US"/>
              </w:rPr>
            </w:pPr>
            <w:r>
              <w:rPr>
                <w:rFonts w:hint="eastAsia" w:ascii="Times New Roman" w:hAnsi="宋体" w:eastAsia="微软雅黑" w:cs="宋体"/>
                <w:i w:val="0"/>
                <w:iCs w:val="0"/>
                <w:color w:val="000000"/>
                <w:kern w:val="0"/>
                <w:sz w:val="22"/>
                <w:szCs w:val="22"/>
                <w:highlight w:val="none"/>
                <w:u w:val="none"/>
                <w:lang w:val="en-US" w:eastAsia="zh-CN" w:bidi="ar"/>
              </w:rPr>
              <w:t>5.6</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F94DDA">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DQE≥77%</w:t>
            </w:r>
          </w:p>
        </w:tc>
      </w:tr>
      <w:tr w14:paraId="74450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3C1B5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lang w:val="en-US" w:eastAsia="zh-CN"/>
              </w:rPr>
            </w:pPr>
            <w:r>
              <w:rPr>
                <w:rFonts w:hint="eastAsia" w:ascii="Times New Roman" w:hAnsi="宋体" w:eastAsia="微软雅黑" w:cs="宋体"/>
                <w:i w:val="0"/>
                <w:iCs w:val="0"/>
                <w:color w:val="000000"/>
                <w:kern w:val="2"/>
                <w:sz w:val="22"/>
                <w:szCs w:val="22"/>
                <w:highlight w:val="none"/>
                <w:u w:val="none"/>
                <w:lang w:val="en-US" w:eastAsia="zh-CN" w:bidi="ar-SA"/>
              </w:rPr>
              <w:t>▲5.7</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3C8D23D">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lang w:val="en-US"/>
              </w:rPr>
            </w:pPr>
            <w:r>
              <w:rPr>
                <w:rFonts w:hint="eastAsia" w:ascii="Times New Roman" w:hAnsi="宋体" w:eastAsia="微软雅黑" w:cs="宋体"/>
                <w:i w:val="0"/>
                <w:iCs w:val="0"/>
                <w:color w:val="000000"/>
                <w:kern w:val="0"/>
                <w:sz w:val="22"/>
                <w:szCs w:val="22"/>
                <w:highlight w:val="none"/>
                <w:u w:val="none"/>
                <w:lang w:val="en-US" w:eastAsia="zh-CN" w:bidi="ar"/>
              </w:rPr>
              <w:t>Physical imaging field of view ≥8</w:t>
            </w:r>
          </w:p>
        </w:tc>
      </w:tr>
      <w:tr w14:paraId="6894B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45CE4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lang w:val="en-US"/>
              </w:rPr>
            </w:pPr>
            <w:r>
              <w:rPr>
                <w:rFonts w:hint="eastAsia" w:ascii="Times New Roman" w:hAnsi="宋体" w:eastAsia="微软雅黑" w:cs="宋体"/>
                <w:i w:val="0"/>
                <w:iCs w:val="0"/>
                <w:color w:val="000000"/>
                <w:kern w:val="0"/>
                <w:sz w:val="22"/>
                <w:szCs w:val="22"/>
                <w:highlight w:val="none"/>
                <w:u w:val="none"/>
                <w:lang w:val="en-US" w:eastAsia="zh-CN" w:bidi="ar"/>
              </w:rPr>
              <w:t>5.8</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C3B2CF">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The flat-panel detector is equipped with buttons for controlling the lifting and rotation movements of the panel.</w:t>
            </w:r>
          </w:p>
        </w:tc>
      </w:tr>
      <w:tr w14:paraId="2FECE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65DF3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6</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75EFA9">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image display system</w:t>
            </w:r>
          </w:p>
        </w:tc>
      </w:tr>
      <w:tr w14:paraId="135B4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34946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6.1</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47318FE">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There are ≥4 screens in the examination room.</w:t>
            </w:r>
          </w:p>
        </w:tc>
      </w:tr>
      <w:tr w14:paraId="50734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84BE8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6.2</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9864F3">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lang w:val="en-US"/>
              </w:rPr>
            </w:pPr>
            <w:r>
              <w:rPr>
                <w:rFonts w:hint="eastAsia" w:ascii="Times New Roman" w:hAnsi="宋体" w:eastAsia="微软雅黑" w:cs="宋体"/>
                <w:i w:val="0"/>
                <w:iCs w:val="0"/>
                <w:color w:val="000000"/>
                <w:kern w:val="0"/>
                <w:sz w:val="22"/>
                <w:szCs w:val="22"/>
                <w:highlight w:val="none"/>
                <w:u w:val="none"/>
                <w:lang w:val="en-US" w:eastAsia="zh-CN" w:bidi="ar"/>
              </w:rPr>
              <w:t>Size ≥ 20 inches</w:t>
            </w:r>
          </w:p>
        </w:tc>
      </w:tr>
      <w:tr w14:paraId="06204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B9FD6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6.3</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930C9B">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lang w:val="en-US"/>
              </w:rPr>
            </w:pPr>
            <w:r>
              <w:rPr>
                <w:rFonts w:hint="eastAsia" w:ascii="Times New Roman" w:hAnsi="宋体" w:eastAsia="微软雅黑" w:cs="宋体"/>
                <w:i w:val="0"/>
                <w:iCs w:val="0"/>
                <w:color w:val="000000"/>
                <w:kern w:val="0"/>
                <w:sz w:val="22"/>
                <w:szCs w:val="22"/>
                <w:highlight w:val="none"/>
                <w:u w:val="none"/>
                <w:lang w:val="en-US" w:eastAsia="zh-CN" w:bidi="ar"/>
              </w:rPr>
              <w:t>Screen Resolution ≥ 1920 x 1080</w:t>
            </w:r>
          </w:p>
        </w:tc>
      </w:tr>
      <w:tr w14:paraId="6BEC2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564433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6.4</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DBAB46">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2 screens in the control room</w:t>
            </w:r>
          </w:p>
        </w:tc>
      </w:tr>
      <w:tr w14:paraId="448EB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37550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6.5</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A6CB3E">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Control room screen resolution ≥1920 x 1080</w:t>
            </w:r>
          </w:p>
        </w:tc>
      </w:tr>
      <w:tr w14:paraId="46C5E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C3467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7</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1EC349">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Patient Data Management</w:t>
            </w:r>
          </w:p>
        </w:tc>
      </w:tr>
      <w:tr w14:paraId="5C50D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EC127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7.1</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24F7C2">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Data Import: Supports importing patient image data in DICOM format from PACS, CD, DVD, or USB to the local device.</w:t>
            </w:r>
          </w:p>
        </w:tc>
      </w:tr>
      <w:tr w14:paraId="5D213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CB01E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7.2</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6380D5">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Data archiving: Supports archiving patient images in DICOM, TIF, JPEG, and BMP formats onto CDs, DVDs, USB drives, or PACS systems.</w:t>
            </w:r>
          </w:p>
        </w:tc>
      </w:tr>
      <w:tr w14:paraId="6A99E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93E09F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7.3</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99FDB56">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Image Printing: Supports printing patient images with DICOM printers</w:t>
            </w:r>
          </w:p>
        </w:tc>
      </w:tr>
      <w:tr w14:paraId="3B2A8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CB7585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7.4</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274D6A">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Host image file storage capacity ≥ 100,000 images (1K resolution, 12-bit)</w:t>
            </w:r>
          </w:p>
        </w:tc>
      </w:tr>
      <w:tr w14:paraId="6186A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F2ECE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8</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7D0148">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2D Image Acquisition</w:t>
            </w:r>
          </w:p>
        </w:tc>
      </w:tr>
      <w:tr w14:paraId="72044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4331F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8.1</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7441D89">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Inspection: Pulse frequency ≥ level 6</w:t>
            </w:r>
          </w:p>
        </w:tc>
      </w:tr>
      <w:tr w14:paraId="7CA50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4B2D5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8.2</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4722DE">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Minimum pulse-per-second frame rate ≤ 0.5 fps</w:t>
            </w:r>
          </w:p>
        </w:tc>
      </w:tr>
      <w:tr w14:paraId="721CE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0F1BD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8.3</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3D8878">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Maximum pulse-per-slice frame rate ≥ 30 fps</w:t>
            </w:r>
          </w:p>
        </w:tc>
      </w:tr>
      <w:tr w14:paraId="209AB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1C88C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8.4</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CF84F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Insight: Storage ≥60s</w:t>
            </w:r>
          </w:p>
        </w:tc>
      </w:tr>
      <w:tr w14:paraId="4EC29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DBED49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8.5</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B391EBE">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Perspective storage does not require waiting for saving to complete and does not affect subsequent perspectives</w:t>
            </w:r>
          </w:p>
        </w:tc>
      </w:tr>
      <w:tr w14:paraId="344D0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D74BC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8.6</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94625B">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Dual-view navigation: Supports real-time display of contrast images and fluoroscopy images overlaid on the reference screen</w:t>
            </w:r>
          </w:p>
        </w:tc>
      </w:tr>
      <w:tr w14:paraId="0960B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D80190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8.7</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D737C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Dual-view zoom: Supports displaying real-time zoomed images on the reference screen</w:t>
            </w:r>
          </w:p>
        </w:tc>
      </w:tr>
      <w:tr w14:paraId="1813F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50A76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8.8</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0FD8637">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Perfusion procedures can be independently performed in both the control room and the examination room.</w:t>
            </w:r>
          </w:p>
        </w:tc>
      </w:tr>
      <w:tr w14:paraId="00D6C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F14B0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8.9</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BECE23B">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The Roadmap allows real-time adjustment of vessel and catheter contrast as well as anatomical background.</w:t>
            </w:r>
          </w:p>
        </w:tc>
      </w:tr>
      <w:tr w14:paraId="07DCC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1E886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宋体" w:hAnsi="宋体" w:eastAsia="宋体" w:cs="宋体"/>
                <w:i w:val="0"/>
                <w:iCs w:val="0"/>
                <w:color w:val="000000"/>
                <w:sz w:val="22"/>
                <w:szCs w:val="22"/>
                <w:highlight w:val="none"/>
                <w:u w:val="none"/>
                <w:lang w:val="en-US"/>
              </w:rPr>
            </w:pPr>
            <w:r>
              <w:rPr>
                <w:rFonts w:hint="eastAsia" w:ascii="Times New Roman" w:hAnsi="宋体" w:eastAsia="微软雅黑" w:cs="宋体"/>
                <w:i w:val="0"/>
                <w:iCs w:val="0"/>
                <w:color w:val="000000"/>
                <w:kern w:val="0"/>
                <w:sz w:val="22"/>
                <w:szCs w:val="22"/>
                <w:highlight w:val="none"/>
                <w:u w:val="none"/>
                <w:lang w:val="en-US" w:eastAsia="zh-CN" w:bidi="ar"/>
              </w:rPr>
              <w:t>8.10</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A3602B">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Supports automatic motion artifact elimination during the roadmap process</w:t>
            </w:r>
          </w:p>
        </w:tc>
      </w:tr>
      <w:tr w14:paraId="6EA2B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40A7E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8.11</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606BDF">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 using DSA images for roadmaps</w:t>
            </w:r>
          </w:p>
        </w:tc>
      </w:tr>
      <w:tr w14:paraId="5B746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78EC5D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8.12</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D6E5A7">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DSA enables real-time automatic pixel displacement correction for moving artifacts.</w:t>
            </w:r>
          </w:p>
        </w:tc>
      </w:tr>
      <w:tr w14:paraId="4BE8D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CB4BE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8.13</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DE13F4">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High-resolution DSA acquisition supports 2K resolution.</w:t>
            </w:r>
          </w:p>
        </w:tc>
      </w:tr>
      <w:tr w14:paraId="650D8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CE5533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8.14</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019B56">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High-speed DSA mode with frame rate ≥30 fps</w:t>
            </w:r>
          </w:p>
        </w:tc>
      </w:tr>
      <w:tr w14:paraId="1E84F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FC814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8.15</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0F3FC1">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Dynamic DR maximum frame rate ≥ 10 fps</w:t>
            </w:r>
          </w:p>
        </w:tc>
      </w:tr>
      <w:tr w14:paraId="31DF0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85E8D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8.16</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7C3FAF">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The maximum frame rate of digital films is ≥30 fps.</w:t>
            </w:r>
          </w:p>
        </w:tc>
      </w:tr>
      <w:tr w14:paraId="3E542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75083B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8.17</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62E7BC">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Supports one-click movement to the reference angle and bed position</w:t>
            </w:r>
          </w:p>
        </w:tc>
      </w:tr>
      <w:tr w14:paraId="60284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A6FA64">
            <w:pPr>
              <w:keepNext w:val="0"/>
              <w:keepLines w:val="0"/>
              <w:pageBreakBefore w:val="0"/>
              <w:widowControl/>
              <w:suppressLineNumbers w:val="0"/>
              <w:kinsoku/>
              <w:wordWrap/>
              <w:overflowPunct/>
              <w:topLinePunct w:val="0"/>
              <w:autoSpaceDE/>
              <w:autoSpaceDN/>
              <w:bidi w:val="0"/>
              <w:adjustRightInd/>
              <w:snapToGrid/>
              <w:spacing w:line="400" w:lineRule="exact"/>
              <w:ind w:firstLine="440" w:firstLineChars="200"/>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8.18</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AB98F1">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With step function</w:t>
            </w:r>
          </w:p>
        </w:tc>
      </w:tr>
      <w:tr w14:paraId="09312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AD0E9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9</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FFB40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2D Image Processing</w:t>
            </w:r>
          </w:p>
        </w:tc>
      </w:tr>
      <w:tr w14:paraId="70A54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EA03AC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9.1</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342369">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Supports teaching and interaction between the control room and inspection room using a pointer on the real-time display screen.</w:t>
            </w:r>
          </w:p>
        </w:tc>
      </w:tr>
      <w:tr w14:paraId="54AC4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958DF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9.2</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28396B">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Supports adding graphics to real-time images for surgical localization</w:t>
            </w:r>
          </w:p>
        </w:tc>
      </w:tr>
      <w:tr w14:paraId="392B9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0A1830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9.3</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47BB56">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Supports zooming in/out, pan, flipping, annotating, color reversal, and restoration</w:t>
            </w:r>
          </w:p>
        </w:tc>
      </w:tr>
      <w:tr w14:paraId="49FEE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E1699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9.4</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E8FD2E3">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Supports adjustment of window width, window position, and edge enhancement</w:t>
            </w:r>
          </w:p>
        </w:tc>
      </w:tr>
      <w:tr w14:paraId="5F717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71099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9.5</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E580CE">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Supports electronic gratings</w:t>
            </w:r>
          </w:p>
        </w:tc>
      </w:tr>
      <w:tr w14:paraId="080B5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2CE2A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9.6</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8D575D8">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 subtraction, original image switching, and background adjustment</w:t>
            </w:r>
          </w:p>
        </w:tc>
      </w:tr>
      <w:tr w14:paraId="235A2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8A52A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9.7</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99B56A">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 moving/replacing occluders</w:t>
            </w:r>
          </w:p>
        </w:tc>
      </w:tr>
      <w:tr w14:paraId="195CB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81F06F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9.8</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595778">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Supports maximum contrast agent filling images</w:t>
            </w:r>
          </w:p>
        </w:tc>
      </w:tr>
      <w:tr w14:paraId="52223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366B7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9.9</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B4782E">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Supports automatic calibration, catheter calibration, and length calibration</w:t>
            </w:r>
          </w:p>
        </w:tc>
      </w:tr>
      <w:tr w14:paraId="5FD3B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A0E32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9.10</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115F54">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Measurements include linear measurement, curve measurement, proportional measurement, and angular measurement.</w:t>
            </w:r>
          </w:p>
        </w:tc>
      </w:tr>
      <w:tr w14:paraId="1878D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996F2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9.11</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BF775B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Supports displaying two different sequences side by side on the same screen and synchronizing the playback of contrast images from various time points, such as preoperative and postoperative sequences or anteroposterior and lateral views.</w:t>
            </w:r>
          </w:p>
        </w:tc>
      </w:tr>
      <w:tr w14:paraId="408DB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1A3C4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9.12</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DECB32">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Supports trimming sequences by removing unnecessary frames</w:t>
            </w:r>
          </w:p>
        </w:tc>
      </w:tr>
      <w:tr w14:paraId="4673C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A97B7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10</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3020BC5">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3D Image Acquisition</w:t>
            </w:r>
          </w:p>
        </w:tc>
      </w:tr>
      <w:tr w14:paraId="4AF0F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F2B61C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10.1</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240667">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Supports original factory 3D acquisition and reconstruction</w:t>
            </w:r>
          </w:p>
        </w:tc>
      </w:tr>
      <w:tr w14:paraId="47C9B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3E903F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10.2</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928A39">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Supports original manufacturer's CBCT acquisition and reconstruction</w:t>
            </w:r>
          </w:p>
        </w:tc>
      </w:tr>
      <w:tr w14:paraId="5705C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9CACD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10.3</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5723AC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3D vascular acquisition: supports subtraction and non-subtraction modes</w:t>
            </w:r>
          </w:p>
        </w:tc>
      </w:tr>
      <w:tr w14:paraId="553F1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74B25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10.4</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BD41C6">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3D reconstruction time ≤ 10s</w:t>
            </w:r>
          </w:p>
        </w:tc>
      </w:tr>
      <w:tr w14:paraId="73C44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FFB3F5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10.5</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C08216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Supports cone-beam CT scanning in both anteroposterior and lateral views.</w:t>
            </w:r>
          </w:p>
        </w:tc>
      </w:tr>
      <w:tr w14:paraId="4AD1E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121DC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▲10.6</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91CC4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Positive rotation speed for C-arm acquisition: ≥55°/s</w:t>
            </w:r>
          </w:p>
        </w:tc>
      </w:tr>
      <w:tr w14:paraId="2C95C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50518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10.7</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CB929B">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Positive rotation acquisition range ≥ 200°</w:t>
            </w:r>
          </w:p>
        </w:tc>
      </w:tr>
      <w:tr w14:paraId="03B7E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88EED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10.8</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A5E683">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Lateral rotation acquisition requires a C-arm rotation speed ≥40°/s</w:t>
            </w:r>
          </w:p>
        </w:tc>
      </w:tr>
      <w:tr w14:paraId="1A4C7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43C0D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10.9</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705A087">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The lateral rotation acquisition range is ≥180°.</w:t>
            </w:r>
          </w:p>
        </w:tc>
      </w:tr>
      <w:tr w14:paraId="0BE5A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755D76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11</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503C21">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3D Image Processing</w:t>
            </w:r>
          </w:p>
        </w:tc>
      </w:tr>
      <w:tr w14:paraId="4263C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462A8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11.1</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10A104">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Supports angle, threshold, layer thickness, rendering preset, VOI cropping, scaling, pan, annotation, 3D measurement, and reset</w:t>
            </w:r>
          </w:p>
        </w:tc>
      </w:tr>
      <w:tr w14:paraId="7DDA9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E0CE2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11.2</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EA52D5">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Supports 3D Roadmap, enabling adjustments to SID and C-arm angles as well as rack movement.</w:t>
            </w:r>
          </w:p>
        </w:tc>
      </w:tr>
      <w:tr w14:paraId="7E065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C7194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11.3</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129F2D">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Supports sending 3D angles and associating VR images with the C-arm</w:t>
            </w:r>
          </w:p>
        </w:tc>
      </w:tr>
      <w:tr w14:paraId="70C82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66F77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11.4</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AAD30C">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Supports multi-volume reconstruction</w:t>
            </w:r>
          </w:p>
        </w:tc>
      </w:tr>
      <w:tr w14:paraId="5637D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98936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lang w:val="en-US"/>
              </w:rPr>
            </w:pPr>
            <w:r>
              <w:rPr>
                <w:rFonts w:hint="eastAsia" w:ascii="Times New Roman" w:hAnsi="宋体" w:eastAsia="微软雅黑" w:cs="宋体"/>
                <w:i w:val="0"/>
                <w:iCs w:val="0"/>
                <w:color w:val="000000"/>
                <w:kern w:val="0"/>
                <w:sz w:val="22"/>
                <w:szCs w:val="22"/>
                <w:highlight w:val="none"/>
                <w:u w:val="none"/>
                <w:lang w:val="en-US" w:eastAsia="zh-CN" w:bidi="ar"/>
              </w:rPr>
              <w:t>11.5</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8DA04B">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For automatic registration of organ motion, specific flexible registration methods are employed for the brain, thoracic and abdominal regions, and limbs.</w:t>
            </w:r>
          </w:p>
        </w:tc>
      </w:tr>
      <w:tr w14:paraId="7F266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FC853A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lang w:val="en-US"/>
              </w:rPr>
            </w:pPr>
            <w:r>
              <w:rPr>
                <w:rFonts w:hint="eastAsia" w:ascii="Times New Roman" w:hAnsi="宋体" w:eastAsia="微软雅黑" w:cs="宋体"/>
                <w:i w:val="0"/>
                <w:iCs w:val="0"/>
                <w:color w:val="000000"/>
                <w:kern w:val="0"/>
                <w:sz w:val="22"/>
                <w:szCs w:val="22"/>
                <w:highlight w:val="none"/>
                <w:u w:val="none"/>
                <w:lang w:val="en-US" w:eastAsia="zh-CN" w:bidi="ar"/>
              </w:rPr>
              <w:t>11.6</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AB4CE4">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Image enhancement technology employs a high-low frequency signal separation approach to independently enhance signals across each frequency band, achieving dynamic image enhancement and enabling imaging with minimal contrast agent usage.</w:t>
            </w:r>
          </w:p>
        </w:tc>
      </w:tr>
      <w:tr w14:paraId="6AFE4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1CCA5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lang w:val="en-US"/>
              </w:rPr>
            </w:pPr>
            <w:r>
              <w:rPr>
                <w:rFonts w:hint="eastAsia" w:ascii="Times New Roman" w:hAnsi="宋体" w:eastAsia="微软雅黑" w:cs="宋体"/>
                <w:i w:val="0"/>
                <w:iCs w:val="0"/>
                <w:color w:val="000000"/>
                <w:kern w:val="0"/>
                <w:sz w:val="22"/>
                <w:szCs w:val="22"/>
                <w:highlight w:val="none"/>
                <w:u w:val="none"/>
                <w:lang w:val="en-US" w:eastAsia="zh-CN" w:bidi="ar"/>
              </w:rPr>
              <w:t>11.7</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3B38B2">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 xml:space="preserve">Noise reduction techniques improve the image signal-to-noise ratio by applying temporal and spatial noise suppression, utilizing more images, and expanding the neighborhood range.          </w:t>
            </w:r>
          </w:p>
        </w:tc>
      </w:tr>
      <w:tr w14:paraId="406CB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0E97A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12</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CD0F0A2">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other</w:t>
            </w:r>
          </w:p>
        </w:tc>
      </w:tr>
      <w:tr w14:paraId="798FE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9C5E3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12.1</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3997CF5">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Equipped with a bedside motion control box, which includes frame motion control, bed motion control, restraint device control, and FOV adjustment.</w:t>
            </w:r>
          </w:p>
        </w:tc>
      </w:tr>
      <w:tr w14:paraId="6E12E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30F05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12.2</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95E3BD">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Equipped with a touch screen and featuring the following functions: Beam Lock, Motion Lock, Roadmap, Smart Reference, Save Perspective, Save Reference Image, Timer, Cancel Perspective Alert, Laser Light Switch, Tablet Detector Orientation Switch, Screen Layout Switch, Perspective Dosage Switch, Subtraction/Original Image Switch, and Image Playback Control.</w:t>
            </w:r>
          </w:p>
        </w:tc>
      </w:tr>
      <w:tr w14:paraId="04E2D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C23C5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12.3</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D0CBA1">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Includes a control box for playback in the control room</w:t>
            </w:r>
          </w:p>
        </w:tc>
      </w:tr>
      <w:tr w14:paraId="01F01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9F1D2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12.4</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C380B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Features include one-touch startup/forced shutdown, ray locking, motion locking, cancellation of透视 alarm, X-ray prompts, image playback control, saving perspective views, saving images, saving reference images, and customizing frequently used functions.</w:t>
            </w:r>
          </w:p>
        </w:tc>
      </w:tr>
      <w:tr w14:paraId="35395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8E99FE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12.5</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CAE1D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Equipped with a control room hand brake, featuring透视, exposure, and CBCT scanning functions.</w:t>
            </w:r>
          </w:p>
        </w:tc>
      </w:tr>
      <w:tr w14:paraId="6996C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E7561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12.6</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283037">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Bedside foot brake</w:t>
            </w:r>
          </w:p>
        </w:tc>
      </w:tr>
      <w:tr w14:paraId="6147D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66612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12.7</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9EBEA3">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Two-way walkie-talkie</w:t>
            </w:r>
          </w:p>
        </w:tc>
      </w:tr>
      <w:tr w14:paraId="6C773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EFC74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12.8</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D65F5BF">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Operation Room Reference Screen</w:t>
            </w:r>
          </w:p>
        </w:tc>
      </w:tr>
      <w:tr w14:paraId="31946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8968D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13</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51F9C6">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Cardiac Interventional Devices</w:t>
            </w:r>
          </w:p>
        </w:tc>
      </w:tr>
      <w:tr w14:paraId="4327D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4EEE9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13.1</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3A44816">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 marking and extraction of vascular contours</w:t>
            </w:r>
          </w:p>
        </w:tc>
      </w:tr>
      <w:tr w14:paraId="353DB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F5781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13.2</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E851C5">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Supports the calculation and display of stenosis-related parameters including vessel diameter, reference diameter, stenotic diameter, vessel length, stenosis length, and stenosis percentage, as well as editing of marking lines.</w:t>
            </w:r>
          </w:p>
        </w:tc>
      </w:tr>
      <w:tr w14:paraId="4CC91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FEC05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13.3</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CF1987">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 saving screenshots of narrow reports</w:t>
            </w:r>
          </w:p>
        </w:tc>
      </w:tr>
      <w:tr w14:paraId="32C3C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04B3C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13.4</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50862B">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 fine imaging of the scaffold</w:t>
            </w:r>
          </w:p>
        </w:tc>
      </w:tr>
      <w:tr w14:paraId="15183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32688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13.5</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EA0C2A">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With coronary enhancement capability</w:t>
            </w:r>
          </w:p>
        </w:tc>
      </w:tr>
      <w:tr w14:paraId="43712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073AC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13.6</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82116A">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Equipped with coronary quantitative analysis and left ventricular quantitative analysis capabilities</w:t>
            </w:r>
          </w:p>
        </w:tc>
      </w:tr>
      <w:tr w14:paraId="364A2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AD48A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14</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EE8667D">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Three-dimensional imaging functionality</w:t>
            </w:r>
          </w:p>
        </w:tc>
      </w:tr>
      <w:tr w14:paraId="10AC1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739432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14.1</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3F9A1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Supports three-dimensional imaging in any orientation, real-time digital display of frame position, and multi-planar reconstruction: available for observation in coronal, sagittal, and axial planes.</w:t>
            </w:r>
          </w:p>
        </w:tc>
      </w:tr>
      <w:tr w14:paraId="1EDCA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7B906B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14.2</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7B8E7F">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Supports length measurement, volume calculation, magnification reconstruction, and subtraction/non-subtraction reconstruction.</w:t>
            </w:r>
          </w:p>
        </w:tc>
      </w:tr>
      <w:tr w14:paraId="30359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4912E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15</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4E3B5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b/>
                <w:bCs/>
                <w:i w:val="0"/>
                <w:iCs w:val="0"/>
                <w:color w:val="000000"/>
                <w:sz w:val="22"/>
                <w:szCs w:val="22"/>
                <w:highlight w:val="none"/>
                <w:u w:val="none"/>
              </w:rPr>
            </w:pPr>
            <w:r>
              <w:rPr>
                <w:rFonts w:hint="eastAsia" w:ascii="Times New Roman" w:hAnsi="宋体" w:eastAsia="微软雅黑" w:cs="宋体"/>
                <w:b/>
                <w:bCs/>
                <w:i w:val="0"/>
                <w:iCs w:val="0"/>
                <w:color w:val="000000"/>
                <w:kern w:val="0"/>
                <w:sz w:val="22"/>
                <w:szCs w:val="22"/>
                <w:highlight w:val="none"/>
                <w:u w:val="none"/>
                <w:lang w:val="en-US" w:eastAsia="zh-CN" w:bidi="ar"/>
              </w:rPr>
              <w:t>Various CT imaging functions</w:t>
            </w:r>
          </w:p>
        </w:tc>
      </w:tr>
      <w:tr w14:paraId="60410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67"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B5D7B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15.1</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867A1D">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The vascular system can provide CT-like imaging to visualize bones and soft tissues. It offers multiple protocols for acquiring images ranging from neurological to abdominal regions with high resolution. The system supports rapid acquisition to ensure high-quality volumetric soft tissue imaging comparable to standard CT, and is equipped with specialized examination programs for different anatomical sites such as the nervous system and abdomen.</w:t>
            </w:r>
          </w:p>
        </w:tc>
      </w:tr>
      <w:tr w14:paraId="72D98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F7911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15.2</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E10C0F">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Three-dimensional images can be viewed from any angle.</w:t>
            </w:r>
          </w:p>
        </w:tc>
      </w:tr>
      <w:tr w14:paraId="7ABBB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D3784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15.3</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E26F01">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The cross-sectional image can be viewed from any angle, and the layer thickness of the section can be adjusted arbitrarily, with the thinnest layer being 1.0 mm.</w:t>
            </w:r>
          </w:p>
        </w:tc>
      </w:tr>
      <w:tr w14:paraId="5F203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7EF6A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15.4</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451651">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sz w:val="22"/>
                <w:szCs w:val="22"/>
                <w:highlight w:val="none"/>
                <w:u w:val="none"/>
              </w:rPr>
            </w:pPr>
            <w:r>
              <w:rPr>
                <w:rFonts w:hint="eastAsia" w:ascii="Times New Roman" w:hAnsi="宋体" w:eastAsia="微软雅黑" w:cs="宋体"/>
                <w:i w:val="0"/>
                <w:iCs w:val="0"/>
                <w:color w:val="000000"/>
                <w:kern w:val="0"/>
                <w:sz w:val="22"/>
                <w:szCs w:val="22"/>
                <w:highlight w:val="none"/>
                <w:u w:val="none"/>
                <w:lang w:val="en-US" w:eastAsia="zh-CN" w:bidi="ar"/>
              </w:rPr>
              <w:t>The same reconstructed image can undergo multiple length measurements, including rapid measurements.</w:t>
            </w:r>
          </w:p>
        </w:tc>
      </w:tr>
      <w:tr w14:paraId="322A5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DED9C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15.5</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0C3055">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color w:val="000000"/>
                <w:kern w:val="0"/>
                <w:sz w:val="22"/>
                <w:szCs w:val="22"/>
                <w:highlight w:val="none"/>
                <w:lang w:val="en-US" w:eastAsia="zh-CN" w:bidi="ar"/>
              </w:rPr>
              <w:t>CT images can be fused with three-dimensional vascular reconstruction images.</w:t>
            </w:r>
          </w:p>
        </w:tc>
      </w:tr>
      <w:tr w14:paraId="40C4D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7BBA97">
            <w:pPr>
              <w:keepNext w:val="0"/>
              <w:keepLines w:val="0"/>
              <w:pageBreakBefore w:val="0"/>
              <w:widowControl/>
              <w:suppressLineNumbers w:val="0"/>
              <w:kinsoku/>
              <w:wordWrap/>
              <w:overflowPunct/>
              <w:topLinePunct w:val="0"/>
              <w:autoSpaceDE/>
              <w:autoSpaceDN/>
              <w:bidi w:val="0"/>
              <w:adjustRightInd/>
              <w:snapToGrid/>
              <w:spacing w:line="400" w:lineRule="exact"/>
              <w:ind w:firstLine="440" w:firstLineChars="200"/>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15.6</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68836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All collection protocols can be controlled via the bedside LCD touchscreen.</w:t>
            </w:r>
          </w:p>
        </w:tc>
      </w:tr>
      <w:tr w14:paraId="4F368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6453BD">
            <w:pPr>
              <w:keepNext w:val="0"/>
              <w:keepLines w:val="0"/>
              <w:pageBreakBefore w:val="0"/>
              <w:widowControl/>
              <w:suppressLineNumbers w:val="0"/>
              <w:kinsoku/>
              <w:wordWrap/>
              <w:overflowPunct/>
              <w:topLinePunct w:val="0"/>
              <w:autoSpaceDE/>
              <w:autoSpaceDN/>
              <w:bidi w:val="0"/>
              <w:adjustRightInd/>
              <w:snapToGrid/>
              <w:spacing w:line="400" w:lineRule="exact"/>
              <w:ind w:firstLine="440" w:firstLineChars="200"/>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15.7</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2E9DEB">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Provide puncture guidance functionality.</w:t>
            </w:r>
          </w:p>
        </w:tc>
      </w:tr>
      <w:tr w14:paraId="180BC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641FB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kern w:val="2"/>
                <w:sz w:val="22"/>
                <w:szCs w:val="22"/>
                <w:highlight w:val="none"/>
                <w:u w:val="none"/>
                <w:lang w:val="en-US" w:eastAsia="zh-CN" w:bidi="ar-SA"/>
              </w:rPr>
            </w:pPr>
            <w:r>
              <w:rPr>
                <w:rFonts w:hint="eastAsia" w:ascii="Times New Roman" w:hAnsi="宋体" w:eastAsia="微软雅黑" w:cs="宋体"/>
                <w:b/>
                <w:bCs/>
                <w:i w:val="0"/>
                <w:iCs w:val="0"/>
                <w:color w:val="000000"/>
                <w:kern w:val="0"/>
                <w:sz w:val="22"/>
                <w:szCs w:val="22"/>
                <w:highlight w:val="none"/>
                <w:u w:val="none"/>
                <w:lang w:val="en-US" w:eastAsia="zh-CN" w:bidi="ar"/>
              </w:rPr>
              <w:t>16</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81DD42">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b/>
                <w:bCs/>
                <w:i w:val="0"/>
                <w:iCs w:val="0"/>
                <w:color w:val="000000"/>
                <w:kern w:val="2"/>
                <w:sz w:val="22"/>
                <w:szCs w:val="22"/>
                <w:highlight w:val="none"/>
                <w:u w:val="none"/>
                <w:lang w:val="en-US" w:eastAsia="zh-CN" w:bidi="ar-SA"/>
              </w:rPr>
            </w:pPr>
            <w:r>
              <w:rPr>
                <w:rFonts w:hint="eastAsia" w:ascii="Times New Roman" w:hAnsi="宋体" w:eastAsia="微软雅黑" w:cs="宋体"/>
                <w:b/>
                <w:bCs/>
                <w:color w:val="000000"/>
                <w:kern w:val="0"/>
                <w:sz w:val="22"/>
                <w:szCs w:val="22"/>
                <w:highlight w:val="none"/>
                <w:lang w:val="en-US" w:eastAsia="zh-CN" w:bidi="ar"/>
              </w:rPr>
              <w:t>appurtenance</w:t>
            </w:r>
          </w:p>
        </w:tc>
      </w:tr>
      <w:tr w14:paraId="526C2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B7FA6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i w:val="0"/>
                <w:iCs w:val="0"/>
                <w:color w:val="000000"/>
                <w:kern w:val="0"/>
                <w:sz w:val="22"/>
                <w:szCs w:val="22"/>
                <w:highlight w:val="none"/>
                <w:u w:val="none"/>
                <w:lang w:val="en-US" w:eastAsia="zh-CN" w:bidi="ar"/>
              </w:rPr>
            </w:pPr>
            <w:r>
              <w:rPr>
                <w:rFonts w:hint="eastAsia" w:ascii="Times New Roman" w:hAnsi="宋体" w:eastAsia="微软雅黑" w:cs="宋体"/>
                <w:b w:val="0"/>
                <w:bCs w:val="0"/>
                <w:i w:val="0"/>
                <w:iCs w:val="0"/>
                <w:color w:val="000000"/>
                <w:kern w:val="0"/>
                <w:sz w:val="22"/>
                <w:szCs w:val="22"/>
                <w:highlight w:val="none"/>
                <w:u w:val="none"/>
                <w:lang w:val="en-US" w:eastAsia="zh-CN" w:bidi="ar"/>
              </w:rPr>
              <w:t>16.1</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3AED605">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Crane tower, shadowless light, protective screen</w:t>
            </w:r>
          </w:p>
        </w:tc>
      </w:tr>
      <w:tr w14:paraId="0EA29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2AD3E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i w:val="0"/>
                <w:iCs w:val="0"/>
                <w:color w:val="000000"/>
                <w:kern w:val="0"/>
                <w:sz w:val="22"/>
                <w:szCs w:val="22"/>
                <w:highlight w:val="none"/>
                <w:u w:val="none"/>
                <w:lang w:val="en-US" w:eastAsia="zh-CN" w:bidi="ar"/>
              </w:rPr>
            </w:pPr>
            <w:r>
              <w:rPr>
                <w:rFonts w:hint="eastAsia" w:ascii="Times New Roman" w:hAnsi="宋体" w:eastAsia="微软雅黑" w:cs="宋体"/>
                <w:b w:val="0"/>
                <w:bCs w:val="0"/>
                <w:i w:val="0"/>
                <w:iCs w:val="0"/>
                <w:color w:val="000000"/>
                <w:kern w:val="0"/>
                <w:sz w:val="22"/>
                <w:szCs w:val="22"/>
                <w:highlight w:val="none"/>
                <w:u w:val="none"/>
                <w:lang w:val="en-US" w:eastAsia="zh-CN" w:bidi="ar"/>
              </w:rPr>
              <w:t>16.2</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4F26D3">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Workstation: Compatible with DSA, CT, and MR imaging systems, capable of meeting the requirements for CT 3D reconstruction; features a shared-screen interface in the consultation room (including display and stand); supports remote wireless operation or provides dedicated workstation options within the consultation space.</w:t>
            </w:r>
          </w:p>
        </w:tc>
      </w:tr>
      <w:tr w14:paraId="72D9A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8D88A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i w:val="0"/>
                <w:iCs w:val="0"/>
                <w:color w:val="000000"/>
                <w:kern w:val="0"/>
                <w:sz w:val="22"/>
                <w:szCs w:val="22"/>
                <w:highlight w:val="none"/>
                <w:u w:val="none"/>
                <w:lang w:val="en-US" w:eastAsia="zh-CN" w:bidi="ar"/>
              </w:rPr>
            </w:pPr>
            <w:r>
              <w:rPr>
                <w:rFonts w:hint="eastAsia" w:ascii="Times New Roman" w:hAnsi="宋体" w:eastAsia="微软雅黑" w:cs="宋体"/>
                <w:b w:val="0"/>
                <w:bCs w:val="0"/>
                <w:i w:val="0"/>
                <w:iCs w:val="0"/>
                <w:color w:val="000000"/>
                <w:kern w:val="0"/>
                <w:sz w:val="22"/>
                <w:szCs w:val="22"/>
                <w:highlight w:val="none"/>
                <w:u w:val="none"/>
                <w:lang w:val="en-US" w:eastAsia="zh-CN" w:bidi="ar"/>
              </w:rPr>
              <w:t>16.3</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A2B236">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Responsible for connecting to the hospital's centralized PACS system (with ≥3 ports).</w:t>
            </w:r>
          </w:p>
        </w:tc>
      </w:tr>
      <w:tr w14:paraId="74DE9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571B5D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i w:val="0"/>
                <w:iCs w:val="0"/>
                <w:color w:val="000000"/>
                <w:kern w:val="0"/>
                <w:sz w:val="22"/>
                <w:szCs w:val="22"/>
                <w:highlight w:val="none"/>
                <w:u w:val="none"/>
                <w:lang w:val="en-US" w:eastAsia="zh-CN" w:bidi="ar"/>
              </w:rPr>
            </w:pPr>
            <w:r>
              <w:rPr>
                <w:rFonts w:hint="eastAsia" w:ascii="Times New Roman" w:hAnsi="宋体" w:eastAsia="微软雅黑" w:cs="宋体"/>
                <w:b w:val="0"/>
                <w:bCs w:val="0"/>
                <w:i w:val="0"/>
                <w:iCs w:val="0"/>
                <w:color w:val="000000"/>
                <w:kern w:val="0"/>
                <w:sz w:val="22"/>
                <w:szCs w:val="22"/>
                <w:highlight w:val="none"/>
                <w:u w:val="none"/>
                <w:lang w:val="en-US" w:eastAsia="zh-CN" w:bidi="ar"/>
              </w:rPr>
              <w:t>16.4</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C2E6A9">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High-pressure syringe (with same-screen display, dual-screen operation, and bedside fixation device)</w:t>
            </w:r>
          </w:p>
        </w:tc>
      </w:tr>
      <w:tr w14:paraId="0BF4B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BCAEB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i w:val="0"/>
                <w:iCs w:val="0"/>
                <w:color w:val="000000"/>
                <w:kern w:val="0"/>
                <w:sz w:val="22"/>
                <w:szCs w:val="22"/>
                <w:highlight w:val="none"/>
                <w:u w:val="none"/>
                <w:lang w:val="en-US" w:eastAsia="zh-CN" w:bidi="ar"/>
              </w:rPr>
            </w:pPr>
            <w:r>
              <w:rPr>
                <w:rFonts w:hint="eastAsia" w:ascii="Times New Roman" w:hAnsi="宋体" w:eastAsia="微软雅黑" w:cs="宋体"/>
                <w:b w:val="0"/>
                <w:bCs w:val="0"/>
                <w:i w:val="0"/>
                <w:iCs w:val="0"/>
                <w:color w:val="000000"/>
                <w:kern w:val="0"/>
                <w:sz w:val="22"/>
                <w:szCs w:val="22"/>
                <w:highlight w:val="none"/>
                <w:u w:val="none"/>
                <w:lang w:val="en-US" w:eastAsia="zh-CN" w:bidi="ar"/>
              </w:rPr>
              <w:t>16.5</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B34079">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The portable ultrasound system (including abdominal and vascular probes) meets the requirements for interventional ultrasound-guided puncture.</w:t>
            </w:r>
          </w:p>
        </w:tc>
      </w:tr>
      <w:tr w14:paraId="270B8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0139A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i w:val="0"/>
                <w:iCs w:val="0"/>
                <w:color w:val="000000"/>
                <w:kern w:val="0"/>
                <w:sz w:val="22"/>
                <w:szCs w:val="22"/>
                <w:highlight w:val="none"/>
                <w:u w:val="none"/>
                <w:lang w:val="en-US" w:eastAsia="zh-CN" w:bidi="ar"/>
              </w:rPr>
            </w:pPr>
            <w:r>
              <w:rPr>
                <w:rFonts w:hint="eastAsia" w:ascii="Times New Roman" w:hAnsi="宋体" w:eastAsia="微软雅黑" w:cs="宋体"/>
                <w:b w:val="0"/>
                <w:bCs w:val="0"/>
                <w:i w:val="0"/>
                <w:iCs w:val="0"/>
                <w:color w:val="000000"/>
                <w:kern w:val="0"/>
                <w:sz w:val="22"/>
                <w:szCs w:val="22"/>
                <w:highlight w:val="none"/>
                <w:u w:val="none"/>
                <w:lang w:val="en-US" w:eastAsia="zh-CN" w:bidi="ar"/>
              </w:rPr>
              <w:t>16.6</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10A42E">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Responsible for dismantling the old Wандong DSA system and installing it at the designated location, as well as coordinating with the hospital regarding the relevant disposal procedures.</w:t>
            </w:r>
          </w:p>
        </w:tc>
      </w:tr>
      <w:tr w14:paraId="2275B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261284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i w:val="0"/>
                <w:iCs w:val="0"/>
                <w:color w:val="000000"/>
                <w:kern w:val="0"/>
                <w:sz w:val="22"/>
                <w:szCs w:val="22"/>
                <w:highlight w:val="none"/>
                <w:u w:val="none"/>
                <w:lang w:val="en-US" w:eastAsia="zh-CN" w:bidi="ar"/>
              </w:rPr>
            </w:pPr>
            <w:r>
              <w:rPr>
                <w:rFonts w:hint="eastAsia" w:ascii="Times New Roman" w:hAnsi="宋体" w:eastAsia="微软雅黑" w:cs="宋体"/>
                <w:b w:val="0"/>
                <w:bCs w:val="0"/>
                <w:i w:val="0"/>
                <w:iCs w:val="0"/>
                <w:color w:val="000000"/>
                <w:kern w:val="0"/>
                <w:sz w:val="22"/>
                <w:szCs w:val="22"/>
                <w:highlight w:val="none"/>
                <w:u w:val="none"/>
                <w:lang w:val="en-US" w:eastAsia="zh-CN" w:bidi="ar"/>
              </w:rPr>
              <w:t>16.7</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74B3862">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Demonstration function (operation screen, reference screen, and surgical procedures support remote live surgery broadcasting and remote surgical guidance).</w:t>
            </w:r>
          </w:p>
        </w:tc>
      </w:tr>
      <w:tr w14:paraId="03C47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33C21B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i w:val="0"/>
                <w:iCs w:val="0"/>
                <w:color w:val="000000"/>
                <w:kern w:val="0"/>
                <w:sz w:val="22"/>
                <w:szCs w:val="22"/>
                <w:highlight w:val="none"/>
                <w:u w:val="none"/>
                <w:lang w:val="en-US" w:eastAsia="zh-CN" w:bidi="ar"/>
              </w:rPr>
            </w:pPr>
            <w:r>
              <w:rPr>
                <w:rFonts w:hint="eastAsia" w:ascii="Times New Roman" w:hAnsi="宋体" w:eastAsia="微软雅黑" w:cs="宋体"/>
                <w:b w:val="0"/>
                <w:bCs w:val="0"/>
                <w:i w:val="0"/>
                <w:iCs w:val="0"/>
                <w:color w:val="000000"/>
                <w:kern w:val="0"/>
                <w:sz w:val="22"/>
                <w:szCs w:val="22"/>
                <w:highlight w:val="none"/>
                <w:u w:val="none"/>
                <w:lang w:val="en-US" w:eastAsia="zh-CN" w:bidi="ar"/>
              </w:rPr>
              <w:t>16.8</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33CDDD">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6 sets of lead-free protective equipment (glasses, hats, scarves; separate complete sets of lead suits and lead underwear), with the total weight per set ≤7 kg; 1 mobile lead screen; 2 lead blankets; 1 ozone-sterilized lead suit disinfection cabinet; 1 lead suit rack/saddle.</w:t>
            </w:r>
          </w:p>
        </w:tc>
      </w:tr>
      <w:tr w14:paraId="31C61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3A63D3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i w:val="0"/>
                <w:iCs w:val="0"/>
                <w:color w:val="000000"/>
                <w:kern w:val="0"/>
                <w:sz w:val="22"/>
                <w:szCs w:val="22"/>
                <w:highlight w:val="none"/>
                <w:u w:val="none"/>
                <w:lang w:val="en-US" w:eastAsia="zh-CN" w:bidi="ar"/>
              </w:rPr>
            </w:pPr>
            <w:r>
              <w:rPr>
                <w:rFonts w:hint="eastAsia" w:ascii="Times New Roman" w:hAnsi="宋体" w:eastAsia="微软雅黑" w:cs="宋体"/>
                <w:b w:val="0"/>
                <w:bCs w:val="0"/>
                <w:i w:val="0"/>
                <w:iCs w:val="0"/>
                <w:color w:val="000000"/>
                <w:kern w:val="0"/>
                <w:sz w:val="22"/>
                <w:szCs w:val="22"/>
                <w:highlight w:val="none"/>
                <w:u w:val="none"/>
                <w:lang w:val="en-US" w:eastAsia="zh-CN" w:bidi="ar"/>
              </w:rPr>
              <w:t>16.9</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548492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imes New Roman" w:hAnsi="宋体" w:eastAsia="微软雅黑" w:cs="宋体"/>
                <w:i w:val="0"/>
                <w:iCs w:val="0"/>
                <w:color w:val="000000"/>
                <w:kern w:val="0"/>
                <w:sz w:val="22"/>
                <w:szCs w:val="22"/>
                <w:highlight w:val="none"/>
                <w:u w:val="none"/>
                <w:lang w:val="en-US" w:eastAsia="zh-CN" w:bidi="ar"/>
              </w:rPr>
              <w:t>Data center renovation and modification: Replacement of lead-shielding doors in the control room and scanning room; gas separation installation; installation of ceiling-mounted air conditioners (for operating rooms) and vertical air conditioners (for equipment rooms); installation of ceiling disinfection lamps; provision of 2 clean screens; replacement of partial flexible membrane ceilings; installation of custom tables, chairs, and cabinets; addition of a monitoring system (including hard drives) in the scanning room; handling of all radiation protection and environmental impact assessment-related procedures for the hospital.</w:t>
            </w:r>
          </w:p>
        </w:tc>
      </w:tr>
      <w:tr w14:paraId="549F4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71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3F4DEE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Times New Roman" w:hAnsi="宋体" w:eastAsia="微软雅黑" w:cs="宋体"/>
                <w:b w:val="0"/>
                <w:bCs w:val="0"/>
                <w:i w:val="0"/>
                <w:iCs w:val="0"/>
                <w:color w:val="auto"/>
                <w:kern w:val="0"/>
                <w:sz w:val="22"/>
                <w:szCs w:val="22"/>
                <w:highlight w:val="none"/>
                <w:u w:val="none"/>
                <w:lang w:val="en-US" w:eastAsia="zh-CN" w:bidi="ar"/>
              </w:rPr>
              <w:t>16.10</w:t>
            </w:r>
          </w:p>
        </w:tc>
        <w:tc>
          <w:tcPr>
            <w:tcW w:w="721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B7DDBB">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Times New Roman" w:hAnsi="宋体" w:eastAsia="微软雅黑" w:cs="宋体"/>
                <w:kern w:val="0"/>
                <w:sz w:val="22"/>
                <w:szCs w:val="22"/>
                <w:highlight w:val="none"/>
                <w:lang w:val="en-US" w:eastAsia="zh-CN" w:bidi="ar"/>
              </w:rPr>
              <w:t>The integrated monitoring defibrillator includes invasive blood pressure monitoring and cardiac output (CO) measurement modules.</w:t>
            </w:r>
          </w:p>
        </w:tc>
      </w:tr>
    </w:tbl>
    <w:p w14:paraId="46A5C76E">
      <w:pP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br w:type="page"/>
      </w:r>
    </w:p>
    <w:p w14:paraId="6DD3CC36">
      <w:pPr>
        <w:keepNext/>
        <w:keepLines/>
        <w:numPr>
          <w:ilvl w:val="0"/>
          <w:numId w:val="7"/>
        </w:numPr>
        <w:tabs>
          <w:tab w:val="left" w:pos="2410"/>
          <w:tab w:val="center" w:pos="4212"/>
        </w:tabs>
        <w:spacing w:line="360" w:lineRule="auto"/>
        <w:ind w:left="0" w:leftChars="0" w:firstLine="0" w:firstLineChars="0"/>
        <w:jc w:val="center"/>
        <w:outlineLvl w:val="0"/>
        <w:rPr>
          <w:rFonts w:hint="eastAsia" w:ascii="宋体" w:hAnsi="宋体" w:cs="宋体"/>
          <w:b/>
          <w:bCs/>
          <w:sz w:val="36"/>
          <w:szCs w:val="36"/>
          <w:highlight w:val="none"/>
        </w:rPr>
      </w:pPr>
      <w:bookmarkStart w:id="248" w:name="_Toc522"/>
      <w:r>
        <w:rPr>
          <w:rFonts w:hint="eastAsia" w:ascii="Times New Roman" w:hAnsi="宋体" w:eastAsia="微软雅黑" w:cs="宋体"/>
          <w:b/>
          <w:bCs/>
          <w:kern w:val="2"/>
          <w:sz w:val="36"/>
          <w:szCs w:val="36"/>
          <w:highlight w:val="none"/>
          <w:lang w:val="en-US" w:eastAsia="zh-CN" w:bidi="ar-SA"/>
        </w:rPr>
        <w:t>terms of the contract</w:t>
      </w:r>
      <w:bookmarkEnd w:id="248"/>
    </w:p>
    <w:p w14:paraId="2CA754BC">
      <w:pPr>
        <w:widowControl w:val="0"/>
        <w:wordWrap w:val="0"/>
        <w:adjustRightInd w:val="0"/>
        <w:snapToGrid w:val="0"/>
        <w:spacing w:line="360" w:lineRule="auto"/>
        <w:jc w:val="right"/>
        <w:rPr>
          <w:rFonts w:ascii="宋体" w:hAnsi="宋体" w:eastAsia="宋体" w:cs="Courier New"/>
          <w:color w:val="000000"/>
          <w:sz w:val="20"/>
          <w:szCs w:val="20"/>
          <w:highlight w:val="none"/>
          <w:lang w:val="zh-CN" w:eastAsia="zh-CN" w:bidi="ar-SA"/>
        </w:rPr>
      </w:pPr>
      <w:r>
        <w:rPr>
          <w:rFonts w:hint="eastAsia" w:ascii="Times New Roman" w:hAnsi="宋体" w:eastAsia="微软雅黑" w:cs="Courier New"/>
          <w:color w:val="000000"/>
          <w:kern w:val="2"/>
          <w:sz w:val="20"/>
          <w:szCs w:val="20"/>
          <w:highlight w:val="none"/>
          <w:lang w:val="zh-CN" w:eastAsia="zh-CN" w:bidi="ar-SA"/>
        </w:rPr>
        <w:t xml:space="preserve">   </w:t>
      </w:r>
    </w:p>
    <w:p w14:paraId="4E1E937B">
      <w:pPr>
        <w:keepNext w:val="0"/>
        <w:keepLines w:val="0"/>
        <w:pageBreakBefore w:val="0"/>
        <w:widowControl w:val="0"/>
        <w:kinsoku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Times New Roman" w:hAnsi="宋体" w:eastAsia="微软雅黑" w:cs="宋体"/>
          <w:color w:val="auto"/>
          <w:kern w:val="2"/>
          <w:sz w:val="24"/>
          <w:szCs w:val="24"/>
          <w:highlight w:val="none"/>
          <w:lang w:val="en-US" w:eastAsia="zh-CN" w:bidi="ar-SA"/>
        </w:rPr>
        <w:t>Party A:</w:t>
      </w:r>
    </w:p>
    <w:p w14:paraId="33080B7B">
      <w:pPr>
        <w:keepNext w:val="0"/>
        <w:keepLines w:val="0"/>
        <w:pageBreakBefore w:val="0"/>
        <w:widowControl w:val="0"/>
        <w:kinsoku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Times New Roman" w:hAnsi="宋体" w:eastAsia="微软雅黑" w:cs="宋体"/>
          <w:color w:val="auto"/>
          <w:kern w:val="2"/>
          <w:sz w:val="24"/>
          <w:szCs w:val="24"/>
          <w:highlight w:val="none"/>
          <w:lang w:val="en-US" w:eastAsia="zh-CN" w:bidi="ar-SA"/>
        </w:rPr>
        <w:t>second party ：</w:t>
      </w:r>
      <w:r>
        <w:rPr>
          <w:rFonts w:hint="eastAsia" w:ascii="Times New Roman" w:hAnsi="宋体" w:eastAsia="微软雅黑" w:cs="宋体"/>
          <w:color w:val="auto"/>
          <w:kern w:val="2"/>
          <w:sz w:val="24"/>
          <w:szCs w:val="24"/>
          <w:highlight w:val="none"/>
          <w:u w:val="single"/>
          <w:lang w:val="en-US" w:eastAsia="zh-CN" w:bidi="ar-SA"/>
        </w:rPr>
        <w:t xml:space="preserve">          </w:t>
      </w:r>
    </w:p>
    <w:p w14:paraId="03B4D4E3">
      <w:pPr>
        <w:keepNext w:val="0"/>
        <w:keepLines w:val="0"/>
        <w:pageBreakBefore w:val="0"/>
        <w:widowControl w:val="0"/>
        <w:kinsoku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Times New Roman" w:hAnsi="宋体" w:eastAsia="微软雅黑" w:cs="宋体"/>
          <w:color w:val="auto"/>
          <w:kern w:val="2"/>
          <w:sz w:val="24"/>
          <w:szCs w:val="24"/>
          <w:highlight w:val="none"/>
          <w:lang w:val="en-US" w:eastAsia="zh-CN" w:bidi="ar-SA"/>
        </w:rPr>
        <w:t>In accordance with the Civil Code of the People's Republic of China and other relevant laws and regulations, Party A has selected Party B as the winning bidder through a public tender. Both parties have reached the following contractual terms through mutual consultation on an equal basis:</w:t>
      </w:r>
    </w:p>
    <w:p w14:paraId="49602F97">
      <w:pPr>
        <w:keepNext w:val="0"/>
        <w:keepLines w:val="0"/>
        <w:pageBreakBefore w:val="0"/>
        <w:widowControl w:val="0"/>
        <w:kinsoku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Times New Roman" w:hAnsi="宋体" w:eastAsia="微软雅黑" w:cs="宋体"/>
          <w:b/>
          <w:bCs/>
          <w:color w:val="auto"/>
          <w:kern w:val="2"/>
          <w:sz w:val="24"/>
          <w:szCs w:val="24"/>
          <w:highlight w:val="none"/>
          <w:lang w:val="en-US" w:eastAsia="zh-CN" w:bidi="ar-SA"/>
        </w:rPr>
        <w:t>I. Contract Content</w:t>
      </w:r>
    </w:p>
    <w:tbl>
      <w:tblPr>
        <w:tblStyle w:val="30"/>
        <w:tblW w:w="8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1736"/>
        <w:gridCol w:w="1008"/>
        <w:gridCol w:w="1306"/>
        <w:gridCol w:w="964"/>
        <w:gridCol w:w="1922"/>
        <w:gridCol w:w="899"/>
      </w:tblGrid>
      <w:tr w14:paraId="0FB6A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35DCCE6E">
            <w:pPr>
              <w:keepNext w:val="0"/>
              <w:keepLines w:val="0"/>
              <w:pageBreakBefore w:val="0"/>
              <w:widowControl w:val="0"/>
              <w:overflowPunct/>
              <w:topLinePunct w:val="0"/>
              <w:autoSpaceDE/>
              <w:autoSpaceDN/>
              <w:bidi w:val="0"/>
              <w:adjustRightInd w:val="0"/>
              <w:snapToGrid w:val="0"/>
              <w:spacing w:line="360" w:lineRule="auto"/>
              <w:jc w:val="both"/>
              <w:rPr>
                <w:rFonts w:hint="eastAsia" w:ascii="宋体" w:hAnsi="宋体" w:eastAsia="宋体" w:cs="宋体"/>
                <w:b/>
                <w:color w:val="auto"/>
                <w:sz w:val="24"/>
                <w:highlight w:val="none"/>
                <w:lang w:eastAsia="zh-CN"/>
              </w:rPr>
            </w:pPr>
            <w:r>
              <w:rPr>
                <w:rFonts w:hint="eastAsia" w:ascii="Times New Roman" w:hAnsi="宋体" w:eastAsia="微软雅黑" w:cs="宋体"/>
                <w:b/>
                <w:color w:val="auto"/>
                <w:kern w:val="2"/>
                <w:sz w:val="24"/>
                <w:szCs w:val="22"/>
                <w:highlight w:val="none"/>
                <w:lang w:val="en-US" w:eastAsia="zh-CN" w:bidi="ar-SA"/>
              </w:rPr>
              <w:t>order number</w:t>
            </w:r>
          </w:p>
        </w:tc>
        <w:tc>
          <w:tcPr>
            <w:tcW w:w="1736" w:type="dxa"/>
            <w:tcBorders>
              <w:top w:val="single" w:color="auto" w:sz="4" w:space="0"/>
              <w:left w:val="single" w:color="auto" w:sz="4" w:space="0"/>
              <w:bottom w:val="single" w:color="auto" w:sz="4" w:space="0"/>
              <w:right w:val="single" w:color="auto" w:sz="4" w:space="0"/>
            </w:tcBorders>
            <w:noWrap w:val="0"/>
            <w:vAlign w:val="center"/>
          </w:tcPr>
          <w:p w14:paraId="63E7DB0F">
            <w:pPr>
              <w:keepNext w:val="0"/>
              <w:keepLines w:val="0"/>
              <w:pageBreakBefore w:val="0"/>
              <w:widowControl w:val="0"/>
              <w:overflowPunct/>
              <w:topLinePunct w:val="0"/>
              <w:autoSpaceDE/>
              <w:autoSpaceDN/>
              <w:bidi w:val="0"/>
              <w:adjustRightInd w:val="0"/>
              <w:snapToGrid w:val="0"/>
              <w:spacing w:line="360" w:lineRule="auto"/>
              <w:jc w:val="center"/>
              <w:rPr>
                <w:rFonts w:hint="eastAsia" w:ascii="宋体" w:hAnsi="宋体" w:eastAsia="宋体" w:cs="宋体"/>
                <w:b/>
                <w:color w:val="auto"/>
                <w:sz w:val="24"/>
                <w:highlight w:val="none"/>
                <w:lang w:eastAsia="zh-CN"/>
              </w:rPr>
            </w:pPr>
            <w:r>
              <w:rPr>
                <w:rFonts w:hint="eastAsia" w:ascii="Times New Roman" w:hAnsi="宋体" w:eastAsia="微软雅黑" w:cs="宋体"/>
                <w:b/>
                <w:color w:val="auto"/>
                <w:kern w:val="2"/>
                <w:sz w:val="24"/>
                <w:szCs w:val="22"/>
                <w:highlight w:val="none"/>
                <w:lang w:val="en-US" w:eastAsia="zh-CN" w:bidi="ar-SA"/>
              </w:rPr>
              <w:t>product name</w:t>
            </w:r>
          </w:p>
        </w:tc>
        <w:tc>
          <w:tcPr>
            <w:tcW w:w="1008" w:type="dxa"/>
            <w:tcBorders>
              <w:top w:val="single" w:color="auto" w:sz="4" w:space="0"/>
              <w:left w:val="single" w:color="auto" w:sz="4" w:space="0"/>
              <w:bottom w:val="single" w:color="auto" w:sz="4" w:space="0"/>
              <w:right w:val="single" w:color="auto" w:sz="4" w:space="0"/>
            </w:tcBorders>
            <w:noWrap w:val="0"/>
            <w:vAlign w:val="center"/>
          </w:tcPr>
          <w:p w14:paraId="6CCE10CC">
            <w:pPr>
              <w:keepNext w:val="0"/>
              <w:keepLines w:val="0"/>
              <w:pageBreakBefore w:val="0"/>
              <w:widowControl w:val="0"/>
              <w:overflowPunct/>
              <w:topLinePunct w:val="0"/>
              <w:autoSpaceDE/>
              <w:autoSpaceDN/>
              <w:bidi w:val="0"/>
              <w:adjustRightInd w:val="0"/>
              <w:snapToGrid w:val="0"/>
              <w:spacing w:line="360" w:lineRule="auto"/>
              <w:jc w:val="center"/>
              <w:rPr>
                <w:rFonts w:hint="eastAsia" w:ascii="宋体" w:hAnsi="宋体" w:eastAsia="宋体" w:cs="宋体"/>
                <w:b/>
                <w:color w:val="auto"/>
                <w:sz w:val="24"/>
                <w:highlight w:val="none"/>
                <w:lang w:eastAsia="zh-CN"/>
              </w:rPr>
            </w:pPr>
            <w:r>
              <w:rPr>
                <w:rFonts w:hint="eastAsia" w:ascii="Times New Roman" w:hAnsi="宋体" w:eastAsia="微软雅黑" w:cs="宋体"/>
                <w:b/>
                <w:color w:val="auto"/>
                <w:kern w:val="2"/>
                <w:sz w:val="24"/>
                <w:szCs w:val="22"/>
                <w:highlight w:val="none"/>
                <w:lang w:val="en-US" w:eastAsia="zh-CN" w:bidi="ar-SA"/>
              </w:rPr>
              <w:t>model</w:t>
            </w:r>
          </w:p>
        </w:tc>
        <w:tc>
          <w:tcPr>
            <w:tcW w:w="1306" w:type="dxa"/>
            <w:tcBorders>
              <w:top w:val="single" w:color="auto" w:sz="4" w:space="0"/>
              <w:left w:val="single" w:color="auto" w:sz="4" w:space="0"/>
              <w:bottom w:val="single" w:color="auto" w:sz="4" w:space="0"/>
              <w:right w:val="single" w:color="auto" w:sz="4" w:space="0"/>
            </w:tcBorders>
            <w:noWrap w:val="0"/>
            <w:vAlign w:val="center"/>
          </w:tcPr>
          <w:p w14:paraId="15CE792B">
            <w:pPr>
              <w:keepNext w:val="0"/>
              <w:keepLines w:val="0"/>
              <w:pageBreakBefore w:val="0"/>
              <w:widowControl w:val="0"/>
              <w:overflowPunct/>
              <w:topLinePunct w:val="0"/>
              <w:autoSpaceDE/>
              <w:autoSpaceDN/>
              <w:bidi w:val="0"/>
              <w:adjustRightInd w:val="0"/>
              <w:snapToGrid w:val="0"/>
              <w:spacing w:line="360" w:lineRule="auto"/>
              <w:jc w:val="both"/>
              <w:rPr>
                <w:rFonts w:hint="eastAsia" w:ascii="宋体" w:hAnsi="宋体" w:eastAsia="宋体" w:cs="宋体"/>
                <w:b/>
                <w:color w:val="auto"/>
                <w:sz w:val="24"/>
                <w:highlight w:val="none"/>
                <w:lang w:eastAsia="zh-CN"/>
              </w:rPr>
            </w:pPr>
            <w:r>
              <w:rPr>
                <w:rFonts w:hint="eastAsia" w:ascii="Times New Roman" w:hAnsi="宋体" w:eastAsia="微软雅黑" w:cs="宋体"/>
                <w:b/>
                <w:color w:val="auto"/>
                <w:kern w:val="2"/>
                <w:sz w:val="24"/>
                <w:szCs w:val="22"/>
                <w:highlight w:val="none"/>
                <w:lang w:val="en-US" w:eastAsia="zh-CN" w:bidi="ar-SA"/>
              </w:rPr>
              <w:t>manufacturer</w:t>
            </w:r>
          </w:p>
        </w:tc>
        <w:tc>
          <w:tcPr>
            <w:tcW w:w="964" w:type="dxa"/>
            <w:tcBorders>
              <w:top w:val="single" w:color="auto" w:sz="4" w:space="0"/>
              <w:left w:val="single" w:color="auto" w:sz="4" w:space="0"/>
              <w:bottom w:val="single" w:color="auto" w:sz="4" w:space="0"/>
              <w:right w:val="single" w:color="auto" w:sz="4" w:space="0"/>
            </w:tcBorders>
            <w:noWrap w:val="0"/>
            <w:vAlign w:val="center"/>
          </w:tcPr>
          <w:p w14:paraId="7B0C05A8">
            <w:pPr>
              <w:keepNext w:val="0"/>
              <w:keepLines w:val="0"/>
              <w:pageBreakBefore w:val="0"/>
              <w:widowControl w:val="0"/>
              <w:overflowPunct/>
              <w:topLinePunct w:val="0"/>
              <w:autoSpaceDE/>
              <w:autoSpaceDN/>
              <w:bidi w:val="0"/>
              <w:adjustRightInd w:val="0"/>
              <w:snapToGrid w:val="0"/>
              <w:spacing w:line="360" w:lineRule="auto"/>
              <w:jc w:val="center"/>
              <w:rPr>
                <w:rFonts w:hint="eastAsia" w:ascii="宋体" w:hAnsi="宋体" w:eastAsia="宋体" w:cs="宋体"/>
                <w:b/>
                <w:color w:val="auto"/>
                <w:sz w:val="24"/>
                <w:highlight w:val="none"/>
                <w:lang w:eastAsia="zh-CN"/>
              </w:rPr>
            </w:pPr>
            <w:r>
              <w:rPr>
                <w:rFonts w:hint="eastAsia" w:ascii="Times New Roman" w:hAnsi="宋体" w:eastAsia="微软雅黑" w:cs="宋体"/>
                <w:b/>
                <w:color w:val="auto"/>
                <w:kern w:val="2"/>
                <w:sz w:val="24"/>
                <w:szCs w:val="22"/>
                <w:highlight w:val="none"/>
                <w:lang w:val="en-US" w:eastAsia="zh-CN" w:bidi="ar-SA"/>
              </w:rPr>
              <w:t>quantity</w:t>
            </w:r>
          </w:p>
        </w:tc>
        <w:tc>
          <w:tcPr>
            <w:tcW w:w="1922" w:type="dxa"/>
            <w:tcBorders>
              <w:top w:val="single" w:color="auto" w:sz="4" w:space="0"/>
              <w:left w:val="single" w:color="auto" w:sz="4" w:space="0"/>
              <w:bottom w:val="single" w:color="auto" w:sz="4" w:space="0"/>
              <w:right w:val="single" w:color="auto" w:sz="4" w:space="0"/>
            </w:tcBorders>
            <w:noWrap w:val="0"/>
            <w:vAlign w:val="center"/>
          </w:tcPr>
          <w:p w14:paraId="371BE7A5">
            <w:pPr>
              <w:keepNext w:val="0"/>
              <w:keepLines w:val="0"/>
              <w:pageBreakBefore w:val="0"/>
              <w:widowControl w:val="0"/>
              <w:overflowPunct/>
              <w:topLinePunct w:val="0"/>
              <w:autoSpaceDE/>
              <w:autoSpaceDN/>
              <w:bidi w:val="0"/>
              <w:adjustRightInd w:val="0"/>
              <w:snapToGrid w:val="0"/>
              <w:spacing w:line="360" w:lineRule="auto"/>
              <w:ind w:firstLine="480" w:firstLineChars="200"/>
              <w:jc w:val="both"/>
              <w:rPr>
                <w:rFonts w:hint="eastAsia" w:ascii="宋体" w:hAnsi="宋体" w:eastAsia="宋体" w:cs="宋体"/>
                <w:b/>
                <w:color w:val="auto"/>
                <w:sz w:val="24"/>
                <w:highlight w:val="none"/>
                <w:lang w:eastAsia="zh-CN"/>
              </w:rPr>
            </w:pPr>
            <w:r>
              <w:rPr>
                <w:rFonts w:hint="eastAsia" w:ascii="Times New Roman" w:hAnsi="宋体" w:eastAsia="微软雅黑" w:cs="宋体"/>
                <w:b/>
                <w:color w:val="auto"/>
                <w:kern w:val="2"/>
                <w:sz w:val="24"/>
                <w:szCs w:val="22"/>
                <w:highlight w:val="none"/>
                <w:lang w:val="en-US" w:eastAsia="zh-CN" w:bidi="ar-SA"/>
              </w:rPr>
              <w:t>unit-price</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7172A401">
            <w:pPr>
              <w:keepNext w:val="0"/>
              <w:keepLines w:val="0"/>
              <w:pageBreakBefore w:val="0"/>
              <w:widowControl w:val="0"/>
              <w:overflowPunct/>
              <w:topLinePunct w:val="0"/>
              <w:autoSpaceDE/>
              <w:autoSpaceDN/>
              <w:bidi w:val="0"/>
              <w:adjustRightInd w:val="0"/>
              <w:snapToGrid w:val="0"/>
              <w:spacing w:line="360" w:lineRule="auto"/>
              <w:jc w:val="center"/>
              <w:rPr>
                <w:rFonts w:hint="eastAsia" w:ascii="宋体" w:hAnsi="宋体" w:eastAsia="宋体" w:cs="宋体"/>
                <w:b/>
                <w:color w:val="auto"/>
                <w:sz w:val="24"/>
                <w:highlight w:val="none"/>
                <w:lang w:eastAsia="zh-CN"/>
              </w:rPr>
            </w:pPr>
            <w:r>
              <w:rPr>
                <w:rFonts w:hint="eastAsia" w:ascii="Times New Roman" w:hAnsi="宋体" w:eastAsia="微软雅黑" w:cs="宋体"/>
                <w:b/>
                <w:color w:val="auto"/>
                <w:kern w:val="2"/>
                <w:sz w:val="24"/>
                <w:szCs w:val="22"/>
                <w:highlight w:val="none"/>
                <w:lang w:val="en-US" w:eastAsia="zh-CN" w:bidi="ar-SA"/>
              </w:rPr>
              <w:t>remarks</w:t>
            </w:r>
          </w:p>
        </w:tc>
      </w:tr>
      <w:tr w14:paraId="2A152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386F25C9">
            <w:pPr>
              <w:keepNext w:val="0"/>
              <w:keepLines w:val="0"/>
              <w:pageBreakBefore w:val="0"/>
              <w:widowControl w:val="0"/>
              <w:overflowPunct/>
              <w:topLinePunct w:val="0"/>
              <w:autoSpaceDE/>
              <w:autoSpaceDN/>
              <w:bidi w:val="0"/>
              <w:adjustRightInd w:val="0"/>
              <w:snapToGrid w:val="0"/>
              <w:spacing w:line="360" w:lineRule="auto"/>
              <w:jc w:val="center"/>
              <w:rPr>
                <w:rFonts w:hint="eastAsia" w:ascii="宋体" w:hAnsi="宋体" w:eastAsia="宋体" w:cs="宋体"/>
                <w:color w:val="auto"/>
                <w:sz w:val="24"/>
                <w:highlight w:val="none"/>
                <w:lang w:eastAsia="zh-CN"/>
              </w:rPr>
            </w:pPr>
            <w:r>
              <w:rPr>
                <w:rFonts w:hint="eastAsia" w:ascii="Times New Roman" w:hAnsi="宋体" w:eastAsia="微软雅黑" w:cs="宋体"/>
                <w:color w:val="auto"/>
                <w:kern w:val="2"/>
                <w:sz w:val="24"/>
                <w:szCs w:val="22"/>
                <w:highlight w:val="none"/>
                <w:lang w:val="en-US" w:eastAsia="zh-CN" w:bidi="ar-SA"/>
              </w:rPr>
              <w:t>1</w:t>
            </w:r>
          </w:p>
        </w:tc>
        <w:tc>
          <w:tcPr>
            <w:tcW w:w="1736" w:type="dxa"/>
            <w:tcBorders>
              <w:top w:val="single" w:color="auto" w:sz="4" w:space="0"/>
              <w:left w:val="single" w:color="auto" w:sz="4" w:space="0"/>
              <w:bottom w:val="single" w:color="auto" w:sz="4" w:space="0"/>
              <w:right w:val="single" w:color="auto" w:sz="4" w:space="0"/>
            </w:tcBorders>
            <w:noWrap w:val="0"/>
            <w:vAlign w:val="center"/>
          </w:tcPr>
          <w:p w14:paraId="0A7E32CE">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1008" w:type="dxa"/>
            <w:tcBorders>
              <w:top w:val="single" w:color="auto" w:sz="4" w:space="0"/>
              <w:left w:val="single" w:color="auto" w:sz="4" w:space="0"/>
              <w:bottom w:val="single" w:color="auto" w:sz="4" w:space="0"/>
              <w:right w:val="single" w:color="auto" w:sz="4" w:space="0"/>
            </w:tcBorders>
            <w:noWrap w:val="0"/>
            <w:vAlign w:val="center"/>
          </w:tcPr>
          <w:p w14:paraId="2CCD0810">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13BB92DF">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964" w:type="dxa"/>
            <w:tcBorders>
              <w:top w:val="single" w:color="auto" w:sz="4" w:space="0"/>
              <w:left w:val="single" w:color="auto" w:sz="4" w:space="0"/>
              <w:bottom w:val="single" w:color="auto" w:sz="4" w:space="0"/>
              <w:right w:val="single" w:color="auto" w:sz="4" w:space="0"/>
            </w:tcBorders>
            <w:noWrap w:val="0"/>
            <w:vAlign w:val="center"/>
          </w:tcPr>
          <w:p w14:paraId="4FB0B11E">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1922" w:type="dxa"/>
            <w:tcBorders>
              <w:top w:val="single" w:color="auto" w:sz="4" w:space="0"/>
              <w:left w:val="single" w:color="auto" w:sz="4" w:space="0"/>
              <w:bottom w:val="single" w:color="auto" w:sz="4" w:space="0"/>
              <w:right w:val="single" w:color="auto" w:sz="4" w:space="0"/>
            </w:tcBorders>
            <w:noWrap w:val="0"/>
            <w:vAlign w:val="center"/>
          </w:tcPr>
          <w:p w14:paraId="39A9ECAA">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textAlignment w:val="center"/>
              <w:rPr>
                <w:rFonts w:hint="eastAsia" w:ascii="宋体" w:hAnsi="宋体" w:cs="宋体"/>
                <w:color w:val="auto"/>
                <w:sz w:val="24"/>
                <w:highlight w:val="none"/>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1BBDB4E1">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textAlignment w:val="center"/>
              <w:rPr>
                <w:rFonts w:hint="eastAsia" w:ascii="宋体" w:hAnsi="宋体" w:cs="宋体"/>
                <w:color w:val="auto"/>
                <w:sz w:val="24"/>
                <w:highlight w:val="none"/>
              </w:rPr>
            </w:pPr>
          </w:p>
        </w:tc>
      </w:tr>
      <w:tr w14:paraId="4C623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0E3158FD">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1736" w:type="dxa"/>
            <w:tcBorders>
              <w:top w:val="single" w:color="auto" w:sz="4" w:space="0"/>
              <w:left w:val="single" w:color="auto" w:sz="4" w:space="0"/>
              <w:bottom w:val="single" w:color="auto" w:sz="4" w:space="0"/>
              <w:right w:val="single" w:color="auto" w:sz="4" w:space="0"/>
            </w:tcBorders>
            <w:noWrap w:val="0"/>
            <w:vAlign w:val="center"/>
          </w:tcPr>
          <w:p w14:paraId="0DB21D11">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1008" w:type="dxa"/>
            <w:tcBorders>
              <w:top w:val="single" w:color="auto" w:sz="4" w:space="0"/>
              <w:left w:val="single" w:color="auto" w:sz="4" w:space="0"/>
              <w:bottom w:val="single" w:color="auto" w:sz="4" w:space="0"/>
              <w:right w:val="single" w:color="auto" w:sz="4" w:space="0"/>
            </w:tcBorders>
            <w:noWrap w:val="0"/>
            <w:vAlign w:val="center"/>
          </w:tcPr>
          <w:p w14:paraId="48B1C024">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1A313680">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964" w:type="dxa"/>
            <w:tcBorders>
              <w:top w:val="single" w:color="auto" w:sz="4" w:space="0"/>
              <w:left w:val="single" w:color="auto" w:sz="4" w:space="0"/>
              <w:bottom w:val="single" w:color="auto" w:sz="4" w:space="0"/>
              <w:right w:val="single" w:color="auto" w:sz="4" w:space="0"/>
            </w:tcBorders>
            <w:noWrap w:val="0"/>
            <w:vAlign w:val="center"/>
          </w:tcPr>
          <w:p w14:paraId="3AC907C7">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1922" w:type="dxa"/>
            <w:tcBorders>
              <w:top w:val="single" w:color="auto" w:sz="4" w:space="0"/>
              <w:left w:val="single" w:color="auto" w:sz="4" w:space="0"/>
              <w:bottom w:val="single" w:color="auto" w:sz="4" w:space="0"/>
              <w:right w:val="single" w:color="auto" w:sz="4" w:space="0"/>
            </w:tcBorders>
            <w:noWrap w:val="0"/>
            <w:vAlign w:val="center"/>
          </w:tcPr>
          <w:p w14:paraId="1D5A397E">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textAlignment w:val="center"/>
              <w:rPr>
                <w:rFonts w:hint="eastAsia" w:ascii="宋体" w:hAnsi="宋体" w:cs="宋体"/>
                <w:color w:val="auto"/>
                <w:sz w:val="24"/>
                <w:highlight w:val="none"/>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61DBA66D">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textAlignment w:val="center"/>
              <w:rPr>
                <w:rFonts w:hint="eastAsia" w:ascii="宋体" w:hAnsi="宋体" w:cs="宋体"/>
                <w:color w:val="auto"/>
                <w:sz w:val="24"/>
                <w:highlight w:val="none"/>
              </w:rPr>
            </w:pPr>
          </w:p>
        </w:tc>
      </w:tr>
      <w:tr w14:paraId="74B7D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0EE667F6">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1736" w:type="dxa"/>
            <w:tcBorders>
              <w:top w:val="single" w:color="auto" w:sz="4" w:space="0"/>
              <w:left w:val="single" w:color="auto" w:sz="4" w:space="0"/>
              <w:bottom w:val="single" w:color="auto" w:sz="4" w:space="0"/>
              <w:right w:val="single" w:color="auto" w:sz="4" w:space="0"/>
            </w:tcBorders>
            <w:noWrap w:val="0"/>
            <w:vAlign w:val="center"/>
          </w:tcPr>
          <w:p w14:paraId="22F7F487">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1008" w:type="dxa"/>
            <w:tcBorders>
              <w:top w:val="single" w:color="auto" w:sz="4" w:space="0"/>
              <w:left w:val="single" w:color="auto" w:sz="4" w:space="0"/>
              <w:bottom w:val="single" w:color="auto" w:sz="4" w:space="0"/>
              <w:right w:val="single" w:color="auto" w:sz="4" w:space="0"/>
            </w:tcBorders>
            <w:noWrap w:val="0"/>
            <w:vAlign w:val="center"/>
          </w:tcPr>
          <w:p w14:paraId="14867F16">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522185FF">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964" w:type="dxa"/>
            <w:tcBorders>
              <w:top w:val="single" w:color="auto" w:sz="4" w:space="0"/>
              <w:left w:val="single" w:color="auto" w:sz="4" w:space="0"/>
              <w:bottom w:val="single" w:color="auto" w:sz="4" w:space="0"/>
              <w:right w:val="single" w:color="auto" w:sz="4" w:space="0"/>
            </w:tcBorders>
            <w:noWrap w:val="0"/>
            <w:vAlign w:val="center"/>
          </w:tcPr>
          <w:p w14:paraId="758D0328">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1922" w:type="dxa"/>
            <w:tcBorders>
              <w:top w:val="single" w:color="auto" w:sz="4" w:space="0"/>
              <w:left w:val="single" w:color="auto" w:sz="4" w:space="0"/>
              <w:bottom w:val="single" w:color="auto" w:sz="4" w:space="0"/>
              <w:right w:val="single" w:color="auto" w:sz="4" w:space="0"/>
            </w:tcBorders>
            <w:noWrap w:val="0"/>
            <w:vAlign w:val="center"/>
          </w:tcPr>
          <w:p w14:paraId="2EF3E632">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textAlignment w:val="center"/>
              <w:rPr>
                <w:rFonts w:hint="eastAsia" w:ascii="宋体" w:hAnsi="宋体" w:cs="宋体"/>
                <w:color w:val="auto"/>
                <w:sz w:val="24"/>
                <w:highlight w:val="none"/>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12FF9A58">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textAlignment w:val="center"/>
              <w:rPr>
                <w:rFonts w:hint="eastAsia" w:ascii="宋体" w:hAnsi="宋体" w:cs="宋体"/>
                <w:color w:val="auto"/>
                <w:sz w:val="24"/>
                <w:highlight w:val="none"/>
              </w:rPr>
            </w:pPr>
          </w:p>
        </w:tc>
      </w:tr>
      <w:tr w14:paraId="7BCBD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78" w:type="dxa"/>
            <w:gridSpan w:val="2"/>
            <w:tcBorders>
              <w:top w:val="single" w:color="auto" w:sz="4" w:space="0"/>
              <w:left w:val="single" w:color="auto" w:sz="4" w:space="0"/>
              <w:bottom w:val="single" w:color="auto" w:sz="4" w:space="0"/>
              <w:right w:val="single" w:color="auto" w:sz="4" w:space="0"/>
            </w:tcBorders>
            <w:noWrap w:val="0"/>
            <w:vAlign w:val="center"/>
          </w:tcPr>
          <w:p w14:paraId="7E940254">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eastAsia="宋体" w:cs="宋体"/>
                <w:b/>
                <w:color w:val="auto"/>
                <w:sz w:val="24"/>
                <w:highlight w:val="none"/>
                <w:lang w:eastAsia="zh-CN"/>
              </w:rPr>
            </w:pPr>
            <w:r>
              <w:rPr>
                <w:rFonts w:hint="eastAsia" w:ascii="Times New Roman" w:hAnsi="宋体" w:eastAsia="微软雅黑" w:cs="宋体"/>
                <w:b/>
                <w:color w:val="auto"/>
                <w:kern w:val="2"/>
                <w:sz w:val="24"/>
                <w:szCs w:val="22"/>
                <w:highlight w:val="none"/>
                <w:lang w:val="en-US" w:eastAsia="zh-CN" w:bidi="ar-SA"/>
              </w:rPr>
              <w:t>Total (RMB)</w:t>
            </w:r>
          </w:p>
        </w:tc>
        <w:tc>
          <w:tcPr>
            <w:tcW w:w="6099" w:type="dxa"/>
            <w:gridSpan w:val="5"/>
            <w:tcBorders>
              <w:top w:val="single" w:color="auto" w:sz="4" w:space="0"/>
              <w:left w:val="single" w:color="auto" w:sz="4" w:space="0"/>
              <w:bottom w:val="single" w:color="auto" w:sz="4" w:space="0"/>
              <w:right w:val="single" w:color="auto" w:sz="4" w:space="0"/>
            </w:tcBorders>
            <w:noWrap w:val="0"/>
            <w:vAlign w:val="center"/>
          </w:tcPr>
          <w:p w14:paraId="699CF51C">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eastAsia="宋体" w:cs="宋体"/>
                <w:b/>
                <w:color w:val="auto"/>
                <w:sz w:val="24"/>
                <w:highlight w:val="none"/>
                <w:lang w:eastAsia="zh-CN"/>
              </w:rPr>
            </w:pPr>
            <w:r>
              <w:rPr>
                <w:rFonts w:hint="eastAsia" w:ascii="Times New Roman" w:hAnsi="宋体" w:eastAsia="微软雅黑" w:cs="宋体"/>
                <w:b/>
                <w:color w:val="auto"/>
                <w:kern w:val="2"/>
                <w:sz w:val="24"/>
                <w:szCs w:val="22"/>
                <w:highlight w:val="none"/>
                <w:lang w:val="en-US" w:eastAsia="zh-CN" w:bidi="ar-SA"/>
              </w:rPr>
              <w:t>¥: (in words)</w:t>
            </w:r>
          </w:p>
        </w:tc>
      </w:tr>
    </w:tbl>
    <w:p w14:paraId="18D0E1AB">
      <w:pPr>
        <w:keepNext w:val="0"/>
        <w:keepLines w:val="0"/>
        <w:pageBreakBefore w:val="0"/>
        <w:widowControl w:val="0"/>
        <w:kinsoku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Times New Roman" w:hAnsi="宋体" w:eastAsia="微软雅黑" w:cs="宋体"/>
          <w:color w:val="auto"/>
          <w:kern w:val="2"/>
          <w:sz w:val="24"/>
          <w:szCs w:val="24"/>
          <w:highlight w:val="none"/>
          <w:lang w:val="en-US" w:eastAsia="zh-CN" w:bidi="ar-SA"/>
        </w:rPr>
        <w:t>Party B shall supply the goods in accordance with the specifications, packaging, and accompanying components specified in the contract's delivery list, ensuring no quality issues and providing comprehensive after-sales service.</w:t>
      </w:r>
    </w:p>
    <w:p w14:paraId="63185422">
      <w:pPr>
        <w:keepNext w:val="0"/>
        <w:keepLines w:val="0"/>
        <w:pageBreakBefore w:val="0"/>
        <w:widowControl w:val="0"/>
        <w:kinsoku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Times New Roman" w:hAnsi="宋体" w:eastAsia="微软雅黑" w:cs="宋体"/>
          <w:color w:val="auto"/>
          <w:kern w:val="2"/>
          <w:sz w:val="24"/>
          <w:szCs w:val="24"/>
          <w:highlight w:val="none"/>
          <w:lang w:val="en-US" w:eastAsia="zh-CN" w:bidi="ar-SA"/>
        </w:rPr>
        <w:t>2. This is a lump-sum contract (including all incurred transportation costs, miscellaneous fees (including insurance), commercial inspection fees, handling fees, labor costs, and expenses for product distribution and replacement, covering all costs from the product supply location to the delivery destination). The price of the supplied products shall be as specified in the response documents and shall remain unchanged during the entire contract period.</w:t>
      </w:r>
    </w:p>
    <w:p w14:paraId="29E44AEE">
      <w:pPr>
        <w:keepNext w:val="0"/>
        <w:keepLines w:val="0"/>
        <w:pageBreakBefore w:val="0"/>
        <w:widowControl w:val="0"/>
        <w:numPr>
          <w:ilvl w:val="0"/>
          <w:numId w:val="8"/>
        </w:numPr>
        <w:overflowPunct/>
        <w:topLinePunct w:val="0"/>
        <w:autoSpaceDE/>
        <w:autoSpaceDN/>
        <w:bidi w:val="0"/>
        <w:adjustRightInd w:val="0"/>
        <w:snapToGrid w:val="0"/>
        <w:spacing w:line="360" w:lineRule="auto"/>
        <w:ind w:left="0" w:leftChars="0" w:firstLine="0" w:firstLineChars="0"/>
        <w:rPr>
          <w:rFonts w:hint="eastAsia" w:ascii="宋体" w:hAnsi="宋体" w:cs="宋体"/>
          <w:b/>
          <w:bCs/>
          <w:color w:val="auto"/>
          <w:sz w:val="24"/>
          <w:szCs w:val="24"/>
          <w:highlight w:val="none"/>
        </w:rPr>
      </w:pPr>
      <w:r>
        <w:rPr>
          <w:rFonts w:hint="eastAsia" w:ascii="Times New Roman" w:hAnsi="宋体" w:eastAsia="微软雅黑" w:cs="宋体"/>
          <w:b/>
          <w:bCs/>
          <w:color w:val="auto"/>
          <w:kern w:val="2"/>
          <w:sz w:val="24"/>
          <w:szCs w:val="24"/>
          <w:highlight w:val="none"/>
          <w:lang w:val="en-US" w:eastAsia="zh-CN" w:bidi="ar-SA"/>
        </w:rPr>
        <w:t>Payment of Funds</w:t>
      </w:r>
    </w:p>
    <w:p w14:paraId="60BDDD8C">
      <w:pPr>
        <w:keepNext w:val="0"/>
        <w:keepLines w:val="0"/>
        <w:pageBreakBefore w:val="0"/>
        <w:widowControl w:val="0"/>
        <w:overflowPunct/>
        <w:topLinePunct w:val="0"/>
        <w:autoSpaceDE/>
        <w:autoSpaceDN/>
        <w:bidi w:val="0"/>
        <w:adjustRightInd w:val="0"/>
        <w:snapToGrid w:val="0"/>
        <w:spacing w:line="360" w:lineRule="auto"/>
        <w:ind w:left="19" w:leftChars="9" w:firstLine="480" w:firstLineChars="200"/>
        <w:rPr>
          <w:rFonts w:hint="eastAsia" w:ascii="宋体" w:hAnsi="宋体" w:cs="宋体"/>
          <w:b/>
          <w:bCs/>
          <w:color w:val="auto"/>
          <w:sz w:val="24"/>
          <w:szCs w:val="24"/>
          <w:highlight w:val="none"/>
          <w:lang w:val="en-US" w:eastAsia="zh-CN"/>
        </w:rPr>
      </w:pPr>
      <w:r>
        <w:rPr>
          <w:rFonts w:hint="eastAsia" w:ascii="Times New Roman" w:hAnsi="宋体" w:eastAsia="微软雅黑" w:cs="宋体"/>
          <w:color w:val="auto"/>
          <w:kern w:val="2"/>
          <w:sz w:val="24"/>
          <w:szCs w:val="24"/>
          <w:highlight w:val="none"/>
          <w:lang w:val="en-US" w:eastAsia="zh-CN" w:bidi="ar-SA"/>
        </w:rPr>
        <w:t>______________________________________。</w:t>
      </w:r>
    </w:p>
    <w:p w14:paraId="249762D3">
      <w:pPr>
        <w:keepNext w:val="0"/>
        <w:keepLines w:val="0"/>
        <w:pageBreakBefore w:val="0"/>
        <w:widowControl w:val="0"/>
        <w:overflowPunct/>
        <w:topLinePunct w:val="0"/>
        <w:autoSpaceDE/>
        <w:autoSpaceDN/>
        <w:bidi w:val="0"/>
        <w:adjustRightInd w:val="0"/>
        <w:snapToGrid w:val="0"/>
        <w:spacing w:line="360" w:lineRule="auto"/>
        <w:ind w:left="19" w:leftChars="9" w:firstLine="480" w:firstLineChars="200"/>
        <w:rPr>
          <w:rFonts w:hint="eastAsia" w:ascii="宋体" w:hAnsi="宋体" w:eastAsia="宋体" w:cs="宋体"/>
          <w:b/>
          <w:bCs/>
          <w:color w:val="auto"/>
          <w:sz w:val="24"/>
          <w:szCs w:val="24"/>
          <w:highlight w:val="none"/>
          <w:lang w:eastAsia="zh-CN"/>
        </w:rPr>
      </w:pPr>
      <w:r>
        <w:rPr>
          <w:rFonts w:hint="eastAsia" w:ascii="Times New Roman" w:hAnsi="宋体" w:eastAsia="微软雅黑" w:cs="宋体"/>
          <w:b/>
          <w:bCs/>
          <w:color w:val="auto"/>
          <w:kern w:val="2"/>
          <w:sz w:val="24"/>
          <w:szCs w:val="24"/>
          <w:highlight w:val="none"/>
          <w:lang w:val="en-US" w:eastAsia="zh-CN" w:bidi="ar-SA"/>
        </w:rPr>
        <w:t>IV. Delivery Conditions:</w:t>
      </w:r>
    </w:p>
    <w:p w14:paraId="7530152F">
      <w:pPr>
        <w:keepNext w:val="0"/>
        <w:keepLines w:val="0"/>
        <w:pageBreakBefore w:val="0"/>
        <w:widowControl w:val="0"/>
        <w:kinsoku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Times New Roman" w:hAnsi="宋体" w:eastAsia="微软雅黑" w:cs="宋体"/>
          <w:color w:val="auto"/>
          <w:kern w:val="2"/>
          <w:sz w:val="24"/>
          <w:szCs w:val="24"/>
          <w:highlight w:val="none"/>
          <w:lang w:val="en-US" w:eastAsia="zh-CN" w:bidi="ar-SA"/>
        </w:rPr>
        <w:t>delivery point ：</w:t>
      </w:r>
    </w:p>
    <w:p w14:paraId="095F52A1">
      <w:pPr>
        <w:keepNext w:val="0"/>
        <w:keepLines w:val="0"/>
        <w:pageBreakBefore w:val="0"/>
        <w:widowControl w:val="0"/>
        <w:kinsoku w:val="0"/>
        <w:overflowPunct/>
        <w:topLinePunct w:val="0"/>
        <w:autoSpaceDE/>
        <w:autoSpaceDN/>
        <w:bidi w:val="0"/>
        <w:adjustRightInd w:val="0"/>
        <w:snapToGrid w:val="0"/>
        <w:spacing w:line="360" w:lineRule="auto"/>
        <w:ind w:firstLine="480" w:firstLineChars="200"/>
        <w:rPr>
          <w:rFonts w:hint="default" w:ascii="宋体" w:hAnsi="宋体" w:eastAsia="宋体" w:cs="宋体"/>
          <w:color w:val="auto"/>
          <w:sz w:val="24"/>
          <w:szCs w:val="24"/>
          <w:highlight w:val="none"/>
          <w:u w:val="single"/>
          <w:lang w:val="en-US" w:eastAsia="zh-CN"/>
        </w:rPr>
      </w:pPr>
      <w:r>
        <w:rPr>
          <w:rFonts w:hint="eastAsia" w:ascii="Times New Roman" w:hAnsi="宋体" w:eastAsia="微软雅黑" w:cs="宋体"/>
          <w:color w:val="auto"/>
          <w:kern w:val="2"/>
          <w:sz w:val="24"/>
          <w:szCs w:val="24"/>
          <w:highlight w:val="none"/>
          <w:lang w:val="en-US" w:eastAsia="zh-CN" w:bidi="ar-SA"/>
        </w:rPr>
        <w:t>delivery time ：</w:t>
      </w:r>
    </w:p>
    <w:p w14:paraId="3CB3BBD7">
      <w:pPr>
        <w:keepNext w:val="0"/>
        <w:keepLines w:val="0"/>
        <w:pageBreakBefore w:val="0"/>
        <w:widowControl w:val="0"/>
        <w:kinsoku w:val="0"/>
        <w:overflowPunct/>
        <w:topLinePunct w:val="0"/>
        <w:autoSpaceDE/>
        <w:autoSpaceDN/>
        <w:bidi w:val="0"/>
        <w:adjustRightInd w:val="0"/>
        <w:snapToGrid w:val="0"/>
        <w:spacing w:line="360" w:lineRule="auto"/>
        <w:ind w:firstLine="480" w:firstLineChars="200"/>
        <w:rPr>
          <w:rFonts w:hint="eastAsia" w:ascii="宋体" w:hAnsi="宋体" w:cs="宋体"/>
          <w:b/>
          <w:bCs/>
          <w:color w:val="auto"/>
          <w:sz w:val="24"/>
          <w:szCs w:val="24"/>
          <w:highlight w:val="none"/>
          <w:lang w:val="en-US" w:eastAsia="zh-CN"/>
        </w:rPr>
      </w:pPr>
      <w:r>
        <w:rPr>
          <w:rFonts w:hint="eastAsia" w:ascii="Times New Roman" w:hAnsi="宋体" w:eastAsia="微软雅黑" w:cs="宋体"/>
          <w:b/>
          <w:bCs/>
          <w:color w:val="auto"/>
          <w:kern w:val="2"/>
          <w:sz w:val="24"/>
          <w:szCs w:val="24"/>
          <w:highlight w:val="none"/>
          <w:lang w:val="en-US" w:eastAsia="zh-CN" w:bidi="ar-SA"/>
        </w:rPr>
        <w:t>V. Transportation Methods</w:t>
      </w:r>
    </w:p>
    <w:p w14:paraId="0625CF8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b/>
          <w:color w:val="auto"/>
          <w:sz w:val="24"/>
          <w:highlight w:val="none"/>
          <w:lang w:eastAsia="zh-CN"/>
        </w:rPr>
      </w:pPr>
      <w:r>
        <w:rPr>
          <w:rFonts w:hint="eastAsia" w:ascii="Times New Roman" w:hAnsi="宋体" w:eastAsia="微软雅黑" w:cs="宋体"/>
          <w:color w:val="auto"/>
          <w:kern w:val="2"/>
          <w:sz w:val="24"/>
          <w:szCs w:val="22"/>
          <w:highlight w:val="none"/>
          <w:lang w:val="en-US" w:eastAsia="zh-CN" w:bidi="ar-SA"/>
        </w:rPr>
        <w:t>Based on the product specifications, Party B shall independently select transportation and packaging methods while ensuring product quality, and all associated costs shall be borne solely by Party B.</w:t>
      </w:r>
    </w:p>
    <w:p w14:paraId="05DBAA64">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eastAsia="宋体" w:cs="宋体"/>
          <w:b/>
          <w:color w:val="auto"/>
          <w:sz w:val="24"/>
          <w:highlight w:val="none"/>
          <w:lang w:eastAsia="zh-CN"/>
        </w:rPr>
      </w:pPr>
      <w:r>
        <w:rPr>
          <w:rFonts w:hint="eastAsia" w:ascii="Times New Roman" w:hAnsi="宋体" w:eastAsia="微软雅黑" w:cs="宋体"/>
          <w:b/>
          <w:color w:val="auto"/>
          <w:kern w:val="2"/>
          <w:sz w:val="24"/>
          <w:szCs w:val="22"/>
          <w:highlight w:val="none"/>
          <w:lang w:val="en-US" w:eastAsia="zh-CN" w:bidi="ar-SA"/>
        </w:rPr>
        <w:t>VI. Quality Assurance</w:t>
      </w:r>
    </w:p>
    <w:p w14:paraId="7C828A3E">
      <w:pPr>
        <w:keepNext w:val="0"/>
        <w:keepLines w:val="0"/>
        <w:pageBreakBefore w:val="0"/>
        <w:widowControl w:val="0"/>
        <w:wordWrap w:val="0"/>
        <w:overflowPunct/>
        <w:topLinePunct w:val="0"/>
        <w:autoSpaceDE/>
        <w:autoSpaceDN/>
        <w:bidi w:val="0"/>
        <w:adjustRightInd w:val="0"/>
        <w:snapToGrid w:val="0"/>
        <w:spacing w:line="360" w:lineRule="auto"/>
        <w:ind w:firstLine="480" w:firstLineChars="200"/>
        <w:rPr>
          <w:rFonts w:hint="eastAsia" w:ascii="宋体" w:hAnsi="宋体" w:eastAsia="宋体"/>
          <w:color w:val="auto"/>
          <w:sz w:val="24"/>
          <w:highlight w:val="none"/>
          <w:lang w:eastAsia="zh-CN"/>
        </w:rPr>
      </w:pPr>
      <w:r>
        <w:rPr>
          <w:rFonts w:hint="eastAsia" w:ascii="Times New Roman" w:hAnsi="宋体" w:eastAsia="微软雅黑" w:cs="Times New Roman"/>
          <w:color w:val="auto"/>
          <w:kern w:val="2"/>
          <w:sz w:val="24"/>
          <w:szCs w:val="22"/>
          <w:highlight w:val="none"/>
          <w:lang w:val="en-US" w:eastAsia="zh-CN" w:bidi="ar-SA"/>
        </w:rPr>
        <w:t>The successful supplier shall ensure that the supply channels for the goods are reliable, that the products are brand new, unused, and fully comply with all quality, specification, and technical requirements stipulated in the contract; and shall be liable for any quality issues arising from defects in product design, manufacturing process, or materials, both during and beyond the warranty period.</w:t>
      </w:r>
    </w:p>
    <w:p w14:paraId="410E5711">
      <w:pPr>
        <w:keepNext w:val="0"/>
        <w:keepLines w:val="0"/>
        <w:pageBreakBefore w:val="0"/>
        <w:widowControl w:val="0"/>
        <w:overflowPunct/>
        <w:topLinePunct w:val="0"/>
        <w:autoSpaceDE/>
        <w:autoSpaceDN/>
        <w:bidi w:val="0"/>
        <w:adjustRightInd w:val="0"/>
        <w:snapToGrid w:val="0"/>
        <w:spacing w:line="360" w:lineRule="auto"/>
        <w:ind w:firstLine="456" w:firstLineChars="200"/>
        <w:rPr>
          <w:rFonts w:hint="eastAsia" w:ascii="宋体" w:hAnsi="宋体" w:eastAsia="宋体"/>
          <w:color w:val="auto"/>
          <w:spacing w:val="-6"/>
          <w:sz w:val="24"/>
          <w:highlight w:val="none"/>
          <w:lang w:eastAsia="zh-CN"/>
        </w:rPr>
      </w:pPr>
      <w:r>
        <w:rPr>
          <w:rFonts w:hint="eastAsia" w:ascii="Times New Roman" w:hAnsi="宋体" w:eastAsia="微软雅黑" w:cs="Times New Roman"/>
          <w:color w:val="auto"/>
          <w:spacing w:val="-6"/>
          <w:kern w:val="2"/>
          <w:sz w:val="24"/>
          <w:szCs w:val="22"/>
          <w:highlight w:val="none"/>
          <w:lang w:val="en-US" w:eastAsia="zh-CN" w:bidi="ar-SA"/>
        </w:rPr>
        <w:t>During the warranty period, if any discrepancy is found between the goods' quality, specifications, or technical parameters and those stipulated in the contract, Party B shall be responsible for making adjustments, replacements, or repairs at its own expense.</w:t>
      </w:r>
    </w:p>
    <w:p w14:paraId="06A2D141">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eastAsia="宋体" w:cs="宋体"/>
          <w:b/>
          <w:color w:val="auto"/>
          <w:sz w:val="24"/>
          <w:highlight w:val="none"/>
          <w:lang w:eastAsia="zh-CN"/>
        </w:rPr>
      </w:pPr>
      <w:r>
        <w:rPr>
          <w:rFonts w:hint="eastAsia" w:ascii="Times New Roman" w:hAnsi="宋体" w:eastAsia="微软雅黑" w:cs="宋体"/>
          <w:b/>
          <w:color w:val="auto"/>
          <w:kern w:val="2"/>
          <w:sz w:val="24"/>
          <w:szCs w:val="22"/>
          <w:highlight w:val="none"/>
          <w:lang w:val="en-US" w:eastAsia="zh-CN" w:bidi="ar-SA"/>
        </w:rPr>
        <w:t>VII. Warranty Period and Commitments</w:t>
      </w:r>
    </w:p>
    <w:p w14:paraId="20196646">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Times New Roman" w:hAnsi="宋体" w:eastAsia="微软雅黑" w:cs="宋体"/>
          <w:color w:val="auto"/>
          <w:kern w:val="2"/>
          <w:sz w:val="24"/>
          <w:szCs w:val="22"/>
          <w:highlight w:val="none"/>
          <w:lang w:val="en-US" w:eastAsia="zh-CN" w:bidi="ar-SA"/>
        </w:rPr>
        <w:t>The product's warranty period is _______ years.</w:t>
      </w:r>
    </w:p>
    <w:p w14:paraId="7635D63D">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Times New Roman" w:hAnsi="宋体" w:eastAsia="微软雅黑" w:cs="宋体"/>
          <w:color w:val="auto"/>
          <w:kern w:val="2"/>
          <w:sz w:val="24"/>
          <w:szCs w:val="22"/>
          <w:highlight w:val="none"/>
          <w:lang w:val="en-US" w:eastAsia="zh-CN" w:bidi="ar-SA"/>
        </w:rPr>
        <w:t>During the warranty period, Party B shall provide free resolution for any product quality issues; repairs beyond this period shall be carried out in accordance with the manufacturer's specifications.</w:t>
      </w:r>
    </w:p>
    <w:p w14:paraId="54CC0208">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eastAsia="宋体" w:cs="宋体"/>
          <w:b/>
          <w:color w:val="auto"/>
          <w:sz w:val="24"/>
          <w:highlight w:val="none"/>
          <w:lang w:eastAsia="zh-CN"/>
        </w:rPr>
      </w:pPr>
      <w:r>
        <w:rPr>
          <w:rFonts w:hint="eastAsia" w:ascii="Times New Roman" w:hAnsi="宋体" w:eastAsia="微软雅黑" w:cs="宋体"/>
          <w:b/>
          <w:color w:val="auto"/>
          <w:kern w:val="2"/>
          <w:sz w:val="24"/>
          <w:szCs w:val="22"/>
          <w:highlight w:val="none"/>
          <w:lang w:val="en-US" w:eastAsia="zh-CN" w:bidi="ar-SA"/>
        </w:rPr>
        <w:t>VIII. Product Acceptance</w:t>
      </w:r>
    </w:p>
    <w:p w14:paraId="68DAC950">
      <w:pPr>
        <w:keepNext w:val="0"/>
        <w:keepLines w:val="0"/>
        <w:pageBreakBefore w:val="0"/>
        <w:widowControl w:val="0"/>
        <w:wordWrap w:val="0"/>
        <w:overflowPunct/>
        <w:topLinePunct w:val="0"/>
        <w:autoSpaceDE/>
        <w:autoSpaceDN/>
        <w:bidi w:val="0"/>
        <w:adjustRightInd w:val="0"/>
        <w:snapToGrid w:val="0"/>
        <w:spacing w:line="360" w:lineRule="auto"/>
        <w:ind w:firstLine="480" w:firstLineChars="200"/>
        <w:rPr>
          <w:rFonts w:hint="eastAsia" w:ascii="宋体" w:hAnsi="宋体" w:eastAsia="宋体"/>
          <w:color w:val="auto"/>
          <w:sz w:val="24"/>
          <w:highlight w:val="none"/>
          <w:lang w:eastAsia="zh-CN"/>
        </w:rPr>
      </w:pPr>
      <w:r>
        <w:rPr>
          <w:rFonts w:hint="eastAsia" w:ascii="Times New Roman" w:hAnsi="宋体" w:eastAsia="微软雅黑" w:cs="Times New Roman"/>
          <w:color w:val="auto"/>
          <w:kern w:val="2"/>
          <w:sz w:val="24"/>
          <w:szCs w:val="22"/>
          <w:highlight w:val="none"/>
          <w:lang w:val="en-US" w:eastAsia="zh-CN" w:bidi="ar-SA"/>
        </w:rPr>
        <w:t>Upon arrival at the delivery location, the receiving entity shall inspect the goods according to the contract regarding their name, brand, specifications, model, place of origin, and quantity.</w:t>
      </w:r>
    </w:p>
    <w:p w14:paraId="22FF258D">
      <w:pPr>
        <w:keepNext w:val="0"/>
        <w:keepLines w:val="0"/>
        <w:pageBreakBefore w:val="0"/>
        <w:widowControl w:val="0"/>
        <w:wordWrap w:val="0"/>
        <w:overflowPunct/>
        <w:topLinePunct w:val="0"/>
        <w:autoSpaceDE/>
        <w:autoSpaceDN/>
        <w:bidi w:val="0"/>
        <w:adjustRightInd w:val="0"/>
        <w:snapToGrid w:val="0"/>
        <w:spacing w:line="360" w:lineRule="auto"/>
        <w:ind w:firstLine="480" w:firstLineChars="200"/>
        <w:rPr>
          <w:rFonts w:hint="eastAsia" w:ascii="宋体" w:hAnsi="宋体" w:eastAsia="宋体"/>
          <w:color w:val="auto"/>
          <w:sz w:val="24"/>
          <w:highlight w:val="none"/>
          <w:lang w:eastAsia="zh-CN"/>
        </w:rPr>
      </w:pPr>
      <w:r>
        <w:rPr>
          <w:rFonts w:hint="eastAsia" w:ascii="Times New Roman" w:hAnsi="宋体" w:eastAsia="微软雅黑" w:cs="Times New Roman"/>
          <w:color w:val="auto"/>
          <w:kern w:val="2"/>
          <w:sz w:val="24"/>
          <w:szCs w:val="22"/>
          <w:highlight w:val="none"/>
          <w:lang w:val="en-US" w:eastAsia="zh-CN" w:bidi="ar-SA"/>
        </w:rPr>
        <w:t>Acceptance Basis:</w:t>
      </w:r>
    </w:p>
    <w:p w14:paraId="7FCFC669">
      <w:pPr>
        <w:keepNext w:val="0"/>
        <w:keepLines w:val="0"/>
        <w:pageBreakBefore w:val="0"/>
        <w:widowControl w:val="0"/>
        <w:wordWrap w:val="0"/>
        <w:overflowPunct/>
        <w:topLinePunct w:val="0"/>
        <w:autoSpaceDE/>
        <w:autoSpaceDN/>
        <w:bidi w:val="0"/>
        <w:adjustRightInd w:val="0"/>
        <w:snapToGrid w:val="0"/>
        <w:spacing w:line="360" w:lineRule="auto"/>
        <w:ind w:firstLine="480" w:firstLineChars="200"/>
        <w:rPr>
          <w:rFonts w:hint="eastAsia" w:ascii="宋体" w:hAnsi="宋体" w:eastAsia="宋体"/>
          <w:color w:val="auto"/>
          <w:sz w:val="24"/>
          <w:highlight w:val="none"/>
          <w:lang w:eastAsia="zh-CN"/>
        </w:rPr>
      </w:pPr>
      <w:r>
        <w:rPr>
          <w:rFonts w:hint="eastAsia" w:ascii="Times New Roman" w:hAnsi="宋体" w:eastAsia="微软雅黑" w:cs="Times New Roman"/>
          <w:color w:val="auto"/>
          <w:kern w:val="2"/>
          <w:sz w:val="24"/>
          <w:szCs w:val="22"/>
          <w:highlight w:val="none"/>
          <w:lang w:val="en-US" w:eastAsia="zh-CN" w:bidi="ar-SA"/>
        </w:rPr>
        <w:t>(1) Contract text and supplementary contract documents (clauses).</w:t>
      </w:r>
    </w:p>
    <w:p w14:paraId="4780CF57">
      <w:pPr>
        <w:keepNext w:val="0"/>
        <w:keepLines w:val="0"/>
        <w:pageBreakBefore w:val="0"/>
        <w:widowControl w:val="0"/>
        <w:wordWrap w:val="0"/>
        <w:overflowPunct/>
        <w:topLinePunct w:val="0"/>
        <w:autoSpaceDE/>
        <w:autoSpaceDN/>
        <w:bidi w:val="0"/>
        <w:adjustRightInd w:val="0"/>
        <w:snapToGrid w:val="0"/>
        <w:spacing w:line="360" w:lineRule="auto"/>
        <w:ind w:firstLine="480" w:firstLineChars="200"/>
        <w:rPr>
          <w:rFonts w:hint="eastAsia" w:ascii="宋体" w:hAnsi="宋体" w:eastAsia="宋体"/>
          <w:color w:val="auto"/>
          <w:sz w:val="24"/>
          <w:highlight w:val="none"/>
          <w:lang w:eastAsia="zh-CN"/>
        </w:rPr>
      </w:pPr>
      <w:r>
        <w:rPr>
          <w:rFonts w:hint="eastAsia" w:ascii="Times New Roman" w:hAnsi="宋体" w:eastAsia="微软雅黑" w:cs="Times New Roman"/>
          <w:color w:val="auto"/>
          <w:kern w:val="2"/>
          <w:sz w:val="24"/>
          <w:szCs w:val="22"/>
          <w:highlight w:val="none"/>
          <w:lang w:val="en-US" w:eastAsia="zh-CN" w:bidi="ar-SA"/>
        </w:rPr>
        <w:t>(2) Manufacturer authorization letter and after-sales service commitment letter.</w:t>
      </w:r>
    </w:p>
    <w:p w14:paraId="094937D9">
      <w:pPr>
        <w:keepNext w:val="0"/>
        <w:keepLines w:val="0"/>
        <w:pageBreakBefore w:val="0"/>
        <w:widowControl w:val="0"/>
        <w:wordWrap w:val="0"/>
        <w:overflowPunct/>
        <w:topLinePunct w:val="0"/>
        <w:autoSpaceDE/>
        <w:autoSpaceDN/>
        <w:bidi w:val="0"/>
        <w:adjustRightInd w:val="0"/>
        <w:snapToGrid w:val="0"/>
        <w:spacing w:line="360" w:lineRule="auto"/>
        <w:ind w:firstLine="480" w:firstLineChars="200"/>
        <w:rPr>
          <w:rFonts w:hint="eastAsia" w:ascii="宋体" w:hAnsi="宋体" w:eastAsia="宋体"/>
          <w:color w:val="auto"/>
          <w:sz w:val="24"/>
          <w:highlight w:val="none"/>
          <w:lang w:eastAsia="zh-CN"/>
        </w:rPr>
      </w:pPr>
      <w:r>
        <w:rPr>
          <w:rFonts w:hint="eastAsia" w:ascii="Times New Roman" w:hAnsi="宋体" w:eastAsia="微软雅黑" w:cs="Times New Roman"/>
          <w:color w:val="auto"/>
          <w:kern w:val="2"/>
          <w:sz w:val="24"/>
          <w:szCs w:val="22"/>
          <w:highlight w:val="none"/>
          <w:lang w:val="en-US" w:eastAsia="zh-CN" w:bidi="ar-SA"/>
        </w:rPr>
        <w:t>(3) Tender Documents.</w:t>
      </w:r>
    </w:p>
    <w:p w14:paraId="29A929F3">
      <w:pPr>
        <w:keepNext w:val="0"/>
        <w:keepLines w:val="0"/>
        <w:pageBreakBefore w:val="0"/>
        <w:widowControl w:val="0"/>
        <w:wordWrap w:val="0"/>
        <w:overflowPunct/>
        <w:topLinePunct w:val="0"/>
        <w:autoSpaceDE/>
        <w:autoSpaceDN/>
        <w:bidi w:val="0"/>
        <w:adjustRightInd w:val="0"/>
        <w:snapToGrid w:val="0"/>
        <w:spacing w:line="360" w:lineRule="auto"/>
        <w:ind w:firstLine="480" w:firstLineChars="200"/>
        <w:rPr>
          <w:rFonts w:hint="eastAsia" w:ascii="宋体" w:hAnsi="宋体" w:eastAsia="宋体"/>
          <w:color w:val="auto"/>
          <w:sz w:val="24"/>
          <w:highlight w:val="none"/>
          <w:lang w:eastAsia="zh-CN"/>
        </w:rPr>
      </w:pPr>
      <w:r>
        <w:rPr>
          <w:rFonts w:hint="eastAsia" w:ascii="Times New Roman" w:hAnsi="宋体" w:eastAsia="微软雅黑" w:cs="Times New Roman"/>
          <w:color w:val="auto"/>
          <w:kern w:val="2"/>
          <w:sz w:val="24"/>
          <w:szCs w:val="22"/>
          <w:highlight w:val="none"/>
          <w:lang w:val="en-US" w:eastAsia="zh-CN" w:bidi="ar-SA"/>
        </w:rPr>
        <w:t>(4) Relevant documents from the winning supplier.</w:t>
      </w:r>
    </w:p>
    <w:p w14:paraId="4CB054CC">
      <w:pPr>
        <w:keepNext w:val="0"/>
        <w:keepLines w:val="0"/>
        <w:pageBreakBefore w:val="0"/>
        <w:widowControl w:val="0"/>
        <w:wordWrap w:val="0"/>
        <w:overflowPunct/>
        <w:topLinePunct w:val="0"/>
        <w:autoSpaceDE/>
        <w:autoSpaceDN/>
        <w:bidi w:val="0"/>
        <w:adjustRightInd w:val="0"/>
        <w:snapToGrid w:val="0"/>
        <w:spacing w:line="360" w:lineRule="auto"/>
        <w:ind w:firstLine="480" w:firstLineChars="200"/>
        <w:rPr>
          <w:rFonts w:hint="eastAsia" w:ascii="宋体" w:hAnsi="宋体" w:eastAsia="宋体"/>
          <w:color w:val="auto"/>
          <w:sz w:val="24"/>
          <w:highlight w:val="none"/>
          <w:lang w:eastAsia="zh-CN"/>
        </w:rPr>
      </w:pPr>
      <w:r>
        <w:rPr>
          <w:rFonts w:hint="eastAsia" w:ascii="Times New Roman" w:hAnsi="宋体" w:eastAsia="微软雅黑" w:cs="Times New Roman"/>
          <w:color w:val="auto"/>
          <w:kern w:val="2"/>
          <w:sz w:val="24"/>
          <w:szCs w:val="22"/>
          <w:highlight w:val="none"/>
          <w:lang w:val="en-US" w:eastAsia="zh-CN" w:bidi="ar-SA"/>
        </w:rPr>
        <w:t>(5) List of Contract Goods.</w:t>
      </w:r>
    </w:p>
    <w:p w14:paraId="10539D79">
      <w:pPr>
        <w:keepNext w:val="0"/>
        <w:keepLines w:val="0"/>
        <w:pageBreakBefore w:val="0"/>
        <w:widowControl w:val="0"/>
        <w:wordWrap w:val="0"/>
        <w:overflowPunct/>
        <w:topLinePunct w:val="0"/>
        <w:autoSpaceDE/>
        <w:autoSpaceDN/>
        <w:bidi w:val="0"/>
        <w:adjustRightInd w:val="0"/>
        <w:snapToGrid w:val="0"/>
        <w:spacing w:line="360" w:lineRule="auto"/>
        <w:ind w:firstLine="480" w:firstLineChars="200"/>
        <w:rPr>
          <w:rFonts w:hint="eastAsia" w:ascii="宋体" w:hAnsi="宋体" w:eastAsia="宋体"/>
          <w:color w:val="auto"/>
          <w:sz w:val="24"/>
          <w:highlight w:val="none"/>
          <w:lang w:eastAsia="zh-CN"/>
        </w:rPr>
      </w:pPr>
      <w:r>
        <w:rPr>
          <w:rFonts w:hint="eastAsia" w:ascii="Times New Roman" w:hAnsi="宋体" w:eastAsia="微软雅黑" w:cs="Times New Roman"/>
          <w:color w:val="auto"/>
          <w:kern w:val="2"/>
          <w:sz w:val="24"/>
          <w:szCs w:val="22"/>
          <w:highlight w:val="none"/>
          <w:lang w:val="en-US" w:eastAsia="zh-CN" w:bidi="ar-SA"/>
        </w:rPr>
        <w:t>(6) The manufacturer's corporate qualifications, inspection reports, and applicable product standards.</w:t>
      </w:r>
    </w:p>
    <w:p w14:paraId="0D55C4A2">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eastAsia="宋体" w:cs="宋体"/>
          <w:b/>
          <w:color w:val="auto"/>
          <w:sz w:val="24"/>
          <w:highlight w:val="none"/>
          <w:lang w:eastAsia="zh-CN"/>
        </w:rPr>
      </w:pPr>
      <w:r>
        <w:rPr>
          <w:rFonts w:hint="eastAsia" w:ascii="Times New Roman" w:hAnsi="宋体" w:eastAsia="微软雅黑" w:cs="宋体"/>
          <w:b/>
          <w:color w:val="auto"/>
          <w:kern w:val="2"/>
          <w:sz w:val="24"/>
          <w:szCs w:val="22"/>
          <w:highlight w:val="none"/>
          <w:lang w:val="en-US" w:eastAsia="zh-CN" w:bidi="ar-SA"/>
        </w:rPr>
        <w:t>IX. Liability for Breach of Contract:</w:t>
      </w:r>
    </w:p>
    <w:p w14:paraId="1E08014F">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Times New Roman" w:hAnsi="宋体" w:eastAsia="微软雅黑" w:cs="宋体"/>
          <w:color w:val="auto"/>
          <w:kern w:val="2"/>
          <w:sz w:val="24"/>
          <w:szCs w:val="22"/>
          <w:highlight w:val="none"/>
          <w:lang w:val="en-US" w:eastAsia="zh-CN" w:bidi="ar-SA"/>
        </w:rPr>
        <w:t>The relevant provisions of the Civil Code of the People's Republic of China shall apply.</w:t>
      </w:r>
    </w:p>
    <w:p w14:paraId="4FC0E7BE">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Times New Roman" w:hAnsi="宋体" w:eastAsia="微软雅黑" w:cs="宋体"/>
          <w:color w:val="auto"/>
          <w:kern w:val="2"/>
          <w:sz w:val="24"/>
          <w:szCs w:val="22"/>
          <w:highlight w:val="none"/>
          <w:lang w:val="en-US" w:eastAsia="zh-CN" w:bidi="ar-SA"/>
        </w:rPr>
        <w:t>If Party B fails to fulfill its obligations, such as failing to supply goods, providing products that do not meet contractual requirements, or delivering products whose quality does not satisfy the technical specifications stipulated in the purchase agreement, Party A shall have the right to terminate the contract and reserve the right to pursue liability for breach of contract against Party B.</w:t>
      </w:r>
    </w:p>
    <w:p w14:paraId="5F75D25D">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Times New Roman" w:hAnsi="宋体" w:eastAsia="微软雅黑" w:cs="宋体"/>
          <w:color w:val="auto"/>
          <w:kern w:val="2"/>
          <w:sz w:val="24"/>
          <w:szCs w:val="22"/>
          <w:highlight w:val="none"/>
          <w:lang w:val="en-US" w:eastAsia="zh-CN" w:bidi="ar-SA"/>
        </w:rPr>
        <w:t>In case of delayed delivery, Party B shall bear liability for breach of contract to Party A at a rate of 0.1% per day.</w:t>
      </w:r>
    </w:p>
    <w:p w14:paraId="7C59DFAD">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Times New Roman" w:hAnsi="宋体" w:eastAsia="微软雅黑" w:cs="宋体"/>
          <w:color w:val="auto"/>
          <w:kern w:val="2"/>
          <w:sz w:val="24"/>
          <w:szCs w:val="22"/>
          <w:highlight w:val="none"/>
          <w:lang w:val="en-US" w:eastAsia="zh-CN" w:bidi="ar-SA"/>
        </w:rPr>
        <w:t>In case of breach due to product quality issues, in addition to paying liquidated damages calculated based on the duration of delay, Party B may also opt for returns or exchanges, with all associated costs borne by Party B.</w:t>
      </w:r>
    </w:p>
    <w:p w14:paraId="6AF6EB15">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eastAsia="宋体" w:cs="宋体"/>
          <w:b/>
          <w:color w:val="auto"/>
          <w:sz w:val="24"/>
          <w:highlight w:val="none"/>
          <w:lang w:eastAsia="zh-CN"/>
        </w:rPr>
      </w:pPr>
      <w:r>
        <w:rPr>
          <w:rFonts w:hint="eastAsia" w:ascii="Times New Roman" w:hAnsi="宋体" w:eastAsia="微软雅黑" w:cs="宋体"/>
          <w:b/>
          <w:color w:val="auto"/>
          <w:kern w:val="2"/>
          <w:sz w:val="24"/>
          <w:szCs w:val="22"/>
          <w:highlight w:val="none"/>
          <w:lang w:val="en-US" w:eastAsia="zh-CN" w:bidi="ar-SA"/>
        </w:rPr>
        <w:t>X. Resolution of Contract Disputes:</w:t>
      </w:r>
    </w:p>
    <w:p w14:paraId="39F65ABE">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eastAsia="宋体" w:cs="宋体"/>
          <w:b/>
          <w:color w:val="auto"/>
          <w:sz w:val="24"/>
          <w:highlight w:val="none"/>
          <w:lang w:eastAsia="zh-CN"/>
        </w:rPr>
      </w:pPr>
      <w:r>
        <w:rPr>
          <w:rFonts w:hint="eastAsia" w:ascii="Times New Roman" w:hAnsi="宋体" w:eastAsia="微软雅黑" w:cs="宋体"/>
          <w:color w:val="auto"/>
          <w:kern w:val="2"/>
          <w:sz w:val="24"/>
          <w:szCs w:val="22"/>
          <w:highlight w:val="none"/>
          <w:lang w:val="en-US" w:eastAsia="zh-CN" w:bidi="ar-SA"/>
        </w:rPr>
        <w:t>Once signed, the contract shall not be arbitrarily amended, suspended, or terminated. If amendment, adjustment, suspension, or termination of the contract is indeed necessary, the corresponding procedures shall be followed in accordance with regulations.</w:t>
      </w:r>
    </w:p>
    <w:p w14:paraId="6BAD7E41">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Times New Roman" w:hAnsi="宋体" w:eastAsia="微软雅黑" w:cs="宋体"/>
          <w:color w:val="auto"/>
          <w:kern w:val="2"/>
          <w:sz w:val="24"/>
          <w:szCs w:val="22"/>
          <w:highlight w:val="none"/>
          <w:lang w:val="en-US" w:eastAsia="zh-CN" w:bidi="ar-SA"/>
        </w:rPr>
        <w:t>Any disputes arising during the execution of this contract shall be resolved through negotiation between Party A and Party B. If no agreement can be reached, either party may file a lawsuit with the People's Court at Party A's place of residence.</w:t>
      </w:r>
    </w:p>
    <w:p w14:paraId="288CD9BA">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eastAsia="宋体" w:cs="宋体"/>
          <w:b/>
          <w:color w:val="auto"/>
          <w:sz w:val="24"/>
          <w:highlight w:val="none"/>
          <w:lang w:eastAsia="zh-CN"/>
        </w:rPr>
      </w:pPr>
      <w:r>
        <w:rPr>
          <w:rFonts w:hint="eastAsia" w:ascii="Times New Roman" w:hAnsi="宋体" w:eastAsia="微软雅黑" w:cs="宋体"/>
          <w:b/>
          <w:color w:val="auto"/>
          <w:kern w:val="2"/>
          <w:sz w:val="24"/>
          <w:szCs w:val="22"/>
          <w:highlight w:val="none"/>
          <w:lang w:val="en-US" w:eastAsia="zh-CN" w:bidi="ar-SA"/>
        </w:rPr>
        <w:t>XI. Other Matters</w:t>
      </w:r>
    </w:p>
    <w:p w14:paraId="3BBD309D">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Times New Roman" w:hAnsi="宋体" w:eastAsia="微软雅黑" w:cs="宋体"/>
          <w:color w:val="auto"/>
          <w:kern w:val="2"/>
          <w:sz w:val="24"/>
          <w:szCs w:val="22"/>
          <w:highlight w:val="none"/>
          <w:lang w:val="en-US" w:eastAsia="zh-CN" w:bidi="ar-SA"/>
        </w:rPr>
        <w:t>Both Party A and Party B, as the parties executing the contract, are obligated to perform their obligations in full and promptly. The project's tender agency shall oversee compliance with these obligations.</w:t>
      </w:r>
    </w:p>
    <w:p w14:paraId="4B63F8AA">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Times New Roman" w:hAnsi="宋体" w:eastAsia="微软雅黑" w:cs="宋体"/>
          <w:color w:val="auto"/>
          <w:kern w:val="2"/>
          <w:sz w:val="24"/>
          <w:szCs w:val="22"/>
          <w:highlight w:val="none"/>
          <w:lang w:val="en-US" w:eastAsia="zh-CN" w:bidi="ar-SA"/>
        </w:rPr>
        <w:t>Any matters not expressly covered in this contract shall be resolved through negotiation between Party A and Party B. The negotiated terms shall form an integral part of this contract and carry equal legal force therewith.</w:t>
      </w:r>
    </w:p>
    <w:p w14:paraId="3E2A895E">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Times New Roman" w:hAnsi="宋体" w:eastAsia="微软雅黑" w:cs="宋体"/>
          <w:color w:val="auto"/>
          <w:kern w:val="2"/>
          <w:sz w:val="24"/>
          <w:szCs w:val="22"/>
          <w:highlight w:val="none"/>
          <w:lang w:val="en-US" w:eastAsia="zh-CN" w:bidi="ar-SA"/>
        </w:rPr>
        <w:t>The tender documents, the bidder's response documents, and all contract appendices are integral parts of the contract.</w:t>
      </w:r>
    </w:p>
    <w:p w14:paraId="21335CC0">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Times New Roman" w:hAnsi="宋体" w:eastAsia="微软雅黑" w:cs="宋体"/>
          <w:color w:val="auto"/>
          <w:kern w:val="2"/>
          <w:sz w:val="24"/>
          <w:szCs w:val="22"/>
          <w:highlight w:val="none"/>
          <w:lang w:val="en-US" w:eastAsia="zh-CN" w:bidi="ar-SA"/>
        </w:rPr>
        <w:t>The contract is executed in six original copies, with Party A retaining four copies and Party B holding two copies. It becomes effective upon signature and sealing by both parties and shall automatically terminate upon full performance. (The service obligations stipulated herein remain valid indefinitely.)</w:t>
      </w:r>
    </w:p>
    <w:p w14:paraId="027EAC3A">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Times New Roman" w:hAnsi="宋体" w:eastAsia="微软雅黑" w:cs="宋体"/>
          <w:color w:val="auto"/>
          <w:kern w:val="2"/>
          <w:sz w:val="24"/>
          <w:szCs w:val="22"/>
          <w:highlight w:val="none"/>
          <w:lang w:val="en-US" w:eastAsia="zh-CN" w:bidi="ar-SA"/>
        </w:rPr>
        <w:t>Party A's personnel responsible for receiving and inspecting the goods: ____________ Phone: _______________</w:t>
      </w:r>
    </w:p>
    <w:p w14:paraId="4BB86C41">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Times New Roman" w:hAnsi="宋体" w:eastAsia="微软雅黑" w:cs="宋体"/>
          <w:color w:val="auto"/>
          <w:kern w:val="2"/>
          <w:sz w:val="24"/>
          <w:szCs w:val="24"/>
          <w:highlight w:val="none"/>
          <w:lang w:val="en-US" w:eastAsia="zh-CN" w:bidi="ar-SA"/>
        </w:rPr>
        <w:t>Party A:   Party B:                             Party A:   Party B:</w:t>
      </w:r>
    </w:p>
    <w:p w14:paraId="04294926">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Times New Roman" w:hAnsi="宋体" w:eastAsia="微软雅黑" w:cs="宋体"/>
          <w:color w:val="auto"/>
          <w:kern w:val="2"/>
          <w:sz w:val="24"/>
          <w:szCs w:val="24"/>
          <w:highlight w:val="none"/>
          <w:lang w:val="en-US" w:eastAsia="zh-CN" w:bidi="ar-SA"/>
        </w:rPr>
        <w:t>Address: Address:                              Address: Address:</w:t>
      </w:r>
    </w:p>
    <w:p w14:paraId="62D9DA13">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Times New Roman" w:hAnsi="宋体" w:eastAsia="微软雅黑" w:cs="宋体"/>
          <w:color w:val="auto"/>
          <w:kern w:val="2"/>
          <w:sz w:val="24"/>
          <w:szCs w:val="24"/>
          <w:highlight w:val="none"/>
          <w:lang w:val="en-US" w:eastAsia="zh-CN" w:bidi="ar-SA"/>
        </w:rPr>
        <w:t>Agent: Agent:                             Agent: Agent:</w:t>
      </w:r>
    </w:p>
    <w:p w14:paraId="09B057BE">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Times New Roman" w:hAnsi="宋体" w:eastAsia="微软雅黑" w:cs="宋体"/>
          <w:color w:val="auto"/>
          <w:kern w:val="2"/>
          <w:sz w:val="24"/>
          <w:szCs w:val="24"/>
          <w:highlight w:val="none"/>
          <w:lang w:val="en-US" w:eastAsia="zh-CN" w:bidi="ar-SA"/>
        </w:rPr>
        <w:t>Technical Confirmation: Technical Confirmation:                           Technical Confirmation: Technical Confirmation:</w:t>
      </w:r>
    </w:p>
    <w:p w14:paraId="18EE5DAE">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Times New Roman" w:hAnsi="宋体" w:eastAsia="微软雅黑" w:cs="宋体"/>
          <w:color w:val="auto"/>
          <w:kern w:val="2"/>
          <w:sz w:val="24"/>
          <w:szCs w:val="24"/>
          <w:highlight w:val="none"/>
          <w:lang w:val="en-US" w:eastAsia="zh-CN" w:bidi="ar-SA"/>
        </w:rPr>
        <w:t>Contact Phone:                           Contact Phone:</w:t>
      </w:r>
    </w:p>
    <w:p w14:paraId="59E31587">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Times New Roman" w:hAnsi="宋体" w:eastAsia="微软雅黑" w:cs="宋体"/>
          <w:color w:val="auto"/>
          <w:kern w:val="2"/>
          <w:sz w:val="24"/>
          <w:szCs w:val="24"/>
          <w:highlight w:val="none"/>
          <w:lang w:val="en-US" w:eastAsia="zh-CN" w:bidi="ar-SA"/>
        </w:rPr>
        <w:t>Bank: Bank:                             Bank: Bank:</w:t>
      </w:r>
    </w:p>
    <w:p w14:paraId="3C675045">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Times New Roman" w:hAnsi="宋体" w:eastAsia="微软雅黑" w:cs="宋体"/>
          <w:color w:val="auto"/>
          <w:kern w:val="2"/>
          <w:sz w:val="24"/>
          <w:szCs w:val="24"/>
          <w:highlight w:val="none"/>
          <w:lang w:val="en-US" w:eastAsia="zh-CN" w:bidi="ar-SA"/>
        </w:rPr>
        <w:t>Account:                               Account:</w:t>
      </w:r>
    </w:p>
    <w:p w14:paraId="27534A78">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eastAsia="宋体" w:cs="宋体"/>
          <w:highlight w:val="none"/>
          <w:lang w:eastAsia="zh-CN"/>
        </w:rPr>
      </w:pPr>
      <w:r>
        <w:rPr>
          <w:rFonts w:hint="eastAsia" w:ascii="Times New Roman" w:hAnsi="宋体" w:eastAsia="微软雅黑" w:cs="宋体"/>
          <w:color w:val="auto"/>
          <w:kern w:val="2"/>
          <w:sz w:val="24"/>
          <w:szCs w:val="24"/>
          <w:highlight w:val="none"/>
          <w:lang w:val="en-US" w:eastAsia="zh-CN" w:bidi="ar-SA"/>
        </w:rPr>
        <w:t>Time:                               Time:</w:t>
      </w:r>
    </w:p>
    <w:p w14:paraId="02B95A5B">
      <w:pPr>
        <w:adjustRightInd w:val="0"/>
        <w:snapToGrid w:val="0"/>
        <w:spacing w:line="360" w:lineRule="auto"/>
        <w:rPr>
          <w:rFonts w:hint="eastAsia" w:asciiTheme="minorEastAsia" w:hAnsiTheme="minorEastAsia" w:eastAsiaTheme="minorEastAsia"/>
          <w:snapToGrid w:val="0"/>
          <w:sz w:val="20"/>
          <w:szCs w:val="20"/>
          <w:highlight w:val="none"/>
        </w:rPr>
      </w:pPr>
    </w:p>
    <w:p w14:paraId="6347CDE5">
      <w:pPr>
        <w:adjustRightInd w:val="0"/>
        <w:snapToGrid w:val="0"/>
        <w:spacing w:line="360" w:lineRule="auto"/>
        <w:rPr>
          <w:rFonts w:hint="eastAsia" w:asciiTheme="minorEastAsia" w:hAnsiTheme="minorEastAsia" w:eastAsiaTheme="minorEastAsia"/>
          <w:snapToGrid w:val="0"/>
          <w:sz w:val="20"/>
          <w:szCs w:val="20"/>
          <w:highlight w:val="none"/>
        </w:rPr>
      </w:pPr>
    </w:p>
    <w:p w14:paraId="7FCDB0A2">
      <w:pPr>
        <w:adjustRightInd w:val="0"/>
        <w:snapToGrid w:val="0"/>
        <w:spacing w:line="360" w:lineRule="auto"/>
        <w:rPr>
          <w:rFonts w:hint="eastAsia" w:asciiTheme="minorEastAsia" w:hAnsiTheme="minorEastAsia" w:eastAsiaTheme="minorEastAsia"/>
          <w:snapToGrid w:val="0"/>
          <w:sz w:val="20"/>
          <w:szCs w:val="20"/>
          <w:highlight w:val="none"/>
        </w:rPr>
      </w:pPr>
    </w:p>
    <w:p w14:paraId="04519DA2">
      <w:pPr>
        <w:adjustRightInd w:val="0"/>
        <w:snapToGrid w:val="0"/>
        <w:spacing w:line="360" w:lineRule="auto"/>
        <w:rPr>
          <w:rFonts w:hint="eastAsia" w:asciiTheme="minorEastAsia" w:hAnsiTheme="minorEastAsia" w:eastAsiaTheme="minorEastAsia"/>
          <w:snapToGrid w:val="0"/>
          <w:sz w:val="20"/>
          <w:szCs w:val="20"/>
          <w:highlight w:val="none"/>
        </w:rPr>
      </w:pPr>
    </w:p>
    <w:p w14:paraId="4B2E5160">
      <w:pPr>
        <w:adjustRightInd w:val="0"/>
        <w:snapToGrid w:val="0"/>
        <w:spacing w:line="360" w:lineRule="auto"/>
        <w:rPr>
          <w:rFonts w:hint="eastAsia" w:asciiTheme="minorEastAsia" w:hAnsiTheme="minorEastAsia" w:eastAsiaTheme="minorEastAsia"/>
          <w:snapToGrid w:val="0"/>
          <w:sz w:val="20"/>
          <w:szCs w:val="20"/>
          <w:highlight w:val="none"/>
        </w:rPr>
      </w:pPr>
    </w:p>
    <w:p w14:paraId="34DC613B">
      <w:pPr>
        <w:adjustRightInd w:val="0"/>
        <w:snapToGrid w:val="0"/>
        <w:spacing w:line="360" w:lineRule="auto"/>
        <w:rPr>
          <w:rFonts w:hint="eastAsia" w:asciiTheme="minorEastAsia" w:hAnsiTheme="minorEastAsia" w:eastAsiaTheme="minorEastAsia"/>
          <w:snapToGrid w:val="0"/>
          <w:sz w:val="20"/>
          <w:szCs w:val="20"/>
          <w:highlight w:val="none"/>
          <w:lang w:eastAsia="zh-CN"/>
        </w:rPr>
      </w:pPr>
      <w:r>
        <w:rPr>
          <w:rFonts w:hint="eastAsia" w:ascii="Times New Roman" w:eastAsia="微软雅黑" w:cs="Times New Roman" w:hAnsiTheme="minorEastAsia"/>
          <w:snapToGrid w:val="0"/>
          <w:kern w:val="2"/>
          <w:sz w:val="20"/>
          <w:szCs w:val="20"/>
          <w:highlight w:val="none"/>
          <w:lang w:val="en-US" w:eastAsia="zh-CN" w:bidi="ar-SA"/>
        </w:rPr>
        <w:t xml:space="preserve"> </w:t>
      </w:r>
    </w:p>
    <w:p w14:paraId="0A78389B">
      <w:pPr>
        <w:ind w:firstLine="2405" w:firstLineChars="499"/>
        <w:rPr>
          <w:rFonts w:hint="eastAsia" w:ascii="仿宋" w:hAnsi="仿宋" w:eastAsia="仿宋" w:cs="仿宋"/>
          <w:b/>
          <w:snapToGrid w:val="0"/>
          <w:sz w:val="48"/>
          <w:szCs w:val="48"/>
          <w:highlight w:val="none"/>
          <w:lang w:eastAsia="zh-CN"/>
        </w:rPr>
      </w:pPr>
    </w:p>
    <w:p w14:paraId="21188DB6">
      <w:pPr>
        <w:ind w:firstLine="2405" w:firstLineChars="499"/>
        <w:rPr>
          <w:rFonts w:hint="eastAsia" w:ascii="仿宋" w:hAnsi="仿宋" w:eastAsia="仿宋" w:cs="仿宋"/>
          <w:b/>
          <w:snapToGrid w:val="0"/>
          <w:sz w:val="48"/>
          <w:szCs w:val="48"/>
          <w:highlight w:val="none"/>
          <w:lang w:eastAsia="zh-CN"/>
        </w:rPr>
      </w:pPr>
    </w:p>
    <w:p w14:paraId="1F223B9D">
      <w:pPr>
        <w:ind w:firstLine="2405" w:firstLineChars="499"/>
        <w:rPr>
          <w:rFonts w:hint="eastAsia" w:ascii="仿宋" w:hAnsi="仿宋" w:eastAsia="仿宋" w:cs="仿宋"/>
          <w:b/>
          <w:snapToGrid w:val="0"/>
          <w:sz w:val="48"/>
          <w:szCs w:val="48"/>
          <w:highlight w:val="none"/>
          <w:lang w:eastAsia="zh-CN"/>
        </w:rPr>
      </w:pPr>
    </w:p>
    <w:p w14:paraId="6D7846FA">
      <w:pPr>
        <w:pStyle w:val="2"/>
        <w:keepNext w:val="0"/>
        <w:pageBreakBefore/>
        <w:spacing w:line="360" w:lineRule="auto"/>
        <w:rPr>
          <w:rFonts w:hint="eastAsia" w:ascii="宋体" w:hAnsi="宋体" w:eastAsia="宋体" w:cs="宋体"/>
          <w:highlight w:val="none"/>
          <w:lang w:eastAsia="zh-CN"/>
        </w:rPr>
      </w:pPr>
      <w:bookmarkStart w:id="249" w:name="_Toc31612"/>
      <w:bookmarkStart w:id="250" w:name="_Toc13336"/>
      <w:bookmarkStart w:id="251" w:name="_Toc2234"/>
      <w:bookmarkStart w:id="252" w:name="_Toc14970"/>
      <w:r>
        <w:rPr>
          <w:rFonts w:hint="eastAsia" w:ascii="Times New Roman" w:hAnsi="宋体" w:eastAsia="微软雅黑" w:cs="宋体"/>
          <w:b/>
          <w:kern w:val="44"/>
          <w:sz w:val="36"/>
          <w:szCs w:val="36"/>
          <w:highlight w:val="none"/>
          <w:lang w:val="en-US" w:eastAsia="zh-CN" w:bidi="ar-SA"/>
        </w:rPr>
        <w:t>Part VII: Format of the Tender Document</w:t>
      </w:r>
      <w:bookmarkEnd w:id="249"/>
      <w:bookmarkEnd w:id="250"/>
      <w:bookmarkEnd w:id="251"/>
      <w:bookmarkEnd w:id="252"/>
    </w:p>
    <w:p w14:paraId="4CEA38D1">
      <w:pPr>
        <w:adjustRightInd w:val="0"/>
        <w:snapToGrid w:val="0"/>
        <w:spacing w:line="360" w:lineRule="auto"/>
        <w:jc w:val="left"/>
        <w:rPr>
          <w:rFonts w:ascii="宋体" w:hAnsi="宋体" w:cs="宋体"/>
          <w:b/>
          <w:w w:val="120"/>
          <w:sz w:val="28"/>
          <w:szCs w:val="28"/>
          <w:highlight w:val="none"/>
        </w:rPr>
      </w:pPr>
    </w:p>
    <w:p w14:paraId="0829B9A7">
      <w:pPr>
        <w:adjustRightInd w:val="0"/>
        <w:snapToGrid w:val="0"/>
        <w:spacing w:line="360" w:lineRule="auto"/>
        <w:jc w:val="left"/>
        <w:rPr>
          <w:rFonts w:hint="eastAsia" w:ascii="宋体" w:hAnsi="宋体" w:eastAsia="宋体" w:cs="宋体"/>
          <w:b/>
          <w:w w:val="120"/>
          <w:sz w:val="28"/>
          <w:szCs w:val="28"/>
          <w:highlight w:val="none"/>
          <w:lang w:eastAsia="zh-CN"/>
        </w:rPr>
      </w:pPr>
      <w:bookmarkStart w:id="253" w:name="_Toc15364"/>
      <w:r>
        <w:rPr>
          <w:rFonts w:hint="eastAsia" w:ascii="Times New Roman" w:hAnsi="宋体" w:eastAsia="微软雅黑" w:cs="宋体"/>
          <w:b/>
          <w:w w:val="120"/>
          <w:kern w:val="2"/>
          <w:sz w:val="28"/>
          <w:szCs w:val="28"/>
          <w:highlight w:val="none"/>
          <w:lang w:val="en-US" w:eastAsia="zh-CN" w:bidi="ar-SA"/>
        </w:rPr>
        <w:t>Project Number: ZMZB2026YLYY-282 (Original or Copy)</w:t>
      </w:r>
      <w:bookmarkEnd w:id="253"/>
    </w:p>
    <w:p w14:paraId="2912E51F">
      <w:pPr>
        <w:rPr>
          <w:highlight w:val="none"/>
        </w:rPr>
      </w:pPr>
    </w:p>
    <w:p w14:paraId="5BF4CBA2">
      <w:pPr>
        <w:rPr>
          <w:highlight w:val="none"/>
        </w:rPr>
      </w:pPr>
    </w:p>
    <w:p w14:paraId="32FB9E68">
      <w:pPr>
        <w:rPr>
          <w:highlight w:val="none"/>
        </w:rPr>
      </w:pPr>
    </w:p>
    <w:p w14:paraId="2003CA8F">
      <w:pPr>
        <w:pStyle w:val="8"/>
        <w:rPr>
          <w:rFonts w:ascii="宋体" w:hAnsi="宋体" w:cs="宋体"/>
          <w:highlight w:val="none"/>
        </w:rPr>
      </w:pPr>
    </w:p>
    <w:p w14:paraId="4A399EC0">
      <w:pPr>
        <w:snapToGrid w:val="0"/>
        <w:spacing w:line="480" w:lineRule="auto"/>
        <w:ind w:left="-199" w:leftChars="-95"/>
        <w:jc w:val="center"/>
        <w:rPr>
          <w:rFonts w:hint="eastAsia" w:ascii="宋体" w:hAnsi="宋体" w:eastAsia="宋体" w:cs="宋体"/>
          <w:b/>
          <w:bCs/>
          <w:sz w:val="52"/>
          <w:szCs w:val="52"/>
          <w:highlight w:val="none"/>
          <w:lang w:eastAsia="zh-CN"/>
        </w:rPr>
      </w:pPr>
      <w:r>
        <w:rPr>
          <w:rFonts w:hint="eastAsia" w:ascii="Times New Roman" w:hAnsi="宋体" w:eastAsia="微软雅黑" w:cs="宋体"/>
          <w:b/>
          <w:bCs/>
          <w:kern w:val="2"/>
          <w:sz w:val="52"/>
          <w:szCs w:val="52"/>
          <w:highlight w:val="none"/>
          <w:lang w:val="en-US" w:eastAsia="zh-CN" w:bidi="ar-SA"/>
        </w:rPr>
        <w:t>Yangling Demonstration Zone Hospital</w:t>
      </w:r>
    </w:p>
    <w:p w14:paraId="7DF62536">
      <w:pPr>
        <w:snapToGrid w:val="0"/>
        <w:spacing w:line="480" w:lineRule="auto"/>
        <w:ind w:left="-199" w:leftChars="-95" w:right="-99" w:rightChars="-47"/>
        <w:jc w:val="center"/>
        <w:rPr>
          <w:rFonts w:hint="eastAsia" w:ascii="宋体" w:hAnsi="宋体" w:cs="宋体"/>
          <w:b/>
          <w:bCs/>
          <w:sz w:val="52"/>
          <w:szCs w:val="52"/>
          <w:highlight w:val="none"/>
          <w:lang w:eastAsia="zh-CN"/>
        </w:rPr>
      </w:pPr>
      <w:r>
        <w:rPr>
          <w:rFonts w:hint="eastAsia" w:ascii="Times New Roman" w:hAnsi="宋体" w:eastAsia="微软雅黑" w:cs="宋体"/>
          <w:b/>
          <w:bCs/>
          <w:kern w:val="2"/>
          <w:sz w:val="52"/>
          <w:szCs w:val="52"/>
          <w:highlight w:val="none"/>
          <w:lang w:val="en-US" w:eastAsia="zh-CN" w:bidi="ar-SA"/>
        </w:rPr>
        <w:t>Digital subtraction angiography (DSA) equipment</w:t>
      </w:r>
    </w:p>
    <w:p w14:paraId="386C0345">
      <w:pPr>
        <w:snapToGrid w:val="0"/>
        <w:spacing w:line="480" w:lineRule="auto"/>
        <w:ind w:left="-199" w:leftChars="-95" w:right="-99" w:rightChars="-47"/>
        <w:jc w:val="center"/>
        <w:rPr>
          <w:rFonts w:hint="eastAsia" w:ascii="宋体" w:hAnsi="宋体" w:eastAsia="宋体" w:cs="宋体"/>
          <w:b/>
          <w:bCs/>
          <w:sz w:val="52"/>
          <w:szCs w:val="52"/>
          <w:highlight w:val="none"/>
          <w:lang w:eastAsia="zh-CN"/>
        </w:rPr>
      </w:pPr>
      <w:r>
        <w:rPr>
          <w:rFonts w:hint="eastAsia" w:ascii="Times New Roman" w:hAnsi="宋体" w:eastAsia="微软雅黑" w:cs="宋体"/>
          <w:b/>
          <w:bCs/>
          <w:kern w:val="2"/>
          <w:sz w:val="52"/>
          <w:szCs w:val="52"/>
          <w:highlight w:val="none"/>
          <w:lang w:val="en-US" w:eastAsia="zh-CN" w:bidi="ar-SA"/>
        </w:rPr>
        <w:t>procurement project</w:t>
      </w:r>
    </w:p>
    <w:p w14:paraId="0F4A1D21">
      <w:pPr>
        <w:snapToGrid w:val="0"/>
        <w:spacing w:line="480" w:lineRule="auto"/>
        <w:ind w:firstLine="2891" w:firstLineChars="400"/>
        <w:rPr>
          <w:rFonts w:ascii="宋体" w:hAnsi="宋体" w:cs="宋体"/>
          <w:b/>
          <w:bCs/>
          <w:sz w:val="72"/>
          <w:szCs w:val="72"/>
          <w:highlight w:val="none"/>
        </w:rPr>
      </w:pPr>
    </w:p>
    <w:p w14:paraId="38A6DDFB">
      <w:pPr>
        <w:snapToGrid w:val="0"/>
        <w:spacing w:line="480" w:lineRule="auto"/>
        <w:ind w:firstLine="2881" w:firstLineChars="400"/>
        <w:rPr>
          <w:rFonts w:hint="eastAsia" w:ascii="宋体" w:hAnsi="宋体" w:eastAsia="宋体" w:cs="宋体"/>
          <w:b/>
          <w:bCs/>
          <w:sz w:val="72"/>
          <w:szCs w:val="72"/>
          <w:highlight w:val="none"/>
          <w:lang w:eastAsia="zh-CN"/>
        </w:rPr>
      </w:pPr>
      <w:r>
        <w:rPr>
          <w:rFonts w:hint="eastAsia" w:ascii="Times New Roman" w:hAnsi="宋体" w:eastAsia="微软雅黑" w:cs="宋体"/>
          <w:b/>
          <w:bCs/>
          <w:kern w:val="2"/>
          <w:sz w:val="72"/>
          <w:szCs w:val="72"/>
          <w:highlight w:val="none"/>
          <w:lang w:val="en-US" w:eastAsia="zh-CN" w:bidi="ar-SA"/>
        </w:rPr>
        <w:t>bidding documents</w:t>
      </w:r>
    </w:p>
    <w:p w14:paraId="27C48058">
      <w:pPr>
        <w:snapToGrid w:val="0"/>
        <w:spacing w:line="480" w:lineRule="auto"/>
        <w:jc w:val="left"/>
        <w:rPr>
          <w:rFonts w:hint="eastAsia" w:ascii="宋体" w:hAnsi="宋体" w:eastAsia="宋体" w:cs="宋体"/>
          <w:sz w:val="32"/>
          <w:szCs w:val="32"/>
          <w:highlight w:val="none"/>
          <w:lang w:eastAsia="zh-CN"/>
        </w:rPr>
      </w:pPr>
      <w:r>
        <w:rPr>
          <w:rFonts w:hint="eastAsia" w:ascii="Times New Roman" w:hAnsi="宋体" w:eastAsia="微软雅黑" w:cs="宋体"/>
          <w:kern w:val="2"/>
          <w:sz w:val="32"/>
          <w:szCs w:val="32"/>
          <w:highlight w:val="none"/>
          <w:lang w:val="en-US" w:eastAsia="zh-CN" w:bidi="ar-SA"/>
        </w:rPr>
        <w:t>Supplier (Company Name): _______________</w:t>
      </w:r>
    </w:p>
    <w:p w14:paraId="4DA26020">
      <w:pPr>
        <w:snapToGrid w:val="0"/>
        <w:spacing w:line="480" w:lineRule="auto"/>
        <w:jc w:val="left"/>
        <w:rPr>
          <w:rFonts w:hint="eastAsia" w:ascii="宋体" w:hAnsi="宋体" w:eastAsia="宋体" w:cs="宋体"/>
          <w:sz w:val="32"/>
          <w:szCs w:val="32"/>
          <w:highlight w:val="none"/>
          <w:lang w:eastAsia="zh-CN"/>
        </w:rPr>
      </w:pPr>
      <w:r>
        <w:rPr>
          <w:rFonts w:hint="eastAsia" w:ascii="Times New Roman" w:hAnsi="宋体" w:eastAsia="微软雅黑" w:cs="宋体"/>
          <w:kern w:val="2"/>
          <w:sz w:val="32"/>
          <w:szCs w:val="32"/>
          <w:highlight w:val="none"/>
          <w:lang w:val="en-US" w:eastAsia="zh-CN" w:bidi="ar-SA"/>
        </w:rPr>
        <w:t>Date: __________________</w:t>
      </w:r>
    </w:p>
    <w:p w14:paraId="4EDE131D">
      <w:pPr>
        <w:snapToGrid w:val="0"/>
        <w:spacing w:line="480" w:lineRule="auto"/>
        <w:jc w:val="left"/>
        <w:rPr>
          <w:rFonts w:ascii="宋体" w:hAnsi="宋体" w:cs="宋体"/>
          <w:sz w:val="32"/>
          <w:szCs w:val="32"/>
          <w:highlight w:val="none"/>
        </w:rPr>
      </w:pPr>
    </w:p>
    <w:p w14:paraId="188A924C">
      <w:pPr>
        <w:snapToGrid w:val="0"/>
        <w:spacing w:line="480" w:lineRule="auto"/>
        <w:jc w:val="left"/>
        <w:rPr>
          <w:rFonts w:ascii="宋体" w:hAnsi="宋体" w:cs="宋体"/>
          <w:sz w:val="32"/>
          <w:szCs w:val="32"/>
          <w:highlight w:val="none"/>
          <w:u w:val="single"/>
        </w:rPr>
      </w:pPr>
    </w:p>
    <w:p w14:paraId="32B7265C">
      <w:pPr>
        <w:pageBreakBefore/>
        <w:spacing w:before="319" w:beforeLines="100" w:after="478" w:afterLines="150" w:line="500" w:lineRule="exact"/>
        <w:ind w:firstLine="720" w:firstLineChars="200"/>
        <w:jc w:val="center"/>
        <w:rPr>
          <w:rFonts w:hint="eastAsia" w:ascii="宋体" w:hAnsi="宋体" w:eastAsia="宋体" w:cs="宋体"/>
          <w:b/>
          <w:sz w:val="50"/>
          <w:highlight w:val="none"/>
          <w:lang w:eastAsia="zh-CN"/>
        </w:rPr>
      </w:pPr>
      <w:r>
        <w:rPr>
          <w:rFonts w:hint="eastAsia" w:ascii="Times New Roman" w:hAnsi="宋体" w:eastAsia="微软雅黑" w:cs="宋体"/>
          <w:b/>
          <w:kern w:val="2"/>
          <w:sz w:val="36"/>
          <w:szCs w:val="36"/>
          <w:highlight w:val="none"/>
          <w:lang w:val="en-US" w:eastAsia="zh-CN" w:bidi="ar-SA"/>
        </w:rPr>
        <w:t>catalogue</w:t>
      </w:r>
    </w:p>
    <w:p w14:paraId="2C868747">
      <w:pPr>
        <w:pStyle w:val="14"/>
        <w:snapToGrid w:val="0"/>
        <w:spacing w:line="480" w:lineRule="auto"/>
        <w:ind w:firstLine="560" w:firstLineChars="200"/>
        <w:jc w:val="left"/>
        <w:rPr>
          <w:rFonts w:hint="eastAsia" w:hAnsi="宋体" w:eastAsia="宋体" w:cs="宋体"/>
          <w:b/>
          <w:bCs/>
          <w:sz w:val="28"/>
          <w:szCs w:val="28"/>
          <w:highlight w:val="none"/>
          <w:lang w:eastAsia="zh-CN"/>
        </w:rPr>
      </w:pPr>
      <w:r>
        <w:rPr>
          <w:rFonts w:hint="eastAsia" w:ascii="Times New Roman" w:hAnsi="宋体" w:eastAsia="微软雅黑" w:cs="宋体"/>
          <w:b/>
          <w:bCs/>
          <w:kern w:val="2"/>
          <w:sz w:val="28"/>
          <w:szCs w:val="28"/>
          <w:highlight w:val="none"/>
          <w:lang w:val="en-US" w:eastAsia="zh-CN" w:bidi="ar-SA"/>
        </w:rPr>
        <w:t>Part 1: Tender Document</w:t>
      </w:r>
    </w:p>
    <w:p w14:paraId="484E671D">
      <w:pPr>
        <w:snapToGrid w:val="0"/>
        <w:spacing w:line="480" w:lineRule="auto"/>
        <w:ind w:firstLine="560" w:firstLineChars="200"/>
        <w:jc w:val="left"/>
        <w:rPr>
          <w:rFonts w:hint="eastAsia" w:ascii="宋体" w:hAnsi="宋体" w:eastAsia="宋体" w:cs="宋体"/>
          <w:b/>
          <w:sz w:val="28"/>
          <w:szCs w:val="28"/>
          <w:highlight w:val="none"/>
          <w:lang w:eastAsia="zh-CN"/>
        </w:rPr>
      </w:pPr>
      <w:r>
        <w:rPr>
          <w:rFonts w:hint="eastAsia" w:ascii="Times New Roman" w:hAnsi="宋体" w:eastAsia="微软雅黑" w:cs="宋体"/>
          <w:b/>
          <w:kern w:val="2"/>
          <w:sz w:val="28"/>
          <w:szCs w:val="28"/>
          <w:highlight w:val="none"/>
          <w:lang w:val="en-US" w:eastAsia="zh-CN" w:bidi="ar-SA"/>
        </w:rPr>
        <w:t>Part Two: Quotation Overview Table</w:t>
      </w:r>
    </w:p>
    <w:p w14:paraId="7D521668">
      <w:pPr>
        <w:pStyle w:val="14"/>
        <w:snapToGrid w:val="0"/>
        <w:spacing w:line="480" w:lineRule="auto"/>
        <w:ind w:firstLine="560" w:firstLineChars="200"/>
        <w:jc w:val="left"/>
        <w:rPr>
          <w:rFonts w:hint="eastAsia" w:hAnsi="宋体" w:eastAsia="宋体" w:cs="宋体"/>
          <w:b/>
          <w:kern w:val="0"/>
          <w:sz w:val="28"/>
          <w:szCs w:val="28"/>
          <w:highlight w:val="none"/>
          <w:lang w:eastAsia="zh-CN"/>
        </w:rPr>
      </w:pPr>
      <w:r>
        <w:rPr>
          <w:rFonts w:hint="eastAsia" w:ascii="Times New Roman" w:hAnsi="宋体" w:eastAsia="微软雅黑" w:cs="宋体"/>
          <w:b/>
          <w:kern w:val="0"/>
          <w:sz w:val="28"/>
          <w:szCs w:val="28"/>
          <w:highlight w:val="none"/>
          <w:lang w:val="en-US" w:eastAsia="zh-CN" w:bidi="ar-SA"/>
        </w:rPr>
        <w:t>Part Three: Description of Business and Technical Responses</w:t>
      </w:r>
    </w:p>
    <w:p w14:paraId="2F4F7B57">
      <w:pPr>
        <w:pStyle w:val="14"/>
        <w:snapToGrid w:val="0"/>
        <w:spacing w:line="480" w:lineRule="auto"/>
        <w:ind w:firstLine="560" w:firstLineChars="200"/>
        <w:jc w:val="left"/>
        <w:rPr>
          <w:rFonts w:hint="eastAsia" w:hAnsi="宋体" w:eastAsia="宋体" w:cs="宋体"/>
          <w:b/>
          <w:bCs/>
          <w:sz w:val="28"/>
          <w:szCs w:val="28"/>
          <w:highlight w:val="none"/>
          <w:lang w:eastAsia="zh-CN"/>
        </w:rPr>
      </w:pPr>
      <w:r>
        <w:rPr>
          <w:rFonts w:hint="eastAsia" w:ascii="Times New Roman" w:hAnsi="宋体" w:eastAsia="微软雅黑" w:cs="宋体"/>
          <w:b/>
          <w:kern w:val="2"/>
          <w:sz w:val="28"/>
          <w:szCs w:val="28"/>
          <w:highlight w:val="none"/>
          <w:lang w:val="en-US" w:eastAsia="zh-CN" w:bidi="ar-SA"/>
        </w:rPr>
        <w:t>Part IV: Supplier Qualification Requirements</w:t>
      </w:r>
    </w:p>
    <w:p w14:paraId="63FEE9EA">
      <w:pPr>
        <w:pStyle w:val="14"/>
        <w:snapToGrid w:val="0"/>
        <w:spacing w:line="480" w:lineRule="auto"/>
        <w:ind w:firstLine="560" w:firstLineChars="200"/>
        <w:jc w:val="left"/>
        <w:rPr>
          <w:rFonts w:hint="default" w:hAnsi="宋体" w:eastAsia="宋体" w:cs="宋体"/>
          <w:b/>
          <w:sz w:val="28"/>
          <w:szCs w:val="28"/>
          <w:highlight w:val="none"/>
          <w:lang w:val="en-US" w:eastAsia="zh-CN"/>
        </w:rPr>
      </w:pPr>
      <w:r>
        <w:rPr>
          <w:rFonts w:hint="eastAsia" w:ascii="Times New Roman" w:hAnsi="宋体" w:eastAsia="微软雅黑" w:cs="宋体"/>
          <w:b/>
          <w:kern w:val="2"/>
          <w:sz w:val="28"/>
          <w:szCs w:val="28"/>
          <w:highlight w:val="none"/>
          <w:lang w:val="en-US" w:eastAsia="zh-CN" w:bidi="ar-SA"/>
        </w:rPr>
        <w:t>Part Five: Legitimate Sources of Information</w:t>
      </w:r>
    </w:p>
    <w:p w14:paraId="6EB3FCD5">
      <w:pPr>
        <w:snapToGrid w:val="0"/>
        <w:spacing w:line="480" w:lineRule="auto"/>
        <w:ind w:firstLine="560" w:firstLineChars="200"/>
        <w:jc w:val="left"/>
        <w:rPr>
          <w:rFonts w:hint="default" w:ascii="宋体" w:hAnsi="宋体" w:eastAsia="宋体" w:cs="宋体"/>
          <w:b/>
          <w:bCs/>
          <w:sz w:val="28"/>
          <w:szCs w:val="28"/>
          <w:highlight w:val="none"/>
          <w:lang w:val="en-US" w:eastAsia="zh-CN"/>
        </w:rPr>
      </w:pPr>
      <w:r>
        <w:rPr>
          <w:rFonts w:hint="eastAsia" w:ascii="Times New Roman" w:hAnsi="宋体" w:eastAsia="微软雅黑" w:cs="宋体"/>
          <w:b/>
          <w:kern w:val="2"/>
          <w:sz w:val="28"/>
          <w:szCs w:val="28"/>
          <w:highlight w:val="none"/>
          <w:lang w:val="en-US" w:eastAsia="zh-CN" w:bidi="ar-SA"/>
        </w:rPr>
        <w:t>Part VI: Implementation Plan</w:t>
      </w:r>
    </w:p>
    <w:p w14:paraId="639FEBC8">
      <w:pPr>
        <w:snapToGrid w:val="0"/>
        <w:spacing w:line="480" w:lineRule="auto"/>
        <w:ind w:firstLine="560" w:firstLineChars="200"/>
        <w:jc w:val="left"/>
        <w:rPr>
          <w:rFonts w:ascii="宋体" w:hAnsi="宋体" w:cs="宋体"/>
          <w:b/>
          <w:bCs/>
          <w:sz w:val="28"/>
          <w:szCs w:val="28"/>
          <w:highlight w:val="none"/>
        </w:rPr>
      </w:pPr>
      <w:r>
        <w:rPr>
          <w:rFonts w:hint="eastAsia" w:ascii="Times New Roman" w:hAnsi="宋体" w:eastAsia="微软雅黑" w:cs="宋体"/>
          <w:b/>
          <w:bCs/>
          <w:kern w:val="2"/>
          <w:sz w:val="28"/>
          <w:szCs w:val="28"/>
          <w:highlight w:val="none"/>
          <w:lang w:val="en-US" w:eastAsia="zh-CN" w:bidi="ar-SA"/>
        </w:rPr>
        <w:t>Part Seven: After-sales Service Solutions</w:t>
      </w:r>
    </w:p>
    <w:p w14:paraId="351C1870">
      <w:pPr>
        <w:snapToGrid w:val="0"/>
        <w:spacing w:line="480" w:lineRule="auto"/>
        <w:ind w:firstLine="560" w:firstLineChars="200"/>
        <w:jc w:val="left"/>
        <w:rPr>
          <w:rFonts w:hint="eastAsia" w:ascii="宋体" w:hAnsi="宋体" w:cs="宋体"/>
          <w:b/>
          <w:bCs/>
          <w:sz w:val="28"/>
          <w:szCs w:val="28"/>
          <w:highlight w:val="none"/>
          <w:lang w:val="en-US" w:eastAsia="zh-CN"/>
        </w:rPr>
      </w:pPr>
      <w:r>
        <w:rPr>
          <w:rFonts w:hint="eastAsia" w:ascii="Times New Roman" w:hAnsi="宋体" w:eastAsia="微软雅黑" w:cs="宋体"/>
          <w:b/>
          <w:bCs/>
          <w:kern w:val="2"/>
          <w:sz w:val="28"/>
          <w:szCs w:val="28"/>
          <w:highlight w:val="none"/>
          <w:lang w:val="en-US" w:eastAsia="zh-CN" w:bidi="ar-SA"/>
        </w:rPr>
        <w:t>Part VIII: Training Program</w:t>
      </w:r>
    </w:p>
    <w:p w14:paraId="4E2B1017">
      <w:pPr>
        <w:snapToGrid w:val="0"/>
        <w:spacing w:line="480" w:lineRule="auto"/>
        <w:ind w:firstLine="560" w:firstLineChars="200"/>
        <w:jc w:val="left"/>
        <w:rPr>
          <w:rFonts w:hint="eastAsia" w:ascii="宋体" w:hAnsi="宋体" w:eastAsia="宋体" w:cs="宋体"/>
          <w:b/>
          <w:bCs/>
          <w:sz w:val="28"/>
          <w:szCs w:val="28"/>
          <w:highlight w:val="none"/>
          <w:lang w:eastAsia="zh-CN"/>
        </w:rPr>
      </w:pPr>
      <w:r>
        <w:rPr>
          <w:rFonts w:hint="eastAsia" w:ascii="Times New Roman" w:hAnsi="宋体" w:eastAsia="微软雅黑" w:cs="宋体"/>
          <w:b/>
          <w:bCs/>
          <w:kern w:val="2"/>
          <w:sz w:val="28"/>
          <w:szCs w:val="28"/>
          <w:highlight w:val="none"/>
          <w:lang w:val="en-US" w:eastAsia="zh-CN" w:bidi="ar-SA"/>
        </w:rPr>
        <w:t>Part IX: Performance Summary Table</w:t>
      </w:r>
    </w:p>
    <w:p w14:paraId="1E746C4D">
      <w:pPr>
        <w:snapToGrid w:val="0"/>
        <w:spacing w:line="480" w:lineRule="auto"/>
        <w:ind w:firstLine="560" w:firstLineChars="200"/>
        <w:jc w:val="left"/>
        <w:rPr>
          <w:rFonts w:hint="eastAsia" w:ascii="宋体" w:hAnsi="宋体" w:eastAsia="宋体" w:cs="宋体"/>
          <w:b/>
          <w:bCs/>
          <w:sz w:val="28"/>
          <w:szCs w:val="28"/>
          <w:highlight w:val="none"/>
          <w:lang w:eastAsia="zh-CN"/>
        </w:rPr>
      </w:pPr>
      <w:r>
        <w:rPr>
          <w:rFonts w:hint="eastAsia" w:ascii="Times New Roman" w:hAnsi="宋体" w:eastAsia="微软雅黑" w:cs="宋体"/>
          <w:b/>
          <w:bCs/>
          <w:kern w:val="2"/>
          <w:sz w:val="28"/>
          <w:szCs w:val="28"/>
          <w:highlight w:val="none"/>
          <w:lang w:val="en-US" w:eastAsia="zh-CN" w:bidi="ar-SA"/>
        </w:rPr>
        <w:t>Part Ten: Other Issues That the Supplier Deems Necessary to State</w:t>
      </w:r>
    </w:p>
    <w:p w14:paraId="7DFDBE3E">
      <w:pPr>
        <w:pStyle w:val="3"/>
        <w:pageBreakBefore/>
        <w:spacing w:line="360" w:lineRule="auto"/>
        <w:jc w:val="center"/>
        <w:rPr>
          <w:rFonts w:hint="eastAsia" w:ascii="宋体" w:hAnsi="宋体" w:eastAsia="宋体" w:cs="宋体"/>
          <w:sz w:val="36"/>
          <w:szCs w:val="36"/>
          <w:highlight w:val="none"/>
          <w:lang w:eastAsia="zh-CN"/>
        </w:rPr>
      </w:pPr>
      <w:bookmarkStart w:id="254" w:name="_Toc23062"/>
      <w:bookmarkStart w:id="255" w:name="_Toc23980"/>
      <w:bookmarkStart w:id="256" w:name="_Toc5457"/>
      <w:r>
        <w:rPr>
          <w:rFonts w:hint="eastAsia" w:ascii="Times New Roman" w:hAnsi="宋体" w:eastAsia="微软雅黑" w:cs="宋体"/>
          <w:b/>
          <w:kern w:val="2"/>
          <w:sz w:val="36"/>
          <w:szCs w:val="36"/>
          <w:highlight w:val="none"/>
          <w:lang w:val="en-US" w:eastAsia="zh-CN" w:bidi="ar-SA"/>
        </w:rPr>
        <w:t>Part 1: Tender Document</w:t>
      </w:r>
      <w:bookmarkEnd w:id="254"/>
      <w:bookmarkEnd w:id="255"/>
      <w:bookmarkEnd w:id="256"/>
    </w:p>
    <w:p w14:paraId="17305A13">
      <w:pPr>
        <w:adjustRightInd w:val="0"/>
        <w:snapToGrid w:val="0"/>
        <w:spacing w:line="276" w:lineRule="auto"/>
        <w:jc w:val="left"/>
        <w:rPr>
          <w:rFonts w:hint="eastAsia" w:ascii="宋体" w:hAnsi="宋体" w:eastAsia="宋体" w:cs="宋体"/>
          <w:bCs/>
          <w:sz w:val="28"/>
          <w:szCs w:val="28"/>
          <w:highlight w:val="none"/>
          <w:lang w:eastAsia="zh-CN"/>
        </w:rPr>
      </w:pPr>
      <w:r>
        <w:rPr>
          <w:rFonts w:hint="eastAsia" w:ascii="Times New Roman" w:hAnsi="宋体" w:eastAsia="微软雅黑" w:cs="宋体"/>
          <w:bCs/>
          <w:kern w:val="2"/>
          <w:sz w:val="28"/>
          <w:szCs w:val="28"/>
          <w:highlight w:val="none"/>
          <w:lang w:val="en-US" w:eastAsia="zh-CN" w:bidi="ar-SA"/>
        </w:rPr>
        <w:t>Shaanxi Zhuoqi Project Management Co., Ltd.:</w:t>
      </w:r>
    </w:p>
    <w:p w14:paraId="4E899DE3">
      <w:pPr>
        <w:adjustRightInd w:val="0"/>
        <w:snapToGrid w:val="0"/>
        <w:spacing w:line="360" w:lineRule="auto"/>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Our organization has received the tender document numbered ZMZB2026YLYY-282. After thorough review, our company has decided to participate in this tender process. Accordingly, we hereby solemnly undertake the following commitments and assume full legal responsibility therefor.</w:t>
      </w:r>
    </w:p>
    <w:p w14:paraId="523C6DBE">
      <w:pPr>
        <w:adjustRightInd w:val="0"/>
        <w:snapToGrid w:val="0"/>
        <w:spacing w:line="360" w:lineRule="auto"/>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1. Willing to provide qualified products and comprehensive technical services in full compliance with all requirements specified in the tender documents, and to fulfill all contractual responsibilities and obligations.</w:t>
      </w:r>
    </w:p>
    <w:p w14:paraId="01D1199E">
      <w:pPr>
        <w:adjustRightInd w:val="0"/>
        <w:snapToGrid w:val="0"/>
        <w:spacing w:line="360" w:lineRule="auto"/>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2. We have carefully reviewed the tender documents, fully understand them, and hereby waive our right to raise ambiguous or misleading questions.</w:t>
      </w:r>
    </w:p>
    <w:p w14:paraId="1CC25FFC">
      <w:pPr>
        <w:adjustRightInd w:val="0"/>
        <w:snapToGrid w:val="0"/>
        <w:spacing w:line="360" w:lineRule="auto"/>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3. If we withdraw our tender documents and commitments within the specified validity period after submission, our security deposit will be forfeited by the other party.</w:t>
      </w:r>
    </w:p>
    <w:p w14:paraId="1A64E8AE">
      <w:pPr>
        <w:adjustRightInd w:val="0"/>
        <w:snapToGrid w:val="0"/>
        <w:spacing w:line="360" w:lineRule="auto"/>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4. I agree to provide you with any evidence materials related to this tender that you may require.</w:t>
      </w:r>
    </w:p>
    <w:p w14:paraId="325936B8">
      <w:pPr>
        <w:adjustRightInd w:val="0"/>
        <w:snapToGrid w:val="0"/>
        <w:spacing w:line="360" w:lineRule="auto"/>
        <w:ind w:firstLine="480" w:firstLineChars="200"/>
        <w:jc w:val="left"/>
        <w:rPr>
          <w:rFonts w:hint="eastAsia" w:ascii="宋体" w:hAnsi="宋体" w:eastAsia="宋体" w:cs="宋体"/>
          <w:b/>
          <w:bCs/>
          <w:sz w:val="24"/>
          <w:szCs w:val="24"/>
          <w:highlight w:val="none"/>
          <w:lang w:eastAsia="zh-CN"/>
        </w:rPr>
      </w:pPr>
      <w:r>
        <w:rPr>
          <w:rFonts w:hint="eastAsia" w:ascii="Times New Roman" w:hAnsi="宋体" w:eastAsia="微软雅黑" w:cs="宋体"/>
          <w:b/>
          <w:bCs/>
          <w:kern w:val="2"/>
          <w:sz w:val="24"/>
          <w:szCs w:val="24"/>
          <w:highlight w:val="none"/>
          <w:lang w:val="en-US" w:eastAsia="zh-CN" w:bidi="ar-SA"/>
        </w:rPr>
        <w:t>5. We hereby confirm that the bid validity period shall be valid for ________ calendar days following bid opening.</w:t>
      </w:r>
    </w:p>
    <w:p w14:paraId="42C065BD">
      <w:pPr>
        <w:adjustRightInd w:val="0"/>
        <w:snapToGrid w:val="0"/>
        <w:spacing w:line="360" w:lineRule="auto"/>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6. All correspondence regarding this tender shall be sent to the following address:</w:t>
      </w:r>
    </w:p>
    <w:p w14:paraId="63641394">
      <w:pPr>
        <w:adjustRightInd w:val="0"/>
        <w:snapToGrid w:val="0"/>
        <w:spacing w:line="360" w:lineRule="auto"/>
        <w:ind w:firstLine="480" w:firstLineChars="200"/>
        <w:jc w:val="left"/>
        <w:rPr>
          <w:rFonts w:hint="eastAsia" w:ascii="宋体" w:hAnsi="宋体" w:eastAsia="宋体" w:cs="宋体"/>
          <w:sz w:val="24"/>
          <w:szCs w:val="24"/>
          <w:highlight w:val="none"/>
          <w:u w:val="single"/>
          <w:lang w:eastAsia="zh-CN"/>
        </w:rPr>
      </w:pPr>
      <w:r>
        <w:rPr>
          <w:rFonts w:hint="eastAsia" w:ascii="Times New Roman" w:hAnsi="宋体" w:eastAsia="微软雅黑" w:cs="宋体"/>
          <w:kern w:val="2"/>
          <w:sz w:val="24"/>
          <w:szCs w:val="22"/>
          <w:highlight w:val="none"/>
          <w:lang w:val="en-US" w:eastAsia="zh-CN" w:bidi="ar-SA"/>
        </w:rPr>
        <w:t>Supplier (Company Name and Official Seal): ______________________</w:t>
      </w:r>
    </w:p>
    <w:p w14:paraId="727AB7EB">
      <w:pPr>
        <w:adjustRightInd w:val="0"/>
        <w:snapToGrid w:val="0"/>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2"/>
          <w:highlight w:val="none"/>
          <w:lang w:val="en-US" w:eastAsia="zh-CN" w:bidi="ar-SA"/>
        </w:rPr>
        <w:t>Legal Representative or Authorized Person (Signature or Seal): ______________________</w:t>
      </w:r>
    </w:p>
    <w:p w14:paraId="5A09BF4F">
      <w:pPr>
        <w:adjustRightInd w:val="0"/>
        <w:snapToGrid w:val="0"/>
        <w:spacing w:line="360" w:lineRule="auto"/>
        <w:ind w:firstLine="480" w:firstLineChars="200"/>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2"/>
          <w:highlight w:val="none"/>
          <w:lang w:val="en-US" w:eastAsia="zh-CN" w:bidi="ar-SA"/>
        </w:rPr>
        <w:t>Address: ____________________</w:t>
      </w:r>
    </w:p>
    <w:p w14:paraId="17DFF32D">
      <w:pPr>
        <w:adjustRightInd w:val="0"/>
        <w:snapToGrid w:val="0"/>
        <w:spacing w:line="360" w:lineRule="auto"/>
        <w:ind w:firstLine="480" w:firstLineChars="200"/>
        <w:jc w:val="left"/>
        <w:rPr>
          <w:rFonts w:hint="eastAsia" w:ascii="宋体" w:hAnsi="宋体" w:eastAsia="宋体" w:cs="宋体"/>
          <w:sz w:val="24"/>
          <w:szCs w:val="24"/>
          <w:highlight w:val="none"/>
          <w:u w:val="single"/>
          <w:lang w:eastAsia="zh-CN"/>
        </w:rPr>
      </w:pPr>
      <w:r>
        <w:rPr>
          <w:rFonts w:hint="eastAsia" w:ascii="Times New Roman" w:hAnsi="宋体" w:eastAsia="微软雅黑" w:cs="宋体"/>
          <w:kern w:val="2"/>
          <w:sz w:val="24"/>
          <w:szCs w:val="22"/>
          <w:highlight w:val="none"/>
          <w:lang w:val="en-US" w:eastAsia="zh-CN" w:bidi="ar-SA"/>
        </w:rPr>
        <w:t>Bank: ______________________</w:t>
      </w:r>
    </w:p>
    <w:p w14:paraId="6FADCADC">
      <w:pPr>
        <w:adjustRightInd w:val="0"/>
        <w:snapToGrid w:val="0"/>
        <w:spacing w:line="360" w:lineRule="auto"/>
        <w:ind w:firstLine="480" w:firstLineChars="200"/>
        <w:jc w:val="left"/>
        <w:rPr>
          <w:rFonts w:hint="eastAsia" w:ascii="宋体" w:hAnsi="宋体" w:eastAsia="宋体" w:cs="宋体"/>
          <w:sz w:val="24"/>
          <w:szCs w:val="24"/>
          <w:highlight w:val="none"/>
          <w:u w:val="single"/>
          <w:lang w:eastAsia="zh-CN"/>
        </w:rPr>
      </w:pPr>
      <w:r>
        <w:rPr>
          <w:rFonts w:hint="eastAsia" w:ascii="Times New Roman" w:hAnsi="宋体" w:eastAsia="微软雅黑" w:cs="宋体"/>
          <w:kern w:val="2"/>
          <w:sz w:val="24"/>
          <w:szCs w:val="22"/>
          <w:highlight w:val="none"/>
          <w:lang w:val="en-US" w:eastAsia="zh-CN" w:bidi="ar-SA"/>
        </w:rPr>
        <w:t>Account Number: ____________________</w:t>
      </w:r>
    </w:p>
    <w:p w14:paraId="58727942">
      <w:pPr>
        <w:adjustRightInd w:val="0"/>
        <w:snapToGrid w:val="0"/>
        <w:spacing w:line="360" w:lineRule="auto"/>
        <w:ind w:firstLine="480" w:firstLineChars="200"/>
        <w:jc w:val="left"/>
        <w:rPr>
          <w:rFonts w:hint="eastAsia" w:ascii="宋体" w:hAnsi="宋体" w:eastAsia="宋体" w:cs="宋体"/>
          <w:sz w:val="24"/>
          <w:szCs w:val="24"/>
          <w:highlight w:val="none"/>
          <w:u w:val="single"/>
          <w:lang w:eastAsia="zh-CN"/>
        </w:rPr>
      </w:pPr>
      <w:r>
        <w:rPr>
          <w:rFonts w:hint="eastAsia" w:ascii="Times New Roman" w:hAnsi="宋体" w:eastAsia="微软雅黑" w:cs="宋体"/>
          <w:kern w:val="2"/>
          <w:sz w:val="24"/>
          <w:szCs w:val="22"/>
          <w:highlight w:val="none"/>
          <w:lang w:val="en-US" w:eastAsia="zh-CN" w:bidi="ar-SA"/>
        </w:rPr>
        <w:t>Phone: ____________________</w:t>
      </w:r>
    </w:p>
    <w:p w14:paraId="73650466">
      <w:pPr>
        <w:adjustRightInd w:val="0"/>
        <w:snapToGrid w:val="0"/>
        <w:spacing w:line="360" w:lineRule="auto"/>
        <w:ind w:firstLine="480" w:firstLineChars="200"/>
        <w:jc w:val="left"/>
        <w:rPr>
          <w:rFonts w:hint="eastAsia" w:ascii="宋体" w:hAnsi="宋体" w:eastAsia="宋体" w:cs="宋体"/>
          <w:sz w:val="24"/>
          <w:szCs w:val="24"/>
          <w:highlight w:val="none"/>
          <w:u w:val="single"/>
          <w:lang w:eastAsia="zh-CN"/>
        </w:rPr>
      </w:pPr>
      <w:r>
        <w:rPr>
          <w:rFonts w:hint="eastAsia" w:ascii="Times New Roman" w:hAnsi="宋体" w:eastAsia="微软雅黑" w:cs="宋体"/>
          <w:kern w:val="2"/>
          <w:sz w:val="24"/>
          <w:szCs w:val="22"/>
          <w:highlight w:val="none"/>
          <w:lang w:val="en-US" w:eastAsia="zh-CN" w:bidi="ar-SA"/>
        </w:rPr>
        <w:t>Fax: ______________________</w:t>
      </w:r>
    </w:p>
    <w:p w14:paraId="6DDC0BFD">
      <w:pPr>
        <w:adjustRightInd w:val="0"/>
        <w:snapToGrid w:val="0"/>
        <w:spacing w:line="360" w:lineRule="auto"/>
        <w:ind w:firstLine="480" w:firstLineChars="200"/>
        <w:jc w:val="left"/>
        <w:rPr>
          <w:rFonts w:hint="eastAsia" w:ascii="宋体" w:hAnsi="宋体" w:eastAsia="宋体" w:cs="宋体"/>
          <w:sz w:val="24"/>
          <w:szCs w:val="24"/>
          <w:highlight w:val="none"/>
          <w:u w:val="single"/>
          <w:lang w:eastAsia="zh-CN"/>
        </w:rPr>
      </w:pPr>
      <w:r>
        <w:rPr>
          <w:rFonts w:hint="eastAsia" w:ascii="Times New Roman" w:hAnsi="宋体" w:eastAsia="微软雅黑" w:cs="宋体"/>
          <w:kern w:val="2"/>
          <w:sz w:val="24"/>
          <w:szCs w:val="22"/>
          <w:highlight w:val="none"/>
          <w:lang w:val="en-US" w:eastAsia="zh-CN" w:bidi="ar-SA"/>
        </w:rPr>
        <w:t>Postal Code: ______________________</w:t>
      </w:r>
    </w:p>
    <w:p w14:paraId="7DFD5818">
      <w:pPr>
        <w:adjustRightInd w:val="0"/>
        <w:snapToGrid w:val="0"/>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Date: _____ Year _____ Month _____ Day</w:t>
      </w:r>
    </w:p>
    <w:p w14:paraId="71E71B21">
      <w:pPr>
        <w:pStyle w:val="3"/>
        <w:numPr>
          <w:ilvl w:val="0"/>
          <w:numId w:val="9"/>
        </w:numPr>
        <w:spacing w:before="319" w:beforeLines="100" w:after="478" w:afterLines="150" w:line="500" w:lineRule="exact"/>
        <w:jc w:val="center"/>
        <w:rPr>
          <w:rFonts w:ascii="宋体" w:hAnsi="宋体" w:cs="宋体"/>
          <w:sz w:val="36"/>
          <w:szCs w:val="36"/>
          <w:highlight w:val="none"/>
        </w:rPr>
        <w:sectPr>
          <w:headerReference r:id="rId12" w:type="default"/>
          <w:footerReference r:id="rId13" w:type="default"/>
          <w:pgSz w:w="11906" w:h="16838"/>
          <w:pgMar w:top="1440" w:right="1803" w:bottom="1440" w:left="1403" w:header="851" w:footer="992" w:gutter="0"/>
          <w:pgNumType w:fmt="decimal"/>
          <w:cols w:space="720" w:num="1"/>
          <w:docGrid w:type="lines" w:linePitch="319" w:charSpace="0"/>
        </w:sectPr>
      </w:pPr>
    </w:p>
    <w:p w14:paraId="022A1C94">
      <w:pPr>
        <w:pStyle w:val="3"/>
        <w:numPr>
          <w:ilvl w:val="0"/>
          <w:numId w:val="0"/>
        </w:numPr>
        <w:spacing w:before="319" w:beforeLines="100" w:after="478" w:afterLines="150" w:line="500" w:lineRule="exact"/>
        <w:jc w:val="center"/>
        <w:rPr>
          <w:rFonts w:hint="eastAsia" w:ascii="宋体" w:hAnsi="宋体" w:eastAsia="宋体" w:cs="宋体"/>
          <w:sz w:val="36"/>
          <w:szCs w:val="36"/>
          <w:highlight w:val="none"/>
          <w:lang w:eastAsia="zh-CN"/>
        </w:rPr>
      </w:pPr>
      <w:bookmarkStart w:id="257" w:name="_Toc28494"/>
      <w:bookmarkStart w:id="258" w:name="_Toc21261"/>
      <w:r>
        <w:rPr>
          <w:rFonts w:hint="eastAsia" w:ascii="Times New Roman" w:hAnsi="宋体" w:eastAsia="微软雅黑" w:cs="宋体"/>
          <w:b/>
          <w:kern w:val="2"/>
          <w:sz w:val="36"/>
          <w:szCs w:val="36"/>
          <w:highlight w:val="none"/>
          <w:lang w:val="en-US" w:eastAsia="zh-CN" w:bidi="ar-SA"/>
        </w:rPr>
        <w:t xml:space="preserve">Part </w:t>
      </w:r>
      <w:bookmarkEnd w:id="257"/>
      <w:bookmarkStart w:id="259" w:name="_Toc6261"/>
      <w:bookmarkStart w:id="260" w:name="_Toc12164"/>
      <w:r>
        <w:rPr>
          <w:rFonts w:hint="eastAsia" w:ascii="Times New Roman" w:hAnsi="宋体" w:eastAsia="微软雅黑" w:cs="宋体"/>
          <w:b/>
          <w:kern w:val="2"/>
          <w:sz w:val="36"/>
          <w:szCs w:val="36"/>
          <w:highlight w:val="none"/>
          <w:lang w:val="en-US" w:eastAsia="zh-CN" w:bidi="ar-SA"/>
        </w:rPr>
        <w:t xml:space="preserve">Two: </w:t>
      </w:r>
      <w:bookmarkEnd w:id="259"/>
      <w:bookmarkEnd w:id="260"/>
      <w:r>
        <w:rPr>
          <w:rFonts w:hint="eastAsia" w:ascii="Times New Roman" w:hAnsi="宋体" w:eastAsia="微软雅黑" w:cs="宋体"/>
          <w:b/>
          <w:kern w:val="2"/>
          <w:sz w:val="36"/>
          <w:szCs w:val="36"/>
          <w:highlight w:val="none"/>
          <w:lang w:val="en-US" w:eastAsia="zh-CN" w:bidi="ar-SA"/>
        </w:rPr>
        <w:t>Quotation Overview Table</w:t>
      </w:r>
      <w:bookmarkEnd w:id="258"/>
    </w:p>
    <w:p w14:paraId="47EAA966">
      <w:pPr>
        <w:kinsoku w:val="0"/>
        <w:spacing w:line="360" w:lineRule="auto"/>
        <w:jc w:val="left"/>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 xml:space="preserve">Project Name: Procurement Project for Digital Subtraction Angiography (DSA) Equipment for Hospitals in the Yangling Demonstration Zone                      </w:t>
      </w:r>
    </w:p>
    <w:p w14:paraId="164C0578">
      <w:pPr>
        <w:rPr>
          <w:rFonts w:hint="eastAsia" w:ascii="宋体" w:hAnsi="宋体" w:eastAsia="宋体" w:cs="宋体"/>
          <w:highlight w:val="none"/>
          <w:lang w:eastAsia="zh-CN"/>
        </w:rPr>
      </w:pPr>
      <w:r>
        <w:rPr>
          <w:rFonts w:hint="eastAsia" w:ascii="Times New Roman" w:hAnsi="宋体" w:eastAsia="微软雅黑" w:cs="宋体"/>
          <w:kern w:val="2"/>
          <w:sz w:val="28"/>
          <w:szCs w:val="28"/>
          <w:highlight w:val="none"/>
          <w:lang w:val="en-US" w:eastAsia="zh-CN" w:bidi="ar-SA"/>
        </w:rPr>
        <w:t xml:space="preserve">Unit: Yuan                           </w:t>
      </w:r>
    </w:p>
    <w:tbl>
      <w:tblPr>
        <w:tblStyle w:val="30"/>
        <w:tblW w:w="90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1"/>
        <w:gridCol w:w="6172"/>
      </w:tblGrid>
      <w:tr w14:paraId="5490B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2891" w:type="dxa"/>
            <w:tcBorders>
              <w:tl2br w:val="single" w:color="auto" w:sz="4" w:space="0"/>
            </w:tcBorders>
            <w:vAlign w:val="center"/>
          </w:tcPr>
          <w:p w14:paraId="6E8AF82F">
            <w:pPr>
              <w:kinsoku w:val="0"/>
              <w:spacing w:line="360" w:lineRule="auto"/>
              <w:ind w:firstLine="1620" w:firstLineChars="675"/>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Quotation Details</w:t>
            </w:r>
          </w:p>
          <w:p w14:paraId="39735CEF">
            <w:pPr>
              <w:kinsoku w:val="0"/>
              <w:spacing w:line="360" w:lineRule="auto"/>
              <w:jc w:val="center"/>
              <w:rPr>
                <w:rFonts w:ascii="宋体" w:hAnsi="宋体" w:cs="宋体"/>
                <w:sz w:val="24"/>
                <w:szCs w:val="24"/>
                <w:highlight w:val="none"/>
              </w:rPr>
            </w:pPr>
          </w:p>
          <w:p w14:paraId="3E11FD57">
            <w:pPr>
              <w:kinsoku w:val="0"/>
              <w:spacing w:line="360" w:lineRule="auto"/>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Tender Content</w:t>
            </w:r>
          </w:p>
        </w:tc>
        <w:tc>
          <w:tcPr>
            <w:tcW w:w="6172" w:type="dxa"/>
            <w:vAlign w:val="center"/>
          </w:tcPr>
          <w:p w14:paraId="711A11AD">
            <w:pPr>
              <w:kinsoku w:val="0"/>
              <w:spacing w:line="360" w:lineRule="auto"/>
              <w:jc w:val="center"/>
              <w:rPr>
                <w:rFonts w:hint="eastAsia"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Total Bid Price</w:t>
            </w:r>
          </w:p>
        </w:tc>
      </w:tr>
      <w:tr w14:paraId="55EC4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7" w:hRule="atLeast"/>
          <w:jc w:val="center"/>
        </w:trPr>
        <w:tc>
          <w:tcPr>
            <w:tcW w:w="2891" w:type="dxa"/>
            <w:vAlign w:val="center"/>
          </w:tcPr>
          <w:p w14:paraId="181BD757">
            <w:pPr>
              <w:kinsoku w:val="0"/>
              <w:spacing w:line="480" w:lineRule="auto"/>
              <w:jc w:val="left"/>
              <w:rPr>
                <w:rFonts w:hint="eastAsia" w:ascii="宋体" w:hAnsi="宋体" w:eastAsia="宋体" w:cs="宋体"/>
                <w:sz w:val="24"/>
                <w:szCs w:val="24"/>
                <w:highlight w:val="none"/>
                <w:lang w:eastAsia="zh-CN"/>
              </w:rPr>
            </w:pPr>
            <w:r>
              <w:rPr>
                <w:rFonts w:hint="eastAsia" w:ascii="Times New Roman" w:hAnsi="Times New Roman" w:eastAsia="微软雅黑" w:cs="Times New Roman"/>
                <w:kern w:val="2"/>
                <w:sz w:val="24"/>
                <w:szCs w:val="24"/>
                <w:highlight w:val="none"/>
                <w:lang w:val="en-US" w:eastAsia="zh-CN" w:bidi="ar-SA"/>
              </w:rPr>
              <w:t>Yangling Demonstration Zone Hospital Digital Subtraction Angiography (DSA) Equipment Procurement Project</w:t>
            </w:r>
          </w:p>
        </w:tc>
        <w:tc>
          <w:tcPr>
            <w:tcW w:w="6172" w:type="dxa"/>
            <w:vAlign w:val="center"/>
          </w:tcPr>
          <w:p w14:paraId="0383B165">
            <w:pPr>
              <w:kinsoku w:val="0"/>
              <w:spacing w:line="480" w:lineRule="auto"/>
              <w:jc w:val="left"/>
              <w:rPr>
                <w:rFonts w:hint="eastAsia" w:ascii="宋体" w:hAnsi="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Capital:</w:t>
            </w:r>
          </w:p>
          <w:p w14:paraId="296CA194">
            <w:pPr>
              <w:pStyle w:val="21"/>
              <w:rPr>
                <w:rFonts w:hint="eastAsia" w:ascii="宋体" w:hAnsi="宋体" w:cs="宋体"/>
                <w:sz w:val="24"/>
                <w:szCs w:val="24"/>
                <w:highlight w:val="none"/>
                <w:lang w:val="en-US" w:eastAsia="zh-CN"/>
              </w:rPr>
            </w:pPr>
          </w:p>
          <w:p w14:paraId="58F280FC">
            <w:pPr>
              <w:kinsoku w:val="0"/>
              <w:spacing w:line="480" w:lineRule="auto"/>
              <w:jc w:val="left"/>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Lowercase:</w:t>
            </w:r>
          </w:p>
        </w:tc>
      </w:tr>
      <w:tr w14:paraId="68829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9063" w:type="dxa"/>
            <w:gridSpan w:val="2"/>
            <w:vAlign w:val="center"/>
          </w:tcPr>
          <w:p w14:paraId="270512CB">
            <w:pPr>
              <w:kinsoku w:val="0"/>
              <w:spacing w:line="480" w:lineRule="auto"/>
              <w:jc w:val="left"/>
              <w:rPr>
                <w:rFonts w:hint="eastAsia"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Note: Round to two decimal places.</w:t>
            </w:r>
          </w:p>
        </w:tc>
      </w:tr>
    </w:tbl>
    <w:p w14:paraId="4D895475">
      <w:pPr>
        <w:adjustRightInd w:val="0"/>
        <w:snapToGrid w:val="0"/>
        <w:spacing w:line="480" w:lineRule="auto"/>
        <w:jc w:val="left"/>
        <w:rPr>
          <w:rFonts w:ascii="宋体" w:hAnsi="宋体" w:cs="宋体"/>
          <w:sz w:val="28"/>
          <w:szCs w:val="28"/>
          <w:highlight w:val="none"/>
        </w:rPr>
      </w:pPr>
    </w:p>
    <w:p w14:paraId="3CD0905A">
      <w:pPr>
        <w:adjustRightInd w:val="0"/>
        <w:snapToGrid w:val="0"/>
        <w:spacing w:line="480" w:lineRule="auto"/>
        <w:jc w:val="left"/>
        <w:rPr>
          <w:rFonts w:hint="eastAsia" w:ascii="宋体" w:hAnsi="宋体" w:eastAsia="宋体" w:cs="宋体"/>
          <w:sz w:val="24"/>
          <w:szCs w:val="24"/>
          <w:highlight w:val="none"/>
          <w:u w:val="single"/>
          <w:lang w:eastAsia="zh-CN"/>
        </w:rPr>
      </w:pPr>
      <w:bookmarkStart w:id="261" w:name="_Toc27684"/>
      <w:r>
        <w:rPr>
          <w:rFonts w:hint="eastAsia" w:ascii="Times New Roman" w:hAnsi="宋体" w:eastAsia="微软雅黑" w:cs="宋体"/>
          <w:kern w:val="2"/>
          <w:sz w:val="24"/>
          <w:szCs w:val="24"/>
          <w:highlight w:val="none"/>
          <w:lang w:val="en-US" w:eastAsia="zh-CN" w:bidi="ar-SA"/>
        </w:rPr>
        <w:t>Supplier (Company Name and Official Seal): ______________________</w:t>
      </w:r>
      <w:bookmarkEnd w:id="261"/>
    </w:p>
    <w:p w14:paraId="3FB1EC0F">
      <w:pPr>
        <w:adjustRightInd w:val="0"/>
        <w:snapToGrid w:val="0"/>
        <w:spacing w:line="480" w:lineRule="auto"/>
        <w:rPr>
          <w:rFonts w:hint="eastAsia" w:ascii="宋体" w:hAnsi="宋体" w:eastAsia="宋体" w:cs="宋体"/>
          <w:sz w:val="24"/>
          <w:szCs w:val="24"/>
          <w:highlight w:val="none"/>
          <w:lang w:eastAsia="zh-CN"/>
        </w:rPr>
      </w:pPr>
      <w:bookmarkStart w:id="262" w:name="_Toc24420"/>
      <w:r>
        <w:rPr>
          <w:rFonts w:hint="eastAsia" w:ascii="Times New Roman" w:hAnsi="宋体" w:eastAsia="微软雅黑" w:cs="宋体"/>
          <w:kern w:val="2"/>
          <w:sz w:val="24"/>
          <w:szCs w:val="24"/>
          <w:highlight w:val="none"/>
          <w:lang w:val="en-US" w:eastAsia="zh-CN" w:bidi="ar-SA"/>
        </w:rPr>
        <w:t>Legal Representative or Authorized Person (Signature or Seal): ______________________</w:t>
      </w:r>
      <w:bookmarkEnd w:id="262"/>
    </w:p>
    <w:p w14:paraId="689A0C35">
      <w:pPr>
        <w:adjustRightInd w:val="0"/>
        <w:snapToGrid w:val="0"/>
        <w:spacing w:line="480" w:lineRule="auto"/>
        <w:rPr>
          <w:rFonts w:hint="eastAsia" w:ascii="宋体" w:hAnsi="宋体" w:eastAsia="宋体" w:cs="宋体"/>
          <w:sz w:val="24"/>
          <w:szCs w:val="24"/>
          <w:highlight w:val="none"/>
          <w:lang w:eastAsia="zh-CN"/>
        </w:rPr>
        <w:sectPr>
          <w:pgSz w:w="11906" w:h="16838"/>
          <w:pgMar w:top="1440" w:right="1803" w:bottom="1440" w:left="1803" w:header="851" w:footer="992" w:gutter="0"/>
          <w:pgNumType w:fmt="decimal"/>
          <w:cols w:space="720" w:num="1"/>
          <w:docGrid w:type="lines" w:linePitch="319" w:charSpace="0"/>
        </w:sectPr>
      </w:pPr>
      <w:bookmarkStart w:id="263" w:name="_Toc14425"/>
      <w:r>
        <w:rPr>
          <w:rFonts w:hint="eastAsia" w:ascii="Times New Roman" w:hAnsi="宋体" w:eastAsia="微软雅黑" w:cs="宋体"/>
          <w:kern w:val="2"/>
          <w:sz w:val="24"/>
          <w:szCs w:val="24"/>
          <w:highlight w:val="none"/>
          <w:lang w:val="en-US" w:eastAsia="zh-CN" w:bidi="ar-SA"/>
        </w:rPr>
        <w:t>Date: _____ Year _____ Month _____ Day</w:t>
      </w:r>
      <w:bookmarkEnd w:id="263"/>
    </w:p>
    <w:p w14:paraId="53151C8D">
      <w:pPr>
        <w:spacing w:line="560" w:lineRule="exact"/>
        <w:jc w:val="center"/>
        <w:rPr>
          <w:rFonts w:hint="eastAsia" w:ascii="宋体" w:hAnsi="宋体" w:eastAsia="宋体" w:cs="宋体"/>
          <w:sz w:val="32"/>
          <w:szCs w:val="32"/>
          <w:highlight w:val="none"/>
          <w:lang w:eastAsia="zh-CN"/>
        </w:rPr>
      </w:pPr>
      <w:bookmarkStart w:id="264" w:name="_Toc29603"/>
      <w:bookmarkStart w:id="265" w:name="_Toc10126"/>
      <w:bookmarkStart w:id="266" w:name="_Toc9034"/>
      <w:bookmarkStart w:id="267" w:name="_Toc3356"/>
      <w:bookmarkStart w:id="268" w:name="_Toc5195"/>
      <w:r>
        <w:rPr>
          <w:rFonts w:hint="eastAsia" w:ascii="Times New Roman" w:hAnsi="宋体" w:eastAsia="微软雅黑" w:cs="宋体"/>
          <w:kern w:val="2"/>
          <w:sz w:val="32"/>
          <w:szCs w:val="32"/>
          <w:highlight w:val="none"/>
          <w:lang w:val="en-US" w:eastAsia="zh-CN" w:bidi="ar-SA"/>
        </w:rPr>
        <w:t>Itemized Quotation Table</w:t>
      </w:r>
      <w:bookmarkEnd w:id="264"/>
      <w:bookmarkEnd w:id="265"/>
      <w:bookmarkEnd w:id="266"/>
      <w:bookmarkEnd w:id="267"/>
      <w:bookmarkEnd w:id="268"/>
    </w:p>
    <w:p w14:paraId="0A453A8F">
      <w:pPr>
        <w:wordWrap w:val="0"/>
        <w:spacing w:line="360" w:lineRule="auto"/>
        <w:rPr>
          <w:rFonts w:hint="eastAsia" w:ascii="宋体" w:hAnsi="宋体" w:cs="宋体"/>
          <w:color w:val="000000"/>
          <w:sz w:val="24"/>
          <w:szCs w:val="24"/>
          <w:highlight w:val="none"/>
        </w:rPr>
      </w:pPr>
    </w:p>
    <w:p w14:paraId="6F2CC3B1">
      <w:pPr>
        <w:wordWrap w:val="0"/>
        <w:spacing w:line="360" w:lineRule="auto"/>
        <w:rPr>
          <w:rFonts w:hint="eastAsia" w:ascii="宋体" w:hAnsi="宋体" w:eastAsia="宋体" w:cs="宋体"/>
          <w:color w:val="000000"/>
          <w:sz w:val="24"/>
          <w:szCs w:val="24"/>
          <w:highlight w:val="none"/>
          <w:lang w:eastAsia="zh-CN"/>
        </w:rPr>
      </w:pPr>
      <w:r>
        <w:rPr>
          <w:rFonts w:hint="eastAsia" w:ascii="Times New Roman" w:hAnsi="宋体" w:eastAsia="微软雅黑" w:cs="宋体"/>
          <w:color w:val="000000"/>
          <w:kern w:val="2"/>
          <w:sz w:val="24"/>
          <w:szCs w:val="24"/>
          <w:highlight w:val="none"/>
          <w:lang w:val="en-US" w:eastAsia="zh-CN" w:bidi="ar-SA"/>
        </w:rPr>
        <w:t>Project Name: Procurement Project for Digital Subtraction Angiography (DSA) Equipment for Hospitals in the Yangling Demonstration Zone</w:t>
      </w:r>
    </w:p>
    <w:p w14:paraId="4CB67784">
      <w:pPr>
        <w:wordWrap w:val="0"/>
        <w:spacing w:line="360" w:lineRule="auto"/>
        <w:rPr>
          <w:rFonts w:hint="eastAsia" w:ascii="宋体" w:eastAsia="宋体" w:cs="宋体"/>
          <w:color w:val="000000"/>
          <w:highlight w:val="none"/>
          <w:u w:val="single"/>
          <w:lang w:eastAsia="zh-CN"/>
        </w:rPr>
      </w:pPr>
      <w:r>
        <w:rPr>
          <w:rFonts w:hint="eastAsia" w:ascii="Times New Roman" w:hAnsi="宋体" w:eastAsia="微软雅黑" w:cs="宋体"/>
          <w:color w:val="000000"/>
          <w:kern w:val="2"/>
          <w:sz w:val="24"/>
          <w:szCs w:val="24"/>
          <w:highlight w:val="none"/>
          <w:lang w:val="en-US" w:eastAsia="zh-CN" w:bidi="ar-SA"/>
        </w:rPr>
        <w:t>Project Number: ZMZB2026YLYY-282</w:t>
      </w:r>
    </w:p>
    <w:tbl>
      <w:tblPr>
        <w:tblStyle w:val="30"/>
        <w:tblpPr w:leftFromText="180" w:rightFromText="180" w:vertAnchor="text" w:horzAnchor="page" w:tblpX="1609" w:tblpY="234"/>
        <w:tblOverlap w:val="never"/>
        <w:tblW w:w="8616" w:type="dxa"/>
        <w:jc w:val="center"/>
        <w:tblLayout w:type="fixed"/>
        <w:tblCellMar>
          <w:top w:w="0" w:type="dxa"/>
          <w:left w:w="28" w:type="dxa"/>
          <w:bottom w:w="0" w:type="dxa"/>
          <w:right w:w="28" w:type="dxa"/>
        </w:tblCellMar>
      </w:tblPr>
      <w:tblGrid>
        <w:gridCol w:w="595"/>
        <w:gridCol w:w="665"/>
        <w:gridCol w:w="1868"/>
        <w:gridCol w:w="572"/>
        <w:gridCol w:w="975"/>
        <w:gridCol w:w="1249"/>
        <w:gridCol w:w="659"/>
        <w:gridCol w:w="974"/>
        <w:gridCol w:w="1059"/>
      </w:tblGrid>
      <w:tr w14:paraId="1E13FE32">
        <w:tblPrEx>
          <w:tblCellMar>
            <w:top w:w="0" w:type="dxa"/>
            <w:left w:w="28" w:type="dxa"/>
            <w:bottom w:w="0" w:type="dxa"/>
            <w:right w:w="28" w:type="dxa"/>
          </w:tblCellMar>
        </w:tblPrEx>
        <w:trPr>
          <w:trHeight w:val="1131" w:hRule="atLeast"/>
          <w:jc w:val="center"/>
        </w:trPr>
        <w:tc>
          <w:tcPr>
            <w:tcW w:w="595" w:type="dxa"/>
            <w:vMerge w:val="restart"/>
            <w:tcBorders>
              <w:top w:val="single" w:color="auto" w:sz="6" w:space="0"/>
              <w:left w:val="single" w:color="auto" w:sz="6" w:space="0"/>
              <w:right w:val="single" w:color="auto" w:sz="4" w:space="0"/>
            </w:tcBorders>
            <w:noWrap w:val="0"/>
            <w:vAlign w:val="center"/>
          </w:tcPr>
          <w:p w14:paraId="6B841DC2">
            <w:pPr>
              <w:rPr>
                <w:rFonts w:hint="eastAsia" w:ascii="宋体" w:hAnsi="宋体" w:eastAsia="宋体"/>
                <w:sz w:val="24"/>
                <w:szCs w:val="24"/>
                <w:highlight w:val="none"/>
                <w:lang w:eastAsia="zh-CN"/>
              </w:rPr>
            </w:pPr>
            <w:r>
              <w:rPr>
                <w:rFonts w:hint="eastAsia" w:ascii="Times New Roman" w:hAnsi="宋体" w:eastAsia="微软雅黑" w:cs="Times New Roman"/>
                <w:kern w:val="2"/>
                <w:sz w:val="24"/>
                <w:szCs w:val="24"/>
                <w:highlight w:val="none"/>
                <w:lang w:val="en-US" w:eastAsia="zh-CN" w:bidi="ar-SA"/>
              </w:rPr>
              <w:t>product</w:t>
            </w:r>
          </w:p>
          <w:p w14:paraId="79D748EB">
            <w:pPr>
              <w:rPr>
                <w:rFonts w:hint="eastAsia" w:ascii="宋体" w:hAnsi="宋体" w:eastAsia="宋体"/>
                <w:sz w:val="24"/>
                <w:szCs w:val="24"/>
                <w:highlight w:val="none"/>
                <w:lang w:eastAsia="zh-CN"/>
              </w:rPr>
            </w:pPr>
            <w:r>
              <w:rPr>
                <w:rFonts w:hint="eastAsia" w:ascii="Times New Roman" w:hAnsi="宋体" w:eastAsia="微软雅黑" w:cs="Times New Roman"/>
                <w:kern w:val="2"/>
                <w:sz w:val="24"/>
                <w:szCs w:val="24"/>
                <w:highlight w:val="none"/>
                <w:lang w:val="en-US" w:eastAsia="zh-CN" w:bidi="ar-SA"/>
              </w:rPr>
              <w:t>cost</w:t>
            </w:r>
          </w:p>
          <w:p w14:paraId="3DDEE275">
            <w:pPr>
              <w:pStyle w:val="5"/>
              <w:rPr>
                <w:sz w:val="24"/>
                <w:szCs w:val="24"/>
                <w:highlight w:val="none"/>
              </w:rPr>
            </w:pPr>
          </w:p>
          <w:p w14:paraId="55F29338">
            <w:pPr>
              <w:rPr>
                <w:sz w:val="24"/>
                <w:szCs w:val="24"/>
                <w:highlight w:val="none"/>
              </w:rPr>
            </w:pPr>
          </w:p>
        </w:tc>
        <w:tc>
          <w:tcPr>
            <w:tcW w:w="665" w:type="dxa"/>
            <w:tcBorders>
              <w:top w:val="single" w:color="auto" w:sz="6" w:space="0"/>
              <w:left w:val="single" w:color="auto" w:sz="4" w:space="0"/>
              <w:bottom w:val="single" w:color="auto" w:sz="6" w:space="0"/>
            </w:tcBorders>
            <w:noWrap w:val="0"/>
            <w:vAlign w:val="center"/>
          </w:tcPr>
          <w:p w14:paraId="7B00144A">
            <w:pPr>
              <w:spacing w:after="120"/>
              <w:jc w:val="center"/>
              <w:rPr>
                <w:rFonts w:hint="eastAsia" w:ascii="宋体" w:hAnsi="宋体" w:eastAsia="宋体"/>
                <w:sz w:val="24"/>
                <w:szCs w:val="24"/>
                <w:highlight w:val="none"/>
                <w:lang w:eastAsia="zh-CN"/>
              </w:rPr>
            </w:pPr>
            <w:r>
              <w:rPr>
                <w:rFonts w:hint="eastAsia" w:ascii="Times New Roman" w:hAnsi="宋体" w:eastAsia="微软雅黑" w:cs="Times New Roman"/>
                <w:kern w:val="2"/>
                <w:sz w:val="24"/>
                <w:szCs w:val="24"/>
                <w:highlight w:val="none"/>
                <w:lang w:val="en-US" w:eastAsia="zh-CN" w:bidi="ar-SA"/>
              </w:rPr>
              <w:t>order number</w:t>
            </w:r>
          </w:p>
        </w:tc>
        <w:tc>
          <w:tcPr>
            <w:tcW w:w="1868" w:type="dxa"/>
            <w:tcBorders>
              <w:top w:val="single" w:color="auto" w:sz="6" w:space="0"/>
              <w:left w:val="single" w:color="auto" w:sz="6" w:space="0"/>
              <w:bottom w:val="single" w:color="auto" w:sz="6" w:space="0"/>
              <w:right w:val="single" w:color="auto" w:sz="6" w:space="0"/>
            </w:tcBorders>
            <w:noWrap w:val="0"/>
            <w:vAlign w:val="center"/>
          </w:tcPr>
          <w:p w14:paraId="3C05A6FD">
            <w:pPr>
              <w:spacing w:after="120"/>
              <w:jc w:val="center"/>
              <w:rPr>
                <w:rFonts w:hint="eastAsia" w:ascii="宋体" w:hAnsi="宋体" w:eastAsia="宋体"/>
                <w:sz w:val="24"/>
                <w:szCs w:val="24"/>
                <w:highlight w:val="none"/>
                <w:lang w:eastAsia="zh-CN"/>
              </w:rPr>
            </w:pPr>
            <w:r>
              <w:rPr>
                <w:rFonts w:hint="eastAsia" w:ascii="Times New Roman" w:hAnsi="宋体" w:eastAsia="微软雅黑" w:cs="Times New Roman"/>
                <w:kern w:val="2"/>
                <w:sz w:val="24"/>
                <w:szCs w:val="24"/>
                <w:highlight w:val="none"/>
                <w:lang w:val="en-US" w:eastAsia="zh-CN" w:bidi="ar-SA"/>
              </w:rPr>
              <w:t>name</w:t>
            </w:r>
          </w:p>
        </w:tc>
        <w:tc>
          <w:tcPr>
            <w:tcW w:w="572" w:type="dxa"/>
            <w:tcBorders>
              <w:top w:val="single" w:color="auto" w:sz="6" w:space="0"/>
              <w:left w:val="single" w:color="auto" w:sz="6" w:space="0"/>
              <w:bottom w:val="single" w:color="auto" w:sz="6" w:space="0"/>
              <w:right w:val="single" w:color="auto" w:sz="4" w:space="0"/>
            </w:tcBorders>
            <w:noWrap w:val="0"/>
            <w:vAlign w:val="center"/>
          </w:tcPr>
          <w:p w14:paraId="0B38469A">
            <w:pPr>
              <w:spacing w:after="120"/>
              <w:jc w:val="center"/>
              <w:rPr>
                <w:rFonts w:hint="eastAsia" w:ascii="宋体" w:hAnsi="宋体" w:eastAsia="宋体"/>
                <w:sz w:val="24"/>
                <w:szCs w:val="24"/>
                <w:highlight w:val="none"/>
                <w:lang w:eastAsia="zh-CN"/>
              </w:rPr>
            </w:pPr>
            <w:r>
              <w:rPr>
                <w:rFonts w:hint="eastAsia" w:ascii="Times New Roman" w:hAnsi="宋体" w:eastAsia="微软雅黑" w:cs="Times New Roman"/>
                <w:kern w:val="2"/>
                <w:sz w:val="24"/>
                <w:szCs w:val="24"/>
                <w:highlight w:val="none"/>
                <w:lang w:val="en-US" w:eastAsia="zh-CN" w:bidi="ar-SA"/>
              </w:rPr>
              <w:t>brand</w:t>
            </w:r>
          </w:p>
        </w:tc>
        <w:tc>
          <w:tcPr>
            <w:tcW w:w="975" w:type="dxa"/>
            <w:tcBorders>
              <w:top w:val="single" w:color="auto" w:sz="6" w:space="0"/>
              <w:left w:val="single" w:color="auto" w:sz="4" w:space="0"/>
              <w:bottom w:val="single" w:color="auto" w:sz="6" w:space="0"/>
              <w:right w:val="single" w:color="auto" w:sz="6" w:space="0"/>
            </w:tcBorders>
            <w:noWrap w:val="0"/>
            <w:vAlign w:val="center"/>
          </w:tcPr>
          <w:p w14:paraId="78321C24">
            <w:pPr>
              <w:spacing w:after="120"/>
              <w:jc w:val="center"/>
              <w:rPr>
                <w:rFonts w:hint="eastAsia" w:ascii="宋体" w:hAnsi="宋体" w:eastAsia="宋体"/>
                <w:sz w:val="24"/>
                <w:szCs w:val="24"/>
                <w:highlight w:val="none"/>
                <w:lang w:eastAsia="zh-CN"/>
              </w:rPr>
            </w:pPr>
            <w:r>
              <w:rPr>
                <w:rFonts w:hint="eastAsia" w:ascii="Times New Roman" w:hAnsi="宋体" w:eastAsia="微软雅黑" w:cs="Times New Roman"/>
                <w:kern w:val="2"/>
                <w:sz w:val="24"/>
                <w:szCs w:val="24"/>
                <w:highlight w:val="none"/>
                <w:lang w:val="en-US" w:eastAsia="zh-CN" w:bidi="ar-SA"/>
              </w:rPr>
              <w:t>Model or Specification</w:t>
            </w:r>
          </w:p>
        </w:tc>
        <w:tc>
          <w:tcPr>
            <w:tcW w:w="1249" w:type="dxa"/>
            <w:tcBorders>
              <w:top w:val="single" w:color="auto" w:sz="6" w:space="0"/>
              <w:left w:val="single" w:color="auto" w:sz="6" w:space="0"/>
              <w:bottom w:val="single" w:color="auto" w:sz="6" w:space="0"/>
              <w:right w:val="single" w:color="auto" w:sz="6" w:space="0"/>
            </w:tcBorders>
            <w:noWrap w:val="0"/>
            <w:vAlign w:val="center"/>
          </w:tcPr>
          <w:p w14:paraId="61087BE0">
            <w:pPr>
              <w:spacing w:before="197" w:beforeLines="50" w:after="120"/>
              <w:jc w:val="center"/>
              <w:rPr>
                <w:rFonts w:hint="eastAsia" w:ascii="宋体" w:hAnsi="宋体" w:eastAsia="宋体"/>
                <w:sz w:val="24"/>
                <w:szCs w:val="24"/>
                <w:highlight w:val="none"/>
                <w:lang w:eastAsia="zh-CN"/>
              </w:rPr>
            </w:pPr>
            <w:r>
              <w:rPr>
                <w:rFonts w:hint="eastAsia" w:ascii="Times New Roman" w:hAnsi="宋体" w:eastAsia="微软雅黑" w:cs="Times New Roman"/>
                <w:kern w:val="2"/>
                <w:sz w:val="24"/>
                <w:szCs w:val="24"/>
                <w:highlight w:val="none"/>
                <w:lang w:val="en-US" w:eastAsia="zh-CN" w:bidi="ar-SA"/>
              </w:rPr>
              <w:t>Place of Origin and Name of Manufacturer</w:t>
            </w:r>
          </w:p>
        </w:tc>
        <w:tc>
          <w:tcPr>
            <w:tcW w:w="659" w:type="dxa"/>
            <w:tcBorders>
              <w:top w:val="single" w:color="auto" w:sz="6" w:space="0"/>
              <w:left w:val="single" w:color="auto" w:sz="6" w:space="0"/>
              <w:bottom w:val="single" w:color="auto" w:sz="6" w:space="0"/>
              <w:right w:val="single" w:color="auto" w:sz="6" w:space="0"/>
            </w:tcBorders>
            <w:noWrap w:val="0"/>
            <w:vAlign w:val="center"/>
          </w:tcPr>
          <w:p w14:paraId="69CA41DB">
            <w:pPr>
              <w:spacing w:after="120"/>
              <w:jc w:val="center"/>
              <w:rPr>
                <w:rFonts w:hint="eastAsia" w:ascii="宋体" w:hAnsi="宋体" w:eastAsia="宋体"/>
                <w:sz w:val="24"/>
                <w:szCs w:val="24"/>
                <w:highlight w:val="none"/>
                <w:lang w:eastAsia="zh-CN"/>
              </w:rPr>
            </w:pPr>
            <w:r>
              <w:rPr>
                <w:rFonts w:hint="eastAsia" w:ascii="Times New Roman" w:hAnsi="宋体" w:eastAsia="微软雅黑" w:cs="Times New Roman"/>
                <w:kern w:val="2"/>
                <w:sz w:val="24"/>
                <w:szCs w:val="24"/>
                <w:highlight w:val="none"/>
                <w:lang w:val="en-US" w:eastAsia="zh-CN" w:bidi="ar-SA"/>
              </w:rPr>
              <w:t>quantity</w:t>
            </w:r>
          </w:p>
        </w:tc>
        <w:tc>
          <w:tcPr>
            <w:tcW w:w="974" w:type="dxa"/>
            <w:tcBorders>
              <w:top w:val="single" w:color="auto" w:sz="6" w:space="0"/>
              <w:left w:val="single" w:color="auto" w:sz="6" w:space="0"/>
              <w:bottom w:val="single" w:color="auto" w:sz="6" w:space="0"/>
              <w:right w:val="single" w:color="auto" w:sz="6" w:space="0"/>
            </w:tcBorders>
            <w:noWrap w:val="0"/>
            <w:vAlign w:val="center"/>
          </w:tcPr>
          <w:p w14:paraId="1F77D46F">
            <w:pPr>
              <w:spacing w:after="120"/>
              <w:jc w:val="center"/>
              <w:rPr>
                <w:rFonts w:hint="eastAsia" w:ascii="宋体" w:hAnsi="宋体" w:eastAsia="宋体"/>
                <w:sz w:val="24"/>
                <w:szCs w:val="24"/>
                <w:highlight w:val="none"/>
                <w:lang w:eastAsia="zh-CN"/>
              </w:rPr>
            </w:pPr>
            <w:r>
              <w:rPr>
                <w:rFonts w:hint="eastAsia" w:ascii="Times New Roman" w:hAnsi="宋体" w:eastAsia="微软雅黑" w:cs="Times New Roman"/>
                <w:kern w:val="2"/>
                <w:sz w:val="24"/>
                <w:szCs w:val="24"/>
                <w:highlight w:val="none"/>
                <w:lang w:val="en-US" w:eastAsia="zh-CN" w:bidi="ar-SA"/>
              </w:rPr>
              <w:t>unit-price</w:t>
            </w:r>
          </w:p>
          <w:p w14:paraId="7172F52B">
            <w:pPr>
              <w:spacing w:after="120"/>
              <w:jc w:val="center"/>
              <w:rPr>
                <w:rFonts w:hint="eastAsia" w:ascii="宋体" w:hAnsi="宋体" w:eastAsia="宋体"/>
                <w:bCs/>
                <w:sz w:val="24"/>
                <w:szCs w:val="24"/>
                <w:highlight w:val="none"/>
                <w:lang w:eastAsia="zh-CN"/>
              </w:rPr>
            </w:pPr>
            <w:r>
              <w:rPr>
                <w:rFonts w:hint="eastAsia" w:ascii="Times New Roman" w:hAnsi="宋体" w:eastAsia="微软雅黑" w:cs="Times New Roman"/>
                <w:kern w:val="2"/>
                <w:sz w:val="24"/>
                <w:szCs w:val="24"/>
                <w:highlight w:val="none"/>
                <w:lang w:val="en-US" w:eastAsia="zh-CN" w:bidi="ar-SA"/>
              </w:rPr>
              <w:t>（ Yuan ）</w:t>
            </w:r>
          </w:p>
        </w:tc>
        <w:tc>
          <w:tcPr>
            <w:tcW w:w="1059" w:type="dxa"/>
            <w:tcBorders>
              <w:top w:val="single" w:color="auto" w:sz="6" w:space="0"/>
              <w:left w:val="single" w:color="auto" w:sz="6" w:space="0"/>
              <w:bottom w:val="single" w:color="auto" w:sz="6" w:space="0"/>
              <w:right w:val="single" w:color="auto" w:sz="6" w:space="0"/>
            </w:tcBorders>
            <w:noWrap w:val="0"/>
            <w:vAlign w:val="center"/>
          </w:tcPr>
          <w:p w14:paraId="35B508BA">
            <w:pPr>
              <w:spacing w:after="120"/>
              <w:jc w:val="center"/>
              <w:rPr>
                <w:rFonts w:hint="eastAsia" w:ascii="宋体" w:hAnsi="宋体" w:eastAsia="宋体"/>
                <w:bCs/>
                <w:sz w:val="24"/>
                <w:szCs w:val="24"/>
                <w:highlight w:val="none"/>
                <w:lang w:eastAsia="zh-CN"/>
              </w:rPr>
            </w:pPr>
            <w:r>
              <w:rPr>
                <w:rFonts w:hint="eastAsia" w:ascii="Times New Roman" w:hAnsi="宋体" w:eastAsia="微软雅黑" w:cs="Times New Roman"/>
                <w:bCs/>
                <w:kern w:val="2"/>
                <w:sz w:val="24"/>
                <w:szCs w:val="24"/>
                <w:highlight w:val="none"/>
                <w:lang w:val="en-US" w:eastAsia="zh-CN" w:bidi="ar-SA"/>
              </w:rPr>
              <w:t>total</w:t>
            </w:r>
          </w:p>
          <w:p w14:paraId="54609818">
            <w:pPr>
              <w:spacing w:after="120"/>
              <w:jc w:val="center"/>
              <w:rPr>
                <w:rFonts w:hint="eastAsia" w:ascii="宋体" w:hAnsi="宋体" w:eastAsia="宋体"/>
                <w:bCs/>
                <w:sz w:val="24"/>
                <w:szCs w:val="24"/>
                <w:highlight w:val="none"/>
                <w:lang w:eastAsia="zh-CN"/>
              </w:rPr>
            </w:pPr>
            <w:r>
              <w:rPr>
                <w:rFonts w:hint="eastAsia" w:ascii="Times New Roman" w:hAnsi="宋体" w:eastAsia="微软雅黑" w:cs="Times New Roman"/>
                <w:bCs/>
                <w:kern w:val="2"/>
                <w:sz w:val="24"/>
                <w:szCs w:val="24"/>
                <w:highlight w:val="none"/>
                <w:lang w:val="en-US" w:eastAsia="zh-CN" w:bidi="ar-SA"/>
              </w:rPr>
              <w:t>（ Yuan ）</w:t>
            </w:r>
          </w:p>
        </w:tc>
      </w:tr>
      <w:tr w14:paraId="62DE5B95">
        <w:tblPrEx>
          <w:tblCellMar>
            <w:top w:w="0" w:type="dxa"/>
            <w:left w:w="28" w:type="dxa"/>
            <w:bottom w:w="0" w:type="dxa"/>
            <w:right w:w="28" w:type="dxa"/>
          </w:tblCellMar>
        </w:tblPrEx>
        <w:trPr>
          <w:trHeight w:val="628" w:hRule="atLeast"/>
          <w:jc w:val="center"/>
        </w:trPr>
        <w:tc>
          <w:tcPr>
            <w:tcW w:w="595" w:type="dxa"/>
            <w:vMerge w:val="continue"/>
            <w:tcBorders>
              <w:left w:val="single" w:color="auto" w:sz="6" w:space="0"/>
              <w:right w:val="single" w:color="auto" w:sz="4" w:space="0"/>
            </w:tcBorders>
            <w:noWrap w:val="0"/>
            <w:vAlign w:val="center"/>
          </w:tcPr>
          <w:p w14:paraId="790404A8">
            <w:pPr>
              <w:spacing w:before="395" w:beforeLines="100"/>
              <w:jc w:val="center"/>
              <w:rPr>
                <w:rFonts w:ascii="宋体" w:hAnsi="宋体"/>
                <w:sz w:val="24"/>
                <w:szCs w:val="24"/>
                <w:highlight w:val="none"/>
              </w:rPr>
            </w:pPr>
          </w:p>
        </w:tc>
        <w:tc>
          <w:tcPr>
            <w:tcW w:w="665" w:type="dxa"/>
            <w:tcBorders>
              <w:top w:val="single" w:color="auto" w:sz="6" w:space="0"/>
              <w:left w:val="single" w:color="auto" w:sz="4" w:space="0"/>
              <w:bottom w:val="single" w:color="auto" w:sz="4" w:space="0"/>
            </w:tcBorders>
            <w:noWrap w:val="0"/>
            <w:vAlign w:val="center"/>
          </w:tcPr>
          <w:p w14:paraId="3D883196">
            <w:pPr>
              <w:jc w:val="center"/>
              <w:rPr>
                <w:rFonts w:ascii="宋体" w:hAnsi="宋体"/>
                <w:sz w:val="24"/>
                <w:szCs w:val="24"/>
                <w:highlight w:val="none"/>
              </w:rPr>
            </w:pPr>
            <w:r>
              <w:rPr>
                <w:rFonts w:hint="eastAsia" w:ascii="Times New Roman" w:hAnsi="宋体" w:eastAsia="微软雅黑" w:cs="宋体"/>
                <w:kern w:val="2"/>
                <w:sz w:val="24"/>
                <w:szCs w:val="24"/>
                <w:highlight w:val="none"/>
                <w:lang w:val="en-US" w:eastAsia="zh-CN" w:bidi="ar-SA"/>
              </w:rPr>
              <w:t>1</w:t>
            </w:r>
          </w:p>
        </w:tc>
        <w:tc>
          <w:tcPr>
            <w:tcW w:w="1868" w:type="dxa"/>
            <w:tcBorders>
              <w:top w:val="single" w:color="auto" w:sz="6" w:space="0"/>
              <w:left w:val="single" w:color="auto" w:sz="6" w:space="0"/>
              <w:bottom w:val="single" w:color="auto" w:sz="4" w:space="0"/>
              <w:right w:val="single" w:color="auto" w:sz="6" w:space="0"/>
            </w:tcBorders>
            <w:noWrap w:val="0"/>
            <w:vAlign w:val="center"/>
          </w:tcPr>
          <w:p w14:paraId="570AA92B">
            <w:pPr>
              <w:jc w:val="center"/>
              <w:rPr>
                <w:rFonts w:hint="eastAsia" w:ascii="宋体" w:hAnsi="宋体" w:eastAsia="宋体" w:cs="宋体"/>
                <w:kern w:val="0"/>
                <w:sz w:val="24"/>
                <w:szCs w:val="24"/>
                <w:highlight w:val="none"/>
                <w:lang w:val="en-US" w:eastAsia="zh-CN" w:bidi="ar-SA"/>
              </w:rPr>
            </w:pPr>
            <w:r>
              <w:rPr>
                <w:rFonts w:hint="eastAsia" w:ascii="Times New Roman" w:hAnsi="宋体" w:eastAsia="微软雅黑" w:cs="宋体"/>
                <w:kern w:val="0"/>
                <w:sz w:val="24"/>
                <w:szCs w:val="24"/>
                <w:highlight w:val="none"/>
                <w:lang w:val="en-US" w:eastAsia="zh-CN" w:bidi="ar-SA"/>
              </w:rPr>
              <w:t>Digital subtraction angiography (DSA) system</w:t>
            </w:r>
          </w:p>
        </w:tc>
        <w:tc>
          <w:tcPr>
            <w:tcW w:w="572" w:type="dxa"/>
            <w:tcBorders>
              <w:top w:val="single" w:color="auto" w:sz="6" w:space="0"/>
              <w:left w:val="single" w:color="auto" w:sz="6" w:space="0"/>
              <w:bottom w:val="single" w:color="auto" w:sz="4" w:space="0"/>
              <w:right w:val="single" w:color="auto" w:sz="4" w:space="0"/>
            </w:tcBorders>
            <w:noWrap w:val="0"/>
            <w:vAlign w:val="center"/>
          </w:tcPr>
          <w:p w14:paraId="1BC994FB">
            <w:pPr>
              <w:spacing w:before="197" w:beforeLines="50"/>
              <w:jc w:val="center"/>
              <w:rPr>
                <w:rFonts w:ascii="宋体" w:hAnsi="宋体"/>
                <w:sz w:val="24"/>
                <w:szCs w:val="24"/>
                <w:highlight w:val="none"/>
              </w:rPr>
            </w:pPr>
          </w:p>
        </w:tc>
        <w:tc>
          <w:tcPr>
            <w:tcW w:w="975" w:type="dxa"/>
            <w:tcBorders>
              <w:top w:val="single" w:color="auto" w:sz="6" w:space="0"/>
              <w:left w:val="single" w:color="auto" w:sz="4" w:space="0"/>
              <w:bottom w:val="single" w:color="auto" w:sz="4" w:space="0"/>
              <w:right w:val="single" w:color="auto" w:sz="6" w:space="0"/>
            </w:tcBorders>
            <w:noWrap w:val="0"/>
            <w:vAlign w:val="center"/>
          </w:tcPr>
          <w:p w14:paraId="0082DFEE">
            <w:pPr>
              <w:spacing w:before="197" w:beforeLines="50"/>
              <w:jc w:val="center"/>
              <w:rPr>
                <w:rFonts w:ascii="宋体" w:hAnsi="宋体"/>
                <w:sz w:val="24"/>
                <w:szCs w:val="24"/>
                <w:highlight w:val="none"/>
              </w:rPr>
            </w:pPr>
          </w:p>
        </w:tc>
        <w:tc>
          <w:tcPr>
            <w:tcW w:w="1249" w:type="dxa"/>
            <w:tcBorders>
              <w:top w:val="single" w:color="auto" w:sz="6" w:space="0"/>
              <w:left w:val="single" w:color="auto" w:sz="6" w:space="0"/>
              <w:bottom w:val="single" w:color="auto" w:sz="4" w:space="0"/>
              <w:right w:val="single" w:color="auto" w:sz="6" w:space="0"/>
            </w:tcBorders>
            <w:noWrap w:val="0"/>
            <w:vAlign w:val="center"/>
          </w:tcPr>
          <w:p w14:paraId="45697C40">
            <w:pPr>
              <w:spacing w:before="197" w:beforeLines="50"/>
              <w:jc w:val="center"/>
              <w:rPr>
                <w:rFonts w:ascii="宋体" w:hAnsi="宋体"/>
                <w:sz w:val="24"/>
                <w:szCs w:val="24"/>
                <w:highlight w:val="none"/>
              </w:rPr>
            </w:pPr>
          </w:p>
        </w:tc>
        <w:tc>
          <w:tcPr>
            <w:tcW w:w="659" w:type="dxa"/>
            <w:tcBorders>
              <w:top w:val="single" w:color="auto" w:sz="6" w:space="0"/>
              <w:left w:val="single" w:color="auto" w:sz="6" w:space="0"/>
              <w:bottom w:val="single" w:color="auto" w:sz="4" w:space="0"/>
              <w:right w:val="single" w:color="auto" w:sz="6" w:space="0"/>
            </w:tcBorders>
            <w:noWrap w:val="0"/>
            <w:vAlign w:val="center"/>
          </w:tcPr>
          <w:p w14:paraId="7ADF0CBA">
            <w:pPr>
              <w:spacing w:before="197" w:beforeLines="50"/>
              <w:jc w:val="center"/>
              <w:rPr>
                <w:rFonts w:hint="default" w:ascii="宋体" w:hAnsi="宋体" w:eastAsia="宋体"/>
                <w:sz w:val="24"/>
                <w:szCs w:val="24"/>
                <w:highlight w:val="none"/>
                <w:lang w:val="en-US" w:eastAsia="zh-CN"/>
              </w:rPr>
            </w:pPr>
          </w:p>
        </w:tc>
        <w:tc>
          <w:tcPr>
            <w:tcW w:w="974" w:type="dxa"/>
            <w:tcBorders>
              <w:top w:val="single" w:color="auto" w:sz="6" w:space="0"/>
              <w:left w:val="single" w:color="auto" w:sz="6" w:space="0"/>
              <w:bottom w:val="single" w:color="auto" w:sz="4" w:space="0"/>
              <w:right w:val="single" w:color="auto" w:sz="6" w:space="0"/>
            </w:tcBorders>
            <w:noWrap w:val="0"/>
            <w:vAlign w:val="center"/>
          </w:tcPr>
          <w:p w14:paraId="23DE9E86">
            <w:pPr>
              <w:spacing w:before="197" w:beforeLines="50"/>
              <w:jc w:val="center"/>
              <w:rPr>
                <w:rFonts w:ascii="宋体" w:hAnsi="宋体"/>
                <w:sz w:val="24"/>
                <w:szCs w:val="24"/>
                <w:highlight w:val="none"/>
              </w:rPr>
            </w:pPr>
          </w:p>
        </w:tc>
        <w:tc>
          <w:tcPr>
            <w:tcW w:w="1059" w:type="dxa"/>
            <w:tcBorders>
              <w:top w:val="single" w:color="auto" w:sz="6" w:space="0"/>
              <w:left w:val="single" w:color="auto" w:sz="6" w:space="0"/>
              <w:bottom w:val="single" w:color="auto" w:sz="4" w:space="0"/>
              <w:right w:val="single" w:color="auto" w:sz="6" w:space="0"/>
            </w:tcBorders>
            <w:noWrap w:val="0"/>
            <w:vAlign w:val="center"/>
          </w:tcPr>
          <w:p w14:paraId="32A2CA83">
            <w:pPr>
              <w:spacing w:before="197" w:beforeLines="50"/>
              <w:jc w:val="center"/>
              <w:rPr>
                <w:rFonts w:ascii="宋体" w:hAnsi="宋体"/>
                <w:sz w:val="24"/>
                <w:szCs w:val="24"/>
                <w:highlight w:val="none"/>
              </w:rPr>
            </w:pPr>
          </w:p>
        </w:tc>
      </w:tr>
      <w:tr w14:paraId="4D25E6A0">
        <w:tblPrEx>
          <w:tblCellMar>
            <w:top w:w="0" w:type="dxa"/>
            <w:left w:w="28" w:type="dxa"/>
            <w:bottom w:w="0" w:type="dxa"/>
            <w:right w:w="28" w:type="dxa"/>
          </w:tblCellMar>
        </w:tblPrEx>
        <w:trPr>
          <w:trHeight w:val="782" w:hRule="atLeast"/>
          <w:jc w:val="center"/>
        </w:trPr>
        <w:tc>
          <w:tcPr>
            <w:tcW w:w="1260" w:type="dxa"/>
            <w:gridSpan w:val="2"/>
            <w:tcBorders>
              <w:top w:val="single" w:color="auto" w:sz="4" w:space="0"/>
              <w:left w:val="single" w:color="auto" w:sz="6" w:space="0"/>
              <w:bottom w:val="single" w:color="auto" w:sz="6" w:space="0"/>
            </w:tcBorders>
            <w:noWrap w:val="0"/>
            <w:vAlign w:val="center"/>
          </w:tcPr>
          <w:p w14:paraId="4BD9137D">
            <w:pPr>
              <w:jc w:val="center"/>
              <w:rPr>
                <w:rFonts w:hint="eastAsia" w:ascii="宋体" w:hAnsi="宋体" w:eastAsia="宋体"/>
                <w:sz w:val="24"/>
                <w:szCs w:val="24"/>
                <w:highlight w:val="none"/>
                <w:lang w:eastAsia="zh-CN"/>
              </w:rPr>
            </w:pPr>
            <w:r>
              <w:rPr>
                <w:rFonts w:hint="eastAsia" w:ascii="Times New Roman" w:hAnsi="宋体" w:eastAsia="微软雅黑" w:cs="Times New Roman"/>
                <w:kern w:val="2"/>
                <w:sz w:val="24"/>
                <w:szCs w:val="24"/>
                <w:highlight w:val="none"/>
                <w:lang w:val="en-US" w:eastAsia="zh-CN" w:bidi="ar-SA"/>
              </w:rPr>
              <w:t>Total Bid Price</w:t>
            </w:r>
          </w:p>
        </w:tc>
        <w:tc>
          <w:tcPr>
            <w:tcW w:w="7356" w:type="dxa"/>
            <w:gridSpan w:val="7"/>
            <w:tcBorders>
              <w:top w:val="single" w:color="auto" w:sz="4" w:space="0"/>
              <w:left w:val="single" w:color="auto" w:sz="6" w:space="0"/>
              <w:bottom w:val="single" w:color="auto" w:sz="6" w:space="0"/>
              <w:right w:val="single" w:color="auto" w:sz="6" w:space="0"/>
            </w:tcBorders>
            <w:noWrap w:val="0"/>
            <w:vAlign w:val="center"/>
          </w:tcPr>
          <w:p w14:paraId="4B33F28A">
            <w:pPr>
              <w:spacing w:before="197" w:beforeLines="50"/>
              <w:rPr>
                <w:rFonts w:hint="eastAsia" w:ascii="宋体" w:hAnsi="宋体" w:eastAsia="宋体"/>
                <w:sz w:val="24"/>
                <w:szCs w:val="24"/>
                <w:highlight w:val="none"/>
                <w:lang w:eastAsia="zh-CN"/>
              </w:rPr>
            </w:pPr>
            <w:r>
              <w:rPr>
                <w:rFonts w:hint="eastAsia" w:ascii="Times New Roman" w:hAnsi="宋体" w:eastAsia="微软雅黑" w:cs="Times New Roman"/>
                <w:kern w:val="2"/>
                <w:sz w:val="24"/>
                <w:szCs w:val="24"/>
                <w:highlight w:val="none"/>
                <w:lang w:val="en-US" w:eastAsia="zh-CN" w:bidi="ar-SA"/>
              </w:rPr>
              <w:t>Capital: Small: Yuan                       Capital: Small: Yuan</w:t>
            </w:r>
          </w:p>
        </w:tc>
      </w:tr>
      <w:tr w14:paraId="75B37ED7">
        <w:tblPrEx>
          <w:tblCellMar>
            <w:top w:w="0" w:type="dxa"/>
            <w:left w:w="28" w:type="dxa"/>
            <w:bottom w:w="0" w:type="dxa"/>
            <w:right w:w="28" w:type="dxa"/>
          </w:tblCellMar>
        </w:tblPrEx>
        <w:trPr>
          <w:trHeight w:val="528" w:hRule="atLeast"/>
          <w:jc w:val="center"/>
        </w:trPr>
        <w:tc>
          <w:tcPr>
            <w:tcW w:w="1260" w:type="dxa"/>
            <w:gridSpan w:val="2"/>
            <w:tcBorders>
              <w:top w:val="single" w:color="auto" w:sz="4" w:space="0"/>
              <w:left w:val="single" w:color="auto" w:sz="6" w:space="0"/>
              <w:bottom w:val="single" w:color="auto" w:sz="6" w:space="0"/>
            </w:tcBorders>
            <w:noWrap w:val="0"/>
            <w:vAlign w:val="center"/>
          </w:tcPr>
          <w:p w14:paraId="2793942B">
            <w:pPr>
              <w:jc w:val="center"/>
              <w:rPr>
                <w:rFonts w:hint="eastAsia" w:ascii="宋体" w:hAnsi="宋体" w:eastAsia="宋体"/>
                <w:sz w:val="24"/>
                <w:szCs w:val="24"/>
                <w:highlight w:val="none"/>
                <w:lang w:eastAsia="zh-CN"/>
              </w:rPr>
            </w:pPr>
            <w:r>
              <w:rPr>
                <w:rFonts w:hint="eastAsia" w:ascii="Times New Roman" w:hAnsi="宋体" w:eastAsia="微软雅黑" w:cs="Times New Roman"/>
                <w:kern w:val="2"/>
                <w:sz w:val="24"/>
                <w:szCs w:val="24"/>
                <w:highlight w:val="none"/>
                <w:lang w:val="en-US" w:eastAsia="zh-CN" w:bidi="ar-SA"/>
              </w:rPr>
              <w:t>remarks</w:t>
            </w:r>
          </w:p>
        </w:tc>
        <w:tc>
          <w:tcPr>
            <w:tcW w:w="7356" w:type="dxa"/>
            <w:gridSpan w:val="7"/>
            <w:tcBorders>
              <w:top w:val="single" w:color="auto" w:sz="4" w:space="0"/>
              <w:left w:val="single" w:color="auto" w:sz="6" w:space="0"/>
              <w:bottom w:val="single" w:color="auto" w:sz="6" w:space="0"/>
              <w:right w:val="single" w:color="auto" w:sz="6" w:space="0"/>
            </w:tcBorders>
            <w:noWrap w:val="0"/>
            <w:vAlign w:val="center"/>
          </w:tcPr>
          <w:p w14:paraId="02AFDFFE">
            <w:pPr>
              <w:pStyle w:val="8"/>
              <w:rPr>
                <w:rFonts w:ascii="宋体" w:hAnsi="宋体"/>
                <w:sz w:val="24"/>
                <w:szCs w:val="24"/>
                <w:highlight w:val="none"/>
              </w:rPr>
            </w:pPr>
            <w:r>
              <w:rPr>
                <w:rFonts w:hint="eastAsia" w:ascii="Times New Roman" w:hAnsi="宋体" w:eastAsia="微软雅黑" w:cs="Times New Roman"/>
                <w:kern w:val="2"/>
                <w:sz w:val="24"/>
                <w:szCs w:val="24"/>
                <w:highlight w:val="none"/>
                <w:lang w:val="en-US" w:eastAsia="zh-CN" w:bidi="ar-SA"/>
              </w:rPr>
              <w:t>Keep two decimal places.</w:t>
            </w:r>
          </w:p>
        </w:tc>
      </w:tr>
    </w:tbl>
    <w:p w14:paraId="32E462B6">
      <w:pPr>
        <w:outlineLvl w:val="9"/>
        <w:rPr>
          <w:highlight w:val="none"/>
        </w:rPr>
      </w:pPr>
    </w:p>
    <w:p w14:paraId="09968DB7">
      <w:pPr>
        <w:adjustRightInd w:val="0"/>
        <w:snapToGrid w:val="0"/>
        <w:spacing w:line="480" w:lineRule="auto"/>
        <w:rPr>
          <w:rFonts w:hint="eastAsia" w:ascii="宋体" w:eastAsia="宋体"/>
          <w:color w:val="000000"/>
          <w:highlight w:val="none"/>
          <w:lang w:eastAsia="zh-CN"/>
        </w:rPr>
      </w:pPr>
      <w:r>
        <w:rPr>
          <w:rFonts w:hint="eastAsia" w:ascii="Times New Roman" w:hAnsi="宋体" w:eastAsia="微软雅黑" w:cs="Times New Roman"/>
          <w:color w:val="000000"/>
          <w:kern w:val="2"/>
          <w:sz w:val="21"/>
          <w:szCs w:val="22"/>
          <w:highlight w:val="none"/>
          <w:lang w:val="en-US" w:eastAsia="zh-CN" w:bidi="ar-SA"/>
        </w:rPr>
        <w:t>Supplier (Company Name and Official Seal):</w:t>
      </w:r>
    </w:p>
    <w:p w14:paraId="32E44CC2">
      <w:pPr>
        <w:adjustRightInd w:val="0"/>
        <w:snapToGrid w:val="0"/>
        <w:spacing w:line="480" w:lineRule="auto"/>
        <w:rPr>
          <w:rFonts w:hint="eastAsia" w:ascii="宋体" w:eastAsia="宋体" w:cs="宋体"/>
          <w:highlight w:val="none"/>
          <w:lang w:eastAsia="zh-CN"/>
        </w:rPr>
      </w:pPr>
      <w:r>
        <w:rPr>
          <w:rFonts w:hint="eastAsia" w:ascii="Times New Roman" w:hAnsi="宋体" w:eastAsia="微软雅黑" w:cs="宋体"/>
          <w:kern w:val="2"/>
          <w:sz w:val="21"/>
          <w:szCs w:val="22"/>
          <w:highlight w:val="none"/>
          <w:lang w:val="en-US" w:eastAsia="zh-CN" w:bidi="ar-SA"/>
        </w:rPr>
        <w:t>Date: _______ year ________ month _______ day</w:t>
      </w:r>
    </w:p>
    <w:p w14:paraId="3E0BAB44">
      <w:pPr>
        <w:jc w:val="center"/>
        <w:outlineLvl w:val="9"/>
        <w:rPr>
          <w:rFonts w:hint="eastAsia" w:ascii="宋体" w:hAnsi="宋体" w:cs="宋体"/>
          <w:highlight w:val="none"/>
        </w:rPr>
        <w:sectPr>
          <w:headerReference r:id="rId14" w:type="default"/>
          <w:footerReference r:id="rId15" w:type="default"/>
          <w:pgSz w:w="11906" w:h="16838"/>
          <w:pgMar w:top="1440" w:right="1803" w:bottom="1440" w:left="1803" w:header="851" w:footer="992" w:gutter="0"/>
          <w:pgNumType w:fmt="decimal"/>
          <w:cols w:space="720" w:num="1"/>
          <w:docGrid w:type="lines" w:linePitch="319" w:charSpace="0"/>
        </w:sectPr>
      </w:pPr>
    </w:p>
    <w:p w14:paraId="3B2FF047">
      <w:pPr>
        <w:snapToGrid w:val="0"/>
        <w:spacing w:line="360" w:lineRule="auto"/>
        <w:jc w:val="center"/>
        <w:rPr>
          <w:rFonts w:hint="eastAsia" w:ascii="宋体" w:hAnsi="宋体" w:eastAsia="宋体"/>
          <w:b/>
          <w:bCs/>
          <w:kern w:val="0"/>
          <w:sz w:val="36"/>
          <w:szCs w:val="36"/>
          <w:highlight w:val="none"/>
          <w:lang w:eastAsia="zh-CN"/>
        </w:rPr>
      </w:pPr>
      <w:r>
        <w:rPr>
          <w:rFonts w:hint="eastAsia" w:ascii="Times New Roman" w:hAnsi="宋体" w:eastAsia="微软雅黑" w:cs="Times New Roman"/>
          <w:b/>
          <w:bCs/>
          <w:kern w:val="0"/>
          <w:sz w:val="36"/>
          <w:szCs w:val="36"/>
          <w:highlight w:val="none"/>
          <w:lang w:val="en-US" w:eastAsia="zh-CN" w:bidi="ar-SA"/>
        </w:rPr>
        <w:t>Specific Configuration Overview Table</w:t>
      </w:r>
    </w:p>
    <w:p w14:paraId="0038DF4F">
      <w:pPr>
        <w:wordWrap w:val="0"/>
        <w:spacing w:line="360" w:lineRule="auto"/>
        <w:rPr>
          <w:rFonts w:hint="eastAsia" w:ascii="宋体" w:hAnsi="宋体" w:eastAsia="宋体" w:cs="宋体"/>
          <w:color w:val="000000"/>
          <w:sz w:val="24"/>
          <w:szCs w:val="24"/>
          <w:highlight w:val="none"/>
          <w:lang w:eastAsia="zh-CN"/>
        </w:rPr>
      </w:pPr>
      <w:r>
        <w:rPr>
          <w:rFonts w:hint="eastAsia" w:ascii="Times New Roman" w:hAnsi="宋体" w:eastAsia="微软雅黑" w:cs="宋体"/>
          <w:color w:val="000000"/>
          <w:kern w:val="2"/>
          <w:sz w:val="24"/>
          <w:szCs w:val="24"/>
          <w:highlight w:val="none"/>
          <w:lang w:val="en-US" w:eastAsia="zh-CN" w:bidi="ar-SA"/>
        </w:rPr>
        <w:t>Project Name: Procurement Project for Digital Subtraction Angiography (DSA) Equipment for Hospitals in the Yangling Demonstration Zone</w:t>
      </w:r>
    </w:p>
    <w:p w14:paraId="5053BC25">
      <w:pPr>
        <w:wordWrap w:val="0"/>
        <w:spacing w:line="360" w:lineRule="auto"/>
        <w:rPr>
          <w:rFonts w:hint="eastAsia" w:ascii="宋体" w:eastAsia="宋体" w:cs="宋体"/>
          <w:color w:val="000000"/>
          <w:highlight w:val="none"/>
          <w:u w:val="single"/>
          <w:lang w:eastAsia="zh-CN"/>
        </w:rPr>
      </w:pPr>
      <w:r>
        <w:rPr>
          <w:rFonts w:hint="eastAsia" w:ascii="Times New Roman" w:hAnsi="宋体" w:eastAsia="微软雅黑" w:cs="宋体"/>
          <w:color w:val="000000"/>
          <w:kern w:val="2"/>
          <w:sz w:val="24"/>
          <w:szCs w:val="24"/>
          <w:highlight w:val="none"/>
          <w:lang w:val="en-US" w:eastAsia="zh-CN" w:bidi="ar-SA"/>
        </w:rPr>
        <w:t>Project Number: ZMZB2026YLYY-282</w:t>
      </w:r>
    </w:p>
    <w:p w14:paraId="08DAD532">
      <w:pPr>
        <w:rPr>
          <w:rFonts w:hint="eastAsia"/>
          <w:highlight w:val="none"/>
        </w:rPr>
      </w:pPr>
    </w:p>
    <w:tbl>
      <w:tblPr>
        <w:tblStyle w:val="30"/>
        <w:tblW w:w="81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
        <w:gridCol w:w="1118"/>
        <w:gridCol w:w="902"/>
        <w:gridCol w:w="1053"/>
        <w:gridCol w:w="818"/>
        <w:gridCol w:w="833"/>
        <w:gridCol w:w="1024"/>
        <w:gridCol w:w="780"/>
        <w:gridCol w:w="903"/>
      </w:tblGrid>
      <w:tr w14:paraId="50E97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684" w:type="dxa"/>
            <w:noWrap w:val="0"/>
            <w:vAlign w:val="top"/>
          </w:tcPr>
          <w:p w14:paraId="0CD3AAAD">
            <w:pPr>
              <w:jc w:val="center"/>
              <w:rPr>
                <w:rFonts w:hint="eastAsia" w:ascii="宋体" w:hAnsi="宋体" w:eastAsia="宋体" w:cs="宋体"/>
                <w:highlight w:val="none"/>
                <w:lang w:eastAsia="zh-CN"/>
              </w:rPr>
            </w:pPr>
            <w:r>
              <w:rPr>
                <w:rFonts w:hint="eastAsia" w:ascii="Times New Roman" w:hAnsi="宋体" w:eastAsia="微软雅黑" w:cs="宋体"/>
                <w:kern w:val="2"/>
                <w:sz w:val="21"/>
                <w:szCs w:val="22"/>
                <w:highlight w:val="none"/>
                <w:lang w:val="en-US" w:eastAsia="zh-CN" w:bidi="ar-SA"/>
              </w:rPr>
              <w:t>order number</w:t>
            </w:r>
          </w:p>
        </w:tc>
        <w:tc>
          <w:tcPr>
            <w:tcW w:w="1118" w:type="dxa"/>
            <w:noWrap w:val="0"/>
            <w:vAlign w:val="top"/>
          </w:tcPr>
          <w:p w14:paraId="754A8312">
            <w:pPr>
              <w:jc w:val="center"/>
              <w:rPr>
                <w:rFonts w:hint="eastAsia" w:ascii="宋体" w:hAnsi="宋体" w:eastAsia="宋体" w:cs="宋体"/>
                <w:highlight w:val="none"/>
                <w:lang w:eastAsia="zh-CN"/>
              </w:rPr>
            </w:pPr>
            <w:r>
              <w:rPr>
                <w:rFonts w:hint="eastAsia" w:ascii="Times New Roman" w:hAnsi="宋体" w:eastAsia="微软雅黑" w:cs="宋体"/>
                <w:kern w:val="2"/>
                <w:sz w:val="21"/>
                <w:szCs w:val="22"/>
                <w:highlight w:val="none"/>
                <w:lang w:val="en-US" w:eastAsia="zh-CN" w:bidi="ar-SA"/>
              </w:rPr>
              <w:t>Product Name in the Tender Bid Document</w:t>
            </w:r>
          </w:p>
        </w:tc>
        <w:tc>
          <w:tcPr>
            <w:tcW w:w="902" w:type="dxa"/>
            <w:noWrap w:val="0"/>
            <w:vAlign w:val="top"/>
          </w:tcPr>
          <w:p w14:paraId="23E1DA95">
            <w:pPr>
              <w:jc w:val="center"/>
              <w:rPr>
                <w:rFonts w:hint="eastAsia" w:ascii="宋体" w:hAnsi="宋体" w:eastAsia="宋体" w:cs="宋体"/>
                <w:highlight w:val="none"/>
                <w:lang w:eastAsia="zh-CN"/>
              </w:rPr>
            </w:pPr>
            <w:r>
              <w:rPr>
                <w:rFonts w:hint="eastAsia" w:ascii="Times New Roman" w:hAnsi="宋体" w:eastAsia="微软雅黑" w:cs="宋体"/>
                <w:kern w:val="2"/>
                <w:sz w:val="21"/>
                <w:szCs w:val="22"/>
                <w:highlight w:val="none"/>
                <w:lang w:val="en-US" w:eastAsia="zh-CN" w:bidi="ar-SA"/>
              </w:rPr>
              <w:t>Specific Configuration Name</w:t>
            </w:r>
          </w:p>
        </w:tc>
        <w:tc>
          <w:tcPr>
            <w:tcW w:w="1053" w:type="dxa"/>
            <w:noWrap w:val="0"/>
            <w:vAlign w:val="top"/>
          </w:tcPr>
          <w:p w14:paraId="748E0B20">
            <w:pPr>
              <w:jc w:val="center"/>
              <w:rPr>
                <w:rFonts w:hint="eastAsia" w:ascii="宋体" w:hAnsi="宋体" w:eastAsia="宋体" w:cs="宋体"/>
                <w:highlight w:val="none"/>
                <w:lang w:eastAsia="zh-CN"/>
              </w:rPr>
            </w:pPr>
            <w:r>
              <w:rPr>
                <w:rFonts w:hint="eastAsia" w:ascii="Times New Roman" w:hAnsi="宋体" w:eastAsia="微软雅黑" w:cs="宋体"/>
                <w:kern w:val="2"/>
                <w:sz w:val="21"/>
                <w:szCs w:val="22"/>
                <w:highlight w:val="none"/>
                <w:lang w:val="en-US" w:eastAsia="zh-CN" w:bidi="ar-SA"/>
              </w:rPr>
              <w:t>Specific Configuration (Number/Unit)</w:t>
            </w:r>
          </w:p>
        </w:tc>
        <w:tc>
          <w:tcPr>
            <w:tcW w:w="818" w:type="dxa"/>
            <w:noWrap w:val="0"/>
            <w:vAlign w:val="top"/>
          </w:tcPr>
          <w:p w14:paraId="1F186B35">
            <w:pPr>
              <w:jc w:val="center"/>
              <w:rPr>
                <w:rFonts w:hint="eastAsia" w:ascii="宋体" w:hAnsi="宋体" w:eastAsia="宋体" w:cs="宋体"/>
                <w:highlight w:val="none"/>
                <w:lang w:eastAsia="zh-CN"/>
              </w:rPr>
            </w:pPr>
            <w:r>
              <w:rPr>
                <w:rFonts w:hint="eastAsia" w:ascii="Times New Roman" w:hAnsi="宋体" w:eastAsia="微软雅黑" w:cs="宋体"/>
                <w:kern w:val="2"/>
                <w:sz w:val="21"/>
                <w:szCs w:val="22"/>
                <w:highlight w:val="none"/>
                <w:lang w:val="en-US" w:eastAsia="zh-CN" w:bidi="ar-SA"/>
              </w:rPr>
              <w:t>Specific Configuration Brands</w:t>
            </w:r>
          </w:p>
        </w:tc>
        <w:tc>
          <w:tcPr>
            <w:tcW w:w="833" w:type="dxa"/>
            <w:noWrap w:val="0"/>
            <w:vAlign w:val="top"/>
          </w:tcPr>
          <w:p w14:paraId="074445AB">
            <w:pPr>
              <w:jc w:val="center"/>
              <w:rPr>
                <w:rFonts w:hint="eastAsia" w:ascii="宋体" w:hAnsi="宋体" w:eastAsia="宋体" w:cs="宋体"/>
                <w:highlight w:val="none"/>
                <w:lang w:eastAsia="zh-CN"/>
              </w:rPr>
            </w:pPr>
            <w:r>
              <w:rPr>
                <w:rFonts w:hint="eastAsia" w:ascii="Times New Roman" w:hAnsi="宋体" w:eastAsia="微软雅黑" w:cs="宋体"/>
                <w:kern w:val="2"/>
                <w:sz w:val="21"/>
                <w:szCs w:val="22"/>
                <w:highlight w:val="none"/>
                <w:lang w:val="en-US" w:eastAsia="zh-CN" w:bidi="ar-SA"/>
              </w:rPr>
              <w:t>Specific Configuration Model</w:t>
            </w:r>
          </w:p>
        </w:tc>
        <w:tc>
          <w:tcPr>
            <w:tcW w:w="1024" w:type="dxa"/>
            <w:noWrap w:val="0"/>
            <w:vAlign w:val="top"/>
          </w:tcPr>
          <w:p w14:paraId="06EBEFDB">
            <w:pPr>
              <w:jc w:val="center"/>
              <w:rPr>
                <w:rFonts w:hint="eastAsia" w:ascii="宋体" w:hAnsi="宋体" w:eastAsia="宋体" w:cs="宋体"/>
                <w:highlight w:val="none"/>
                <w:lang w:eastAsia="zh-CN"/>
              </w:rPr>
            </w:pPr>
            <w:r>
              <w:rPr>
                <w:rFonts w:hint="eastAsia" w:ascii="Times New Roman" w:hAnsi="Times New Roman" w:eastAsia="微软雅黑" w:cs="Times New Roman"/>
                <w:kern w:val="2"/>
                <w:sz w:val="21"/>
                <w:szCs w:val="22"/>
                <w:highlight w:val="none"/>
                <w:lang w:val="en-US" w:eastAsia="zh-CN" w:bidi="ar-SA"/>
              </w:rPr>
              <w:t>Specific Configuration: Full Name of the Manufacturer</w:t>
            </w:r>
          </w:p>
        </w:tc>
        <w:tc>
          <w:tcPr>
            <w:tcW w:w="780" w:type="dxa"/>
            <w:noWrap w:val="0"/>
            <w:vAlign w:val="top"/>
          </w:tcPr>
          <w:p w14:paraId="77BFC92D">
            <w:pPr>
              <w:jc w:val="center"/>
              <w:rPr>
                <w:rFonts w:hint="eastAsia" w:ascii="宋体" w:hAnsi="宋体" w:eastAsia="宋体" w:cs="宋体"/>
                <w:highlight w:val="none"/>
                <w:lang w:eastAsia="zh-CN"/>
              </w:rPr>
            </w:pPr>
            <w:r>
              <w:rPr>
                <w:rFonts w:hint="eastAsia" w:ascii="Times New Roman" w:hAnsi="宋体" w:eastAsia="微软雅黑" w:cs="宋体"/>
                <w:kern w:val="2"/>
                <w:sz w:val="21"/>
                <w:szCs w:val="22"/>
                <w:highlight w:val="none"/>
                <w:lang w:val="en-US" w:eastAsia="zh-CN" w:bidi="ar-SA"/>
              </w:rPr>
              <w:t>country of origin</w:t>
            </w:r>
          </w:p>
        </w:tc>
        <w:tc>
          <w:tcPr>
            <w:tcW w:w="903" w:type="dxa"/>
            <w:noWrap w:val="0"/>
            <w:vAlign w:val="top"/>
          </w:tcPr>
          <w:p w14:paraId="66C63ED7">
            <w:pPr>
              <w:jc w:val="center"/>
              <w:rPr>
                <w:rFonts w:hint="eastAsia" w:ascii="宋体" w:hAnsi="宋体" w:eastAsia="宋体" w:cs="宋体"/>
                <w:highlight w:val="none"/>
                <w:lang w:eastAsia="zh-CN"/>
              </w:rPr>
            </w:pPr>
            <w:r>
              <w:rPr>
                <w:rFonts w:hint="eastAsia" w:ascii="Times New Roman" w:hAnsi="宋体" w:eastAsia="微软雅黑" w:cs="宋体"/>
                <w:kern w:val="2"/>
                <w:sz w:val="21"/>
                <w:szCs w:val="22"/>
                <w:highlight w:val="none"/>
                <w:lang w:val="en-US" w:eastAsia="zh-CN" w:bidi="ar-SA"/>
              </w:rPr>
              <w:t>remarks</w:t>
            </w:r>
          </w:p>
        </w:tc>
      </w:tr>
      <w:tr w14:paraId="45C74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684" w:type="dxa"/>
            <w:vMerge w:val="restart"/>
            <w:noWrap w:val="0"/>
            <w:vAlign w:val="top"/>
          </w:tcPr>
          <w:p w14:paraId="761C1361">
            <w:pPr>
              <w:jc w:val="center"/>
              <w:rPr>
                <w:rFonts w:hint="eastAsia" w:ascii="宋体" w:hAnsi="宋体" w:eastAsia="宋体" w:cs="宋体"/>
                <w:highlight w:val="none"/>
                <w:lang w:eastAsia="zh-CN"/>
              </w:rPr>
            </w:pPr>
            <w:r>
              <w:rPr>
                <w:rFonts w:hint="eastAsia" w:ascii="Times New Roman" w:hAnsi="宋体" w:eastAsia="微软雅黑" w:cs="宋体"/>
                <w:kern w:val="2"/>
                <w:sz w:val="21"/>
                <w:szCs w:val="22"/>
                <w:highlight w:val="none"/>
                <w:lang w:val="en-US" w:eastAsia="zh-CN" w:bidi="ar-SA"/>
              </w:rPr>
              <w:t>1</w:t>
            </w:r>
          </w:p>
        </w:tc>
        <w:tc>
          <w:tcPr>
            <w:tcW w:w="1118" w:type="dxa"/>
            <w:vMerge w:val="restart"/>
            <w:noWrap w:val="0"/>
            <w:vAlign w:val="top"/>
          </w:tcPr>
          <w:p w14:paraId="148CF25E">
            <w:pPr>
              <w:jc w:val="center"/>
              <w:rPr>
                <w:rFonts w:ascii="宋体" w:hAnsi="宋体" w:cs="宋体"/>
                <w:highlight w:val="none"/>
              </w:rPr>
            </w:pPr>
            <w:r>
              <w:rPr>
                <w:rFonts w:hint="eastAsia" w:ascii="Times New Roman" w:hAnsi="宋体" w:eastAsia="微软雅黑" w:cs="宋体"/>
                <w:kern w:val="2"/>
                <w:sz w:val="21"/>
                <w:szCs w:val="22"/>
                <w:highlight w:val="none"/>
                <w:lang w:val="en-US" w:eastAsia="zh-CN" w:bidi="ar-SA"/>
              </w:rPr>
              <w:t>Digital subtraction angiography (DSA) system</w:t>
            </w:r>
          </w:p>
        </w:tc>
        <w:tc>
          <w:tcPr>
            <w:tcW w:w="902" w:type="dxa"/>
            <w:noWrap w:val="0"/>
            <w:vAlign w:val="top"/>
          </w:tcPr>
          <w:p w14:paraId="3558BCF7">
            <w:pPr>
              <w:rPr>
                <w:rFonts w:hint="eastAsia" w:ascii="宋体" w:hAnsi="宋体" w:eastAsia="宋体" w:cs="宋体"/>
                <w:highlight w:val="none"/>
                <w:lang w:eastAsia="zh-CN"/>
              </w:rPr>
            </w:pPr>
            <w:r>
              <w:rPr>
                <w:rFonts w:hint="eastAsia" w:ascii="Times New Roman" w:hAnsi="宋体" w:eastAsia="微软雅黑" w:cs="宋体"/>
                <w:kern w:val="2"/>
                <w:sz w:val="21"/>
                <w:szCs w:val="22"/>
                <w:highlight w:val="none"/>
                <w:lang w:val="en-US" w:eastAsia="zh-CN" w:bidi="ar-SA"/>
              </w:rPr>
              <w:t>1.</w:t>
            </w:r>
          </w:p>
        </w:tc>
        <w:tc>
          <w:tcPr>
            <w:tcW w:w="1053" w:type="dxa"/>
            <w:noWrap w:val="0"/>
            <w:vAlign w:val="top"/>
          </w:tcPr>
          <w:p w14:paraId="24B369AC">
            <w:pPr>
              <w:rPr>
                <w:rFonts w:ascii="宋体" w:hAnsi="宋体" w:cs="宋体"/>
                <w:highlight w:val="none"/>
              </w:rPr>
            </w:pPr>
          </w:p>
        </w:tc>
        <w:tc>
          <w:tcPr>
            <w:tcW w:w="818" w:type="dxa"/>
            <w:noWrap w:val="0"/>
            <w:vAlign w:val="top"/>
          </w:tcPr>
          <w:p w14:paraId="4BBF162D">
            <w:pPr>
              <w:rPr>
                <w:rFonts w:ascii="宋体" w:hAnsi="宋体" w:cs="宋体"/>
                <w:highlight w:val="none"/>
              </w:rPr>
            </w:pPr>
          </w:p>
        </w:tc>
        <w:tc>
          <w:tcPr>
            <w:tcW w:w="833" w:type="dxa"/>
            <w:noWrap w:val="0"/>
            <w:vAlign w:val="top"/>
          </w:tcPr>
          <w:p w14:paraId="4B8D5F07">
            <w:pPr>
              <w:rPr>
                <w:rFonts w:ascii="宋体" w:hAnsi="宋体" w:cs="宋体"/>
                <w:highlight w:val="none"/>
              </w:rPr>
            </w:pPr>
          </w:p>
        </w:tc>
        <w:tc>
          <w:tcPr>
            <w:tcW w:w="1024" w:type="dxa"/>
            <w:noWrap w:val="0"/>
            <w:vAlign w:val="top"/>
          </w:tcPr>
          <w:p w14:paraId="352BEC6A">
            <w:pPr>
              <w:rPr>
                <w:rFonts w:ascii="宋体" w:hAnsi="宋体" w:cs="宋体"/>
                <w:highlight w:val="none"/>
              </w:rPr>
            </w:pPr>
          </w:p>
        </w:tc>
        <w:tc>
          <w:tcPr>
            <w:tcW w:w="780" w:type="dxa"/>
            <w:noWrap w:val="0"/>
            <w:vAlign w:val="top"/>
          </w:tcPr>
          <w:p w14:paraId="5905E6F9">
            <w:pPr>
              <w:rPr>
                <w:rFonts w:ascii="宋体" w:hAnsi="宋体" w:cs="宋体"/>
                <w:highlight w:val="none"/>
              </w:rPr>
            </w:pPr>
          </w:p>
        </w:tc>
        <w:tc>
          <w:tcPr>
            <w:tcW w:w="903" w:type="dxa"/>
            <w:noWrap w:val="0"/>
            <w:vAlign w:val="top"/>
          </w:tcPr>
          <w:p w14:paraId="6503668A">
            <w:pPr>
              <w:rPr>
                <w:rFonts w:ascii="宋体" w:hAnsi="宋体" w:cs="宋体"/>
                <w:highlight w:val="none"/>
              </w:rPr>
            </w:pPr>
          </w:p>
        </w:tc>
      </w:tr>
      <w:tr w14:paraId="55EAA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684" w:type="dxa"/>
            <w:vMerge w:val="continue"/>
            <w:noWrap w:val="0"/>
            <w:vAlign w:val="top"/>
          </w:tcPr>
          <w:p w14:paraId="6026DA0E">
            <w:pPr>
              <w:jc w:val="center"/>
              <w:rPr>
                <w:rFonts w:ascii="宋体" w:hAnsi="宋体" w:cs="宋体"/>
                <w:highlight w:val="none"/>
              </w:rPr>
            </w:pPr>
          </w:p>
        </w:tc>
        <w:tc>
          <w:tcPr>
            <w:tcW w:w="1118" w:type="dxa"/>
            <w:vMerge w:val="continue"/>
            <w:noWrap w:val="0"/>
            <w:vAlign w:val="top"/>
          </w:tcPr>
          <w:p w14:paraId="343B13D8">
            <w:pPr>
              <w:rPr>
                <w:rFonts w:ascii="宋体" w:hAnsi="宋体" w:cs="宋体"/>
                <w:highlight w:val="none"/>
              </w:rPr>
            </w:pPr>
          </w:p>
        </w:tc>
        <w:tc>
          <w:tcPr>
            <w:tcW w:w="902" w:type="dxa"/>
            <w:noWrap w:val="0"/>
            <w:vAlign w:val="top"/>
          </w:tcPr>
          <w:p w14:paraId="619D8AB0">
            <w:pPr>
              <w:rPr>
                <w:rFonts w:hint="eastAsia" w:ascii="宋体" w:hAnsi="宋体" w:eastAsia="宋体" w:cs="宋体"/>
                <w:highlight w:val="none"/>
                <w:lang w:eastAsia="zh-CN"/>
              </w:rPr>
            </w:pPr>
            <w:r>
              <w:rPr>
                <w:rFonts w:hint="eastAsia" w:ascii="Times New Roman" w:hAnsi="宋体" w:eastAsia="微软雅黑" w:cs="宋体"/>
                <w:kern w:val="2"/>
                <w:sz w:val="21"/>
                <w:szCs w:val="22"/>
                <w:highlight w:val="none"/>
                <w:lang w:val="en-US" w:eastAsia="zh-CN" w:bidi="ar-SA"/>
              </w:rPr>
              <w:t>2.</w:t>
            </w:r>
          </w:p>
        </w:tc>
        <w:tc>
          <w:tcPr>
            <w:tcW w:w="1053" w:type="dxa"/>
            <w:noWrap w:val="0"/>
            <w:vAlign w:val="top"/>
          </w:tcPr>
          <w:p w14:paraId="5FCC670E">
            <w:pPr>
              <w:rPr>
                <w:rFonts w:ascii="宋体" w:hAnsi="宋体" w:cs="宋体"/>
                <w:highlight w:val="none"/>
              </w:rPr>
            </w:pPr>
          </w:p>
        </w:tc>
        <w:tc>
          <w:tcPr>
            <w:tcW w:w="818" w:type="dxa"/>
            <w:noWrap w:val="0"/>
            <w:vAlign w:val="top"/>
          </w:tcPr>
          <w:p w14:paraId="22E5FF0F">
            <w:pPr>
              <w:rPr>
                <w:rFonts w:ascii="宋体" w:hAnsi="宋体" w:cs="宋体"/>
                <w:highlight w:val="none"/>
              </w:rPr>
            </w:pPr>
          </w:p>
        </w:tc>
        <w:tc>
          <w:tcPr>
            <w:tcW w:w="833" w:type="dxa"/>
            <w:noWrap w:val="0"/>
            <w:vAlign w:val="top"/>
          </w:tcPr>
          <w:p w14:paraId="6CE8629F">
            <w:pPr>
              <w:rPr>
                <w:rFonts w:ascii="宋体" w:hAnsi="宋体" w:cs="宋体"/>
                <w:highlight w:val="none"/>
              </w:rPr>
            </w:pPr>
          </w:p>
        </w:tc>
        <w:tc>
          <w:tcPr>
            <w:tcW w:w="1024" w:type="dxa"/>
            <w:noWrap w:val="0"/>
            <w:vAlign w:val="top"/>
          </w:tcPr>
          <w:p w14:paraId="6F01DD8C">
            <w:pPr>
              <w:rPr>
                <w:rFonts w:ascii="宋体" w:hAnsi="宋体" w:cs="宋体"/>
                <w:highlight w:val="none"/>
              </w:rPr>
            </w:pPr>
          </w:p>
        </w:tc>
        <w:tc>
          <w:tcPr>
            <w:tcW w:w="780" w:type="dxa"/>
            <w:noWrap w:val="0"/>
            <w:vAlign w:val="top"/>
          </w:tcPr>
          <w:p w14:paraId="1ED13D51">
            <w:pPr>
              <w:rPr>
                <w:rFonts w:ascii="宋体" w:hAnsi="宋体" w:cs="宋体"/>
                <w:highlight w:val="none"/>
              </w:rPr>
            </w:pPr>
          </w:p>
        </w:tc>
        <w:tc>
          <w:tcPr>
            <w:tcW w:w="903" w:type="dxa"/>
            <w:noWrap w:val="0"/>
            <w:vAlign w:val="top"/>
          </w:tcPr>
          <w:p w14:paraId="18AAA075">
            <w:pPr>
              <w:rPr>
                <w:rFonts w:ascii="宋体" w:hAnsi="宋体" w:cs="宋体"/>
                <w:highlight w:val="none"/>
              </w:rPr>
            </w:pPr>
          </w:p>
        </w:tc>
      </w:tr>
      <w:tr w14:paraId="1834F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684" w:type="dxa"/>
            <w:vMerge w:val="continue"/>
            <w:noWrap w:val="0"/>
            <w:vAlign w:val="top"/>
          </w:tcPr>
          <w:p w14:paraId="5A60B410">
            <w:pPr>
              <w:jc w:val="center"/>
              <w:rPr>
                <w:rFonts w:ascii="宋体" w:hAnsi="宋体" w:cs="宋体"/>
                <w:highlight w:val="none"/>
              </w:rPr>
            </w:pPr>
          </w:p>
        </w:tc>
        <w:tc>
          <w:tcPr>
            <w:tcW w:w="1118" w:type="dxa"/>
            <w:vMerge w:val="continue"/>
            <w:noWrap w:val="0"/>
            <w:vAlign w:val="top"/>
          </w:tcPr>
          <w:p w14:paraId="03A94183">
            <w:pPr>
              <w:rPr>
                <w:rFonts w:ascii="宋体" w:hAnsi="宋体" w:cs="宋体"/>
                <w:highlight w:val="none"/>
              </w:rPr>
            </w:pPr>
          </w:p>
        </w:tc>
        <w:tc>
          <w:tcPr>
            <w:tcW w:w="902" w:type="dxa"/>
            <w:noWrap w:val="0"/>
            <w:vAlign w:val="top"/>
          </w:tcPr>
          <w:p w14:paraId="770A9FAF">
            <w:pPr>
              <w:rPr>
                <w:rFonts w:hint="eastAsia" w:ascii="宋体" w:hAnsi="宋体" w:eastAsia="宋体" w:cs="宋体"/>
                <w:highlight w:val="none"/>
                <w:lang w:eastAsia="zh-CN"/>
              </w:rPr>
            </w:pPr>
            <w:r>
              <w:rPr>
                <w:rFonts w:hint="eastAsia" w:ascii="Times New Roman" w:hAnsi="宋体" w:eastAsia="微软雅黑" w:cs="宋体"/>
                <w:kern w:val="2"/>
                <w:sz w:val="21"/>
                <w:szCs w:val="22"/>
                <w:highlight w:val="none"/>
                <w:lang w:val="en-US" w:eastAsia="zh-CN" w:bidi="ar-SA"/>
              </w:rPr>
              <w:t>N.</w:t>
            </w:r>
          </w:p>
        </w:tc>
        <w:tc>
          <w:tcPr>
            <w:tcW w:w="1053" w:type="dxa"/>
            <w:noWrap w:val="0"/>
            <w:vAlign w:val="top"/>
          </w:tcPr>
          <w:p w14:paraId="3D83F540">
            <w:pPr>
              <w:rPr>
                <w:rFonts w:ascii="宋体" w:hAnsi="宋体" w:cs="宋体"/>
                <w:highlight w:val="none"/>
              </w:rPr>
            </w:pPr>
          </w:p>
        </w:tc>
        <w:tc>
          <w:tcPr>
            <w:tcW w:w="818" w:type="dxa"/>
            <w:noWrap w:val="0"/>
            <w:vAlign w:val="top"/>
          </w:tcPr>
          <w:p w14:paraId="60B53BB2">
            <w:pPr>
              <w:rPr>
                <w:rFonts w:ascii="宋体" w:hAnsi="宋体" w:cs="宋体"/>
                <w:highlight w:val="none"/>
              </w:rPr>
            </w:pPr>
          </w:p>
        </w:tc>
        <w:tc>
          <w:tcPr>
            <w:tcW w:w="833" w:type="dxa"/>
            <w:noWrap w:val="0"/>
            <w:vAlign w:val="top"/>
          </w:tcPr>
          <w:p w14:paraId="484E6EB9">
            <w:pPr>
              <w:rPr>
                <w:rFonts w:ascii="宋体" w:hAnsi="宋体" w:cs="宋体"/>
                <w:highlight w:val="none"/>
              </w:rPr>
            </w:pPr>
          </w:p>
        </w:tc>
        <w:tc>
          <w:tcPr>
            <w:tcW w:w="1024" w:type="dxa"/>
            <w:noWrap w:val="0"/>
            <w:vAlign w:val="top"/>
          </w:tcPr>
          <w:p w14:paraId="3ACD37F4">
            <w:pPr>
              <w:rPr>
                <w:rFonts w:ascii="宋体" w:hAnsi="宋体" w:cs="宋体"/>
                <w:highlight w:val="none"/>
              </w:rPr>
            </w:pPr>
          </w:p>
        </w:tc>
        <w:tc>
          <w:tcPr>
            <w:tcW w:w="780" w:type="dxa"/>
            <w:noWrap w:val="0"/>
            <w:vAlign w:val="top"/>
          </w:tcPr>
          <w:p w14:paraId="31110B69">
            <w:pPr>
              <w:rPr>
                <w:rFonts w:ascii="宋体" w:hAnsi="宋体" w:cs="宋体"/>
                <w:highlight w:val="none"/>
              </w:rPr>
            </w:pPr>
          </w:p>
        </w:tc>
        <w:tc>
          <w:tcPr>
            <w:tcW w:w="903" w:type="dxa"/>
            <w:noWrap w:val="0"/>
            <w:vAlign w:val="top"/>
          </w:tcPr>
          <w:p w14:paraId="2A0DDDD6">
            <w:pPr>
              <w:rPr>
                <w:rFonts w:ascii="宋体" w:hAnsi="宋体" w:cs="宋体"/>
                <w:highlight w:val="none"/>
              </w:rPr>
            </w:pPr>
          </w:p>
        </w:tc>
      </w:tr>
    </w:tbl>
    <w:p w14:paraId="1A516E92">
      <w:pPr>
        <w:adjustRightInd w:val="0"/>
        <w:snapToGrid w:val="0"/>
        <w:spacing w:line="480" w:lineRule="auto"/>
        <w:rPr>
          <w:rFonts w:hint="eastAsia" w:ascii="宋体" w:hAnsi="宋体"/>
          <w:color w:val="000000"/>
          <w:highlight w:val="none"/>
        </w:rPr>
      </w:pPr>
    </w:p>
    <w:p w14:paraId="1B01E822">
      <w:pPr>
        <w:adjustRightInd w:val="0"/>
        <w:snapToGrid w:val="0"/>
        <w:spacing w:line="480" w:lineRule="auto"/>
        <w:rPr>
          <w:rFonts w:hint="eastAsia" w:ascii="宋体" w:eastAsia="宋体"/>
          <w:color w:val="000000"/>
          <w:highlight w:val="none"/>
          <w:lang w:eastAsia="zh-CN"/>
        </w:rPr>
      </w:pPr>
      <w:r>
        <w:rPr>
          <w:rFonts w:hint="eastAsia" w:ascii="Times New Roman" w:hAnsi="宋体" w:eastAsia="微软雅黑" w:cs="Times New Roman"/>
          <w:color w:val="000000"/>
          <w:kern w:val="2"/>
          <w:sz w:val="21"/>
          <w:szCs w:val="22"/>
          <w:highlight w:val="none"/>
          <w:lang w:val="en-US" w:eastAsia="zh-CN" w:bidi="ar-SA"/>
        </w:rPr>
        <w:t>Supplier (Company Name and Official Seal):</w:t>
      </w:r>
    </w:p>
    <w:p w14:paraId="4B54EB1F">
      <w:pPr>
        <w:adjustRightInd w:val="0"/>
        <w:snapToGrid w:val="0"/>
        <w:spacing w:line="480" w:lineRule="auto"/>
        <w:rPr>
          <w:rFonts w:hint="eastAsia" w:ascii="宋体" w:eastAsia="宋体" w:cs="宋体"/>
          <w:highlight w:val="none"/>
          <w:lang w:eastAsia="zh-CN"/>
        </w:rPr>
      </w:pPr>
      <w:r>
        <w:rPr>
          <w:rFonts w:hint="eastAsia" w:ascii="Times New Roman" w:hAnsi="宋体" w:eastAsia="微软雅黑" w:cs="宋体"/>
          <w:kern w:val="2"/>
          <w:sz w:val="21"/>
          <w:szCs w:val="22"/>
          <w:highlight w:val="none"/>
          <w:lang w:val="en-US" w:eastAsia="zh-CN" w:bidi="ar-SA"/>
        </w:rPr>
        <w:t>Date: _______ year ________ month _______ day</w:t>
      </w:r>
    </w:p>
    <w:p w14:paraId="18954D86">
      <w:pPr>
        <w:pStyle w:val="2"/>
        <w:rPr>
          <w:rFonts w:hint="eastAsia"/>
          <w:highlight w:val="none"/>
        </w:rPr>
        <w:sectPr>
          <w:pgSz w:w="11906" w:h="16838"/>
          <w:pgMar w:top="1440" w:right="1803" w:bottom="1440" w:left="1803" w:header="851" w:footer="992" w:gutter="0"/>
          <w:pgNumType w:fmt="decimal"/>
          <w:cols w:space="720" w:num="1"/>
          <w:docGrid w:type="lines" w:linePitch="319" w:charSpace="0"/>
        </w:sectPr>
      </w:pPr>
    </w:p>
    <w:p w14:paraId="62ADDC2E">
      <w:pPr>
        <w:pStyle w:val="3"/>
        <w:jc w:val="center"/>
        <w:rPr>
          <w:rFonts w:hint="eastAsia" w:ascii="宋体" w:hAnsi="宋体" w:eastAsia="宋体" w:cs="宋体"/>
          <w:highlight w:val="none"/>
          <w:lang w:eastAsia="zh-CN"/>
        </w:rPr>
      </w:pPr>
      <w:bookmarkStart w:id="269" w:name="_Toc169"/>
      <w:r>
        <w:rPr>
          <w:rFonts w:hint="eastAsia" w:ascii="Times New Roman" w:hAnsi="宋体" w:eastAsia="微软雅黑" w:cs="宋体"/>
          <w:b/>
          <w:kern w:val="2"/>
          <w:sz w:val="28"/>
          <w:szCs w:val="22"/>
          <w:highlight w:val="none"/>
          <w:lang w:val="en-US" w:eastAsia="zh-CN" w:bidi="ar-SA"/>
        </w:rPr>
        <w:t>Part Three: Description of Business and Technical Responses</w:t>
      </w:r>
      <w:bookmarkEnd w:id="269"/>
    </w:p>
    <w:p w14:paraId="76EA7257">
      <w:pPr>
        <w:pStyle w:val="8"/>
        <w:ind w:firstLine="0"/>
        <w:rPr>
          <w:rFonts w:ascii="宋体" w:hAnsi="宋体" w:cs="宋体"/>
          <w:highlight w:val="none"/>
        </w:rPr>
      </w:pPr>
    </w:p>
    <w:p w14:paraId="1B74E006">
      <w:pPr>
        <w:jc w:val="center"/>
        <w:outlineLvl w:val="1"/>
        <w:rPr>
          <w:rFonts w:hint="eastAsia" w:ascii="宋体" w:hAnsi="宋体" w:eastAsia="宋体" w:cs="宋体"/>
          <w:b/>
          <w:bCs/>
          <w:sz w:val="28"/>
          <w:szCs w:val="32"/>
          <w:highlight w:val="none"/>
          <w:lang w:eastAsia="zh-CN"/>
        </w:rPr>
      </w:pPr>
      <w:bookmarkStart w:id="270" w:name="_Toc9958"/>
      <w:bookmarkStart w:id="271" w:name="_Toc14733"/>
      <w:bookmarkStart w:id="272" w:name="_Toc27395"/>
      <w:bookmarkStart w:id="273" w:name="_Toc9056"/>
      <w:r>
        <w:rPr>
          <w:rFonts w:hint="eastAsia" w:ascii="Times New Roman" w:hAnsi="宋体" w:eastAsia="微软雅黑" w:cs="宋体"/>
          <w:b/>
          <w:bCs/>
          <w:kern w:val="2"/>
          <w:sz w:val="28"/>
          <w:szCs w:val="32"/>
          <w:highlight w:val="none"/>
          <w:lang w:val="en-US" w:eastAsia="zh-CN" w:bidi="ar-SA"/>
        </w:rPr>
        <w:t>Business Deviation Table</w:t>
      </w:r>
      <w:bookmarkEnd w:id="270"/>
      <w:bookmarkEnd w:id="271"/>
      <w:bookmarkEnd w:id="272"/>
      <w:bookmarkEnd w:id="273"/>
    </w:p>
    <w:tbl>
      <w:tblPr>
        <w:tblStyle w:val="30"/>
        <w:tblW w:w="8758" w:type="dxa"/>
        <w:tblInd w:w="-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
        <w:gridCol w:w="1521"/>
        <w:gridCol w:w="1600"/>
        <w:gridCol w:w="1938"/>
        <w:gridCol w:w="1410"/>
        <w:gridCol w:w="1356"/>
      </w:tblGrid>
      <w:tr w14:paraId="34505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vAlign w:val="center"/>
          </w:tcPr>
          <w:p w14:paraId="727436F9">
            <w:pPr>
              <w:pStyle w:val="14"/>
              <w:spacing w:line="360" w:lineRule="auto"/>
              <w:jc w:val="center"/>
              <w:rPr>
                <w:rFonts w:hint="eastAsia"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order number</w:t>
            </w:r>
          </w:p>
        </w:tc>
        <w:tc>
          <w:tcPr>
            <w:tcW w:w="1521" w:type="dxa"/>
            <w:vAlign w:val="center"/>
          </w:tcPr>
          <w:p w14:paraId="0BAE8ECE">
            <w:pPr>
              <w:pStyle w:val="14"/>
              <w:spacing w:line="360" w:lineRule="auto"/>
              <w:jc w:val="center"/>
              <w:rPr>
                <w:rFonts w:hint="eastAsia"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Business Terms</w:t>
            </w:r>
          </w:p>
        </w:tc>
        <w:tc>
          <w:tcPr>
            <w:tcW w:w="1600" w:type="dxa"/>
            <w:vAlign w:val="center"/>
          </w:tcPr>
          <w:p w14:paraId="4A03A88C">
            <w:pPr>
              <w:pStyle w:val="14"/>
              <w:spacing w:line="360" w:lineRule="auto"/>
              <w:jc w:val="center"/>
              <w:rPr>
                <w:rFonts w:hint="eastAsia"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Business Requirements</w:t>
            </w:r>
          </w:p>
          <w:p w14:paraId="3E1F43DA">
            <w:pPr>
              <w:pStyle w:val="14"/>
              <w:spacing w:line="360" w:lineRule="auto"/>
              <w:jc w:val="center"/>
              <w:rPr>
                <w:rFonts w:hint="eastAsia"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content</w:t>
            </w:r>
          </w:p>
        </w:tc>
        <w:tc>
          <w:tcPr>
            <w:tcW w:w="1938" w:type="dxa"/>
            <w:vAlign w:val="center"/>
          </w:tcPr>
          <w:p w14:paraId="7D6933B2">
            <w:pPr>
              <w:pStyle w:val="14"/>
              <w:spacing w:line="360" w:lineRule="auto"/>
              <w:jc w:val="center"/>
              <w:rPr>
                <w:rFonts w:hint="eastAsia"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bidding documents</w:t>
            </w:r>
          </w:p>
          <w:p w14:paraId="79C987E5">
            <w:pPr>
              <w:pStyle w:val="14"/>
              <w:spacing w:line="360" w:lineRule="auto"/>
              <w:jc w:val="center"/>
              <w:rPr>
                <w:rFonts w:hint="eastAsia"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Respond to Business Content</w:t>
            </w:r>
          </w:p>
        </w:tc>
        <w:tc>
          <w:tcPr>
            <w:tcW w:w="1410" w:type="dxa"/>
            <w:vAlign w:val="center"/>
          </w:tcPr>
          <w:p w14:paraId="2F94B101">
            <w:pPr>
              <w:pStyle w:val="14"/>
              <w:spacing w:line="360" w:lineRule="auto"/>
              <w:jc w:val="center"/>
              <w:rPr>
                <w:rFonts w:hint="eastAsia"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Deviation</w:t>
            </w:r>
          </w:p>
        </w:tc>
        <w:tc>
          <w:tcPr>
            <w:tcW w:w="1356" w:type="dxa"/>
            <w:vAlign w:val="center"/>
          </w:tcPr>
          <w:p w14:paraId="2D0CB17D">
            <w:pPr>
              <w:pStyle w:val="14"/>
              <w:spacing w:line="360" w:lineRule="auto"/>
              <w:jc w:val="center"/>
              <w:rPr>
                <w:rFonts w:hint="eastAsia"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explain</w:t>
            </w:r>
          </w:p>
        </w:tc>
      </w:tr>
      <w:tr w14:paraId="0F1FB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116A7E5C">
            <w:pPr>
              <w:pStyle w:val="14"/>
              <w:spacing w:line="480" w:lineRule="auto"/>
              <w:ind w:firstLine="480" w:firstLineChars="200"/>
              <w:jc w:val="left"/>
              <w:rPr>
                <w:rFonts w:hAnsi="宋体" w:cs="宋体"/>
                <w:sz w:val="24"/>
                <w:szCs w:val="24"/>
                <w:highlight w:val="none"/>
              </w:rPr>
            </w:pPr>
          </w:p>
        </w:tc>
        <w:tc>
          <w:tcPr>
            <w:tcW w:w="1521" w:type="dxa"/>
          </w:tcPr>
          <w:p w14:paraId="45A61CFE">
            <w:pPr>
              <w:pStyle w:val="14"/>
              <w:spacing w:line="480" w:lineRule="auto"/>
              <w:ind w:firstLine="480" w:firstLineChars="200"/>
              <w:jc w:val="left"/>
              <w:rPr>
                <w:rFonts w:hAnsi="宋体" w:cs="宋体"/>
                <w:sz w:val="24"/>
                <w:szCs w:val="24"/>
                <w:highlight w:val="none"/>
              </w:rPr>
            </w:pPr>
          </w:p>
        </w:tc>
        <w:tc>
          <w:tcPr>
            <w:tcW w:w="1600" w:type="dxa"/>
            <w:vAlign w:val="center"/>
          </w:tcPr>
          <w:p w14:paraId="5B4BC4FF">
            <w:pPr>
              <w:pStyle w:val="14"/>
              <w:spacing w:line="480" w:lineRule="auto"/>
              <w:ind w:firstLine="480" w:firstLineChars="200"/>
              <w:jc w:val="left"/>
              <w:rPr>
                <w:rFonts w:hAnsi="宋体" w:cs="宋体"/>
                <w:sz w:val="24"/>
                <w:szCs w:val="24"/>
                <w:highlight w:val="none"/>
              </w:rPr>
            </w:pPr>
          </w:p>
        </w:tc>
        <w:tc>
          <w:tcPr>
            <w:tcW w:w="1938" w:type="dxa"/>
            <w:vAlign w:val="center"/>
          </w:tcPr>
          <w:p w14:paraId="4E3F22F9">
            <w:pPr>
              <w:pStyle w:val="14"/>
              <w:spacing w:line="480" w:lineRule="auto"/>
              <w:ind w:firstLine="480" w:firstLineChars="200"/>
              <w:jc w:val="left"/>
              <w:rPr>
                <w:rFonts w:hAnsi="宋体" w:cs="宋体"/>
                <w:sz w:val="24"/>
                <w:szCs w:val="24"/>
                <w:highlight w:val="none"/>
              </w:rPr>
            </w:pPr>
          </w:p>
        </w:tc>
        <w:tc>
          <w:tcPr>
            <w:tcW w:w="1410" w:type="dxa"/>
            <w:vAlign w:val="center"/>
          </w:tcPr>
          <w:p w14:paraId="417A92FC">
            <w:pPr>
              <w:pStyle w:val="14"/>
              <w:spacing w:line="480" w:lineRule="auto"/>
              <w:ind w:firstLine="480" w:firstLineChars="200"/>
              <w:jc w:val="left"/>
              <w:rPr>
                <w:rFonts w:hAnsi="宋体" w:cs="宋体"/>
                <w:sz w:val="24"/>
                <w:szCs w:val="24"/>
                <w:highlight w:val="none"/>
              </w:rPr>
            </w:pPr>
          </w:p>
        </w:tc>
        <w:tc>
          <w:tcPr>
            <w:tcW w:w="1356" w:type="dxa"/>
            <w:vAlign w:val="center"/>
          </w:tcPr>
          <w:p w14:paraId="77BCF7B4">
            <w:pPr>
              <w:pStyle w:val="14"/>
              <w:spacing w:line="480" w:lineRule="auto"/>
              <w:ind w:firstLine="480" w:firstLineChars="200"/>
              <w:jc w:val="left"/>
              <w:rPr>
                <w:rFonts w:hAnsi="宋体" w:cs="宋体"/>
                <w:sz w:val="24"/>
                <w:szCs w:val="24"/>
                <w:highlight w:val="none"/>
              </w:rPr>
            </w:pPr>
          </w:p>
        </w:tc>
      </w:tr>
      <w:tr w14:paraId="2E6C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53B5D2D0">
            <w:pPr>
              <w:pStyle w:val="14"/>
              <w:spacing w:line="480" w:lineRule="auto"/>
              <w:ind w:firstLine="480" w:firstLineChars="200"/>
              <w:jc w:val="left"/>
              <w:rPr>
                <w:rFonts w:hAnsi="宋体" w:cs="宋体"/>
                <w:sz w:val="24"/>
                <w:szCs w:val="24"/>
                <w:highlight w:val="none"/>
              </w:rPr>
            </w:pPr>
          </w:p>
        </w:tc>
        <w:tc>
          <w:tcPr>
            <w:tcW w:w="1521" w:type="dxa"/>
          </w:tcPr>
          <w:p w14:paraId="1835A4F9">
            <w:pPr>
              <w:pStyle w:val="14"/>
              <w:spacing w:line="480" w:lineRule="auto"/>
              <w:ind w:firstLine="480" w:firstLineChars="200"/>
              <w:jc w:val="left"/>
              <w:rPr>
                <w:rFonts w:hAnsi="宋体" w:cs="宋体"/>
                <w:sz w:val="24"/>
                <w:szCs w:val="24"/>
                <w:highlight w:val="none"/>
              </w:rPr>
            </w:pPr>
          </w:p>
        </w:tc>
        <w:tc>
          <w:tcPr>
            <w:tcW w:w="1600" w:type="dxa"/>
          </w:tcPr>
          <w:p w14:paraId="6F5B8178">
            <w:pPr>
              <w:pStyle w:val="14"/>
              <w:spacing w:line="480" w:lineRule="auto"/>
              <w:ind w:firstLine="480" w:firstLineChars="200"/>
              <w:jc w:val="left"/>
              <w:rPr>
                <w:rFonts w:hAnsi="宋体" w:cs="宋体"/>
                <w:sz w:val="24"/>
                <w:szCs w:val="24"/>
                <w:highlight w:val="none"/>
              </w:rPr>
            </w:pPr>
          </w:p>
        </w:tc>
        <w:tc>
          <w:tcPr>
            <w:tcW w:w="1938" w:type="dxa"/>
          </w:tcPr>
          <w:p w14:paraId="2501C481">
            <w:pPr>
              <w:pStyle w:val="14"/>
              <w:spacing w:line="480" w:lineRule="auto"/>
              <w:ind w:firstLine="480" w:firstLineChars="200"/>
              <w:jc w:val="left"/>
              <w:rPr>
                <w:rFonts w:hAnsi="宋体" w:cs="宋体"/>
                <w:sz w:val="24"/>
                <w:szCs w:val="24"/>
                <w:highlight w:val="none"/>
              </w:rPr>
            </w:pPr>
          </w:p>
        </w:tc>
        <w:tc>
          <w:tcPr>
            <w:tcW w:w="1410" w:type="dxa"/>
          </w:tcPr>
          <w:p w14:paraId="70558FF2">
            <w:pPr>
              <w:pStyle w:val="14"/>
              <w:spacing w:line="480" w:lineRule="auto"/>
              <w:ind w:firstLine="480" w:firstLineChars="200"/>
              <w:jc w:val="left"/>
              <w:rPr>
                <w:rFonts w:hAnsi="宋体" w:cs="宋体"/>
                <w:sz w:val="24"/>
                <w:szCs w:val="24"/>
                <w:highlight w:val="none"/>
              </w:rPr>
            </w:pPr>
          </w:p>
        </w:tc>
        <w:tc>
          <w:tcPr>
            <w:tcW w:w="1356" w:type="dxa"/>
          </w:tcPr>
          <w:p w14:paraId="2A398255">
            <w:pPr>
              <w:pStyle w:val="14"/>
              <w:spacing w:line="480" w:lineRule="auto"/>
              <w:ind w:firstLine="480" w:firstLineChars="200"/>
              <w:jc w:val="left"/>
              <w:rPr>
                <w:rFonts w:hAnsi="宋体" w:cs="宋体"/>
                <w:sz w:val="24"/>
                <w:szCs w:val="24"/>
                <w:highlight w:val="none"/>
              </w:rPr>
            </w:pPr>
          </w:p>
        </w:tc>
      </w:tr>
      <w:tr w14:paraId="358BB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0E21AC1C">
            <w:pPr>
              <w:pStyle w:val="14"/>
              <w:spacing w:line="480" w:lineRule="auto"/>
              <w:ind w:firstLine="480" w:firstLineChars="200"/>
              <w:jc w:val="left"/>
              <w:rPr>
                <w:rFonts w:hAnsi="宋体" w:cs="宋体"/>
                <w:sz w:val="24"/>
                <w:szCs w:val="24"/>
                <w:highlight w:val="none"/>
              </w:rPr>
            </w:pPr>
          </w:p>
        </w:tc>
        <w:tc>
          <w:tcPr>
            <w:tcW w:w="1521" w:type="dxa"/>
          </w:tcPr>
          <w:p w14:paraId="62A81611">
            <w:pPr>
              <w:pStyle w:val="14"/>
              <w:spacing w:line="480" w:lineRule="auto"/>
              <w:ind w:firstLine="480" w:firstLineChars="200"/>
              <w:jc w:val="left"/>
              <w:rPr>
                <w:rFonts w:hAnsi="宋体" w:cs="宋体"/>
                <w:sz w:val="24"/>
                <w:szCs w:val="24"/>
                <w:highlight w:val="none"/>
              </w:rPr>
            </w:pPr>
          </w:p>
        </w:tc>
        <w:tc>
          <w:tcPr>
            <w:tcW w:w="1600" w:type="dxa"/>
          </w:tcPr>
          <w:p w14:paraId="758E9B10">
            <w:pPr>
              <w:pStyle w:val="14"/>
              <w:spacing w:line="480" w:lineRule="auto"/>
              <w:ind w:firstLine="480" w:firstLineChars="200"/>
              <w:jc w:val="left"/>
              <w:rPr>
                <w:rFonts w:hAnsi="宋体" w:cs="宋体"/>
                <w:sz w:val="24"/>
                <w:szCs w:val="24"/>
                <w:highlight w:val="none"/>
              </w:rPr>
            </w:pPr>
          </w:p>
        </w:tc>
        <w:tc>
          <w:tcPr>
            <w:tcW w:w="1938" w:type="dxa"/>
          </w:tcPr>
          <w:p w14:paraId="6EB8C36B">
            <w:pPr>
              <w:pStyle w:val="14"/>
              <w:spacing w:line="480" w:lineRule="auto"/>
              <w:ind w:firstLine="480" w:firstLineChars="200"/>
              <w:jc w:val="left"/>
              <w:rPr>
                <w:rFonts w:hAnsi="宋体" w:cs="宋体"/>
                <w:sz w:val="24"/>
                <w:szCs w:val="24"/>
                <w:highlight w:val="none"/>
              </w:rPr>
            </w:pPr>
          </w:p>
        </w:tc>
        <w:tc>
          <w:tcPr>
            <w:tcW w:w="1410" w:type="dxa"/>
          </w:tcPr>
          <w:p w14:paraId="32D1CBCA">
            <w:pPr>
              <w:pStyle w:val="14"/>
              <w:spacing w:line="480" w:lineRule="auto"/>
              <w:ind w:firstLine="480" w:firstLineChars="200"/>
              <w:jc w:val="left"/>
              <w:rPr>
                <w:rFonts w:hAnsi="宋体" w:cs="宋体"/>
                <w:sz w:val="24"/>
                <w:szCs w:val="24"/>
                <w:highlight w:val="none"/>
              </w:rPr>
            </w:pPr>
          </w:p>
        </w:tc>
        <w:tc>
          <w:tcPr>
            <w:tcW w:w="1356" w:type="dxa"/>
          </w:tcPr>
          <w:p w14:paraId="2D41F9E8">
            <w:pPr>
              <w:pStyle w:val="14"/>
              <w:spacing w:line="480" w:lineRule="auto"/>
              <w:ind w:firstLine="480" w:firstLineChars="200"/>
              <w:jc w:val="left"/>
              <w:rPr>
                <w:rFonts w:hAnsi="宋体" w:cs="宋体"/>
                <w:sz w:val="24"/>
                <w:szCs w:val="24"/>
                <w:highlight w:val="none"/>
              </w:rPr>
            </w:pPr>
          </w:p>
        </w:tc>
      </w:tr>
      <w:tr w14:paraId="50415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752D724A">
            <w:pPr>
              <w:pStyle w:val="14"/>
              <w:spacing w:line="480" w:lineRule="auto"/>
              <w:ind w:firstLine="480" w:firstLineChars="200"/>
              <w:jc w:val="left"/>
              <w:rPr>
                <w:rFonts w:hAnsi="宋体" w:cs="宋体"/>
                <w:sz w:val="24"/>
                <w:szCs w:val="24"/>
                <w:highlight w:val="none"/>
              </w:rPr>
            </w:pPr>
          </w:p>
        </w:tc>
        <w:tc>
          <w:tcPr>
            <w:tcW w:w="1521" w:type="dxa"/>
          </w:tcPr>
          <w:p w14:paraId="74FCBEFF">
            <w:pPr>
              <w:pStyle w:val="14"/>
              <w:spacing w:line="480" w:lineRule="auto"/>
              <w:ind w:firstLine="480" w:firstLineChars="200"/>
              <w:jc w:val="left"/>
              <w:rPr>
                <w:rFonts w:hAnsi="宋体" w:cs="宋体"/>
                <w:sz w:val="24"/>
                <w:szCs w:val="24"/>
                <w:highlight w:val="none"/>
              </w:rPr>
            </w:pPr>
          </w:p>
        </w:tc>
        <w:tc>
          <w:tcPr>
            <w:tcW w:w="1600" w:type="dxa"/>
          </w:tcPr>
          <w:p w14:paraId="5D0AB2B0">
            <w:pPr>
              <w:pStyle w:val="14"/>
              <w:spacing w:line="480" w:lineRule="auto"/>
              <w:ind w:firstLine="480" w:firstLineChars="200"/>
              <w:jc w:val="left"/>
              <w:rPr>
                <w:rFonts w:hAnsi="宋体" w:cs="宋体"/>
                <w:sz w:val="24"/>
                <w:szCs w:val="24"/>
                <w:highlight w:val="none"/>
              </w:rPr>
            </w:pPr>
          </w:p>
        </w:tc>
        <w:tc>
          <w:tcPr>
            <w:tcW w:w="1938" w:type="dxa"/>
          </w:tcPr>
          <w:p w14:paraId="4537A62F">
            <w:pPr>
              <w:pStyle w:val="14"/>
              <w:spacing w:line="480" w:lineRule="auto"/>
              <w:ind w:firstLine="480" w:firstLineChars="200"/>
              <w:jc w:val="left"/>
              <w:rPr>
                <w:rFonts w:hAnsi="宋体" w:cs="宋体"/>
                <w:sz w:val="24"/>
                <w:szCs w:val="24"/>
                <w:highlight w:val="none"/>
              </w:rPr>
            </w:pPr>
          </w:p>
        </w:tc>
        <w:tc>
          <w:tcPr>
            <w:tcW w:w="1410" w:type="dxa"/>
          </w:tcPr>
          <w:p w14:paraId="1E776FD5">
            <w:pPr>
              <w:pStyle w:val="14"/>
              <w:spacing w:line="480" w:lineRule="auto"/>
              <w:ind w:firstLine="480" w:firstLineChars="200"/>
              <w:jc w:val="left"/>
              <w:rPr>
                <w:rFonts w:hAnsi="宋体" w:cs="宋体"/>
                <w:sz w:val="24"/>
                <w:szCs w:val="24"/>
                <w:highlight w:val="none"/>
              </w:rPr>
            </w:pPr>
          </w:p>
        </w:tc>
        <w:tc>
          <w:tcPr>
            <w:tcW w:w="1356" w:type="dxa"/>
          </w:tcPr>
          <w:p w14:paraId="285DBF5F">
            <w:pPr>
              <w:pStyle w:val="14"/>
              <w:spacing w:line="480" w:lineRule="auto"/>
              <w:ind w:firstLine="480" w:firstLineChars="200"/>
              <w:jc w:val="left"/>
              <w:rPr>
                <w:rFonts w:hAnsi="宋体" w:cs="宋体"/>
                <w:sz w:val="24"/>
                <w:szCs w:val="24"/>
                <w:highlight w:val="none"/>
              </w:rPr>
            </w:pPr>
          </w:p>
        </w:tc>
      </w:tr>
      <w:tr w14:paraId="038DC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5A398062">
            <w:pPr>
              <w:pStyle w:val="14"/>
              <w:spacing w:line="480" w:lineRule="auto"/>
              <w:ind w:firstLine="480" w:firstLineChars="200"/>
              <w:jc w:val="left"/>
              <w:rPr>
                <w:rFonts w:hAnsi="宋体" w:cs="宋体"/>
                <w:sz w:val="24"/>
                <w:szCs w:val="24"/>
                <w:highlight w:val="none"/>
              </w:rPr>
            </w:pPr>
          </w:p>
        </w:tc>
        <w:tc>
          <w:tcPr>
            <w:tcW w:w="1521" w:type="dxa"/>
          </w:tcPr>
          <w:p w14:paraId="53A8AE38">
            <w:pPr>
              <w:pStyle w:val="14"/>
              <w:spacing w:line="480" w:lineRule="auto"/>
              <w:ind w:firstLine="480" w:firstLineChars="200"/>
              <w:jc w:val="left"/>
              <w:rPr>
                <w:rFonts w:hAnsi="宋体" w:cs="宋体"/>
                <w:sz w:val="24"/>
                <w:szCs w:val="24"/>
                <w:highlight w:val="none"/>
              </w:rPr>
            </w:pPr>
          </w:p>
        </w:tc>
        <w:tc>
          <w:tcPr>
            <w:tcW w:w="1600" w:type="dxa"/>
          </w:tcPr>
          <w:p w14:paraId="72D77A1C">
            <w:pPr>
              <w:pStyle w:val="14"/>
              <w:spacing w:line="480" w:lineRule="auto"/>
              <w:ind w:firstLine="480" w:firstLineChars="200"/>
              <w:jc w:val="left"/>
              <w:rPr>
                <w:rFonts w:hAnsi="宋体" w:cs="宋体"/>
                <w:sz w:val="24"/>
                <w:szCs w:val="24"/>
                <w:highlight w:val="none"/>
              </w:rPr>
            </w:pPr>
          </w:p>
        </w:tc>
        <w:tc>
          <w:tcPr>
            <w:tcW w:w="1938" w:type="dxa"/>
          </w:tcPr>
          <w:p w14:paraId="5ECAECB5">
            <w:pPr>
              <w:pStyle w:val="14"/>
              <w:spacing w:line="480" w:lineRule="auto"/>
              <w:ind w:firstLine="480" w:firstLineChars="200"/>
              <w:jc w:val="left"/>
              <w:rPr>
                <w:rFonts w:hAnsi="宋体" w:cs="宋体"/>
                <w:sz w:val="24"/>
                <w:szCs w:val="24"/>
                <w:highlight w:val="none"/>
              </w:rPr>
            </w:pPr>
          </w:p>
        </w:tc>
        <w:tc>
          <w:tcPr>
            <w:tcW w:w="1410" w:type="dxa"/>
          </w:tcPr>
          <w:p w14:paraId="4A0F5A89">
            <w:pPr>
              <w:pStyle w:val="14"/>
              <w:spacing w:line="480" w:lineRule="auto"/>
              <w:ind w:firstLine="480" w:firstLineChars="200"/>
              <w:jc w:val="left"/>
              <w:rPr>
                <w:rFonts w:hAnsi="宋体" w:cs="宋体"/>
                <w:sz w:val="24"/>
                <w:szCs w:val="24"/>
                <w:highlight w:val="none"/>
              </w:rPr>
            </w:pPr>
          </w:p>
        </w:tc>
        <w:tc>
          <w:tcPr>
            <w:tcW w:w="1356" w:type="dxa"/>
          </w:tcPr>
          <w:p w14:paraId="2420B3B8">
            <w:pPr>
              <w:pStyle w:val="14"/>
              <w:spacing w:line="480" w:lineRule="auto"/>
              <w:ind w:firstLine="480" w:firstLineChars="200"/>
              <w:jc w:val="left"/>
              <w:rPr>
                <w:rFonts w:hAnsi="宋体" w:cs="宋体"/>
                <w:sz w:val="24"/>
                <w:szCs w:val="24"/>
                <w:highlight w:val="none"/>
              </w:rPr>
            </w:pPr>
          </w:p>
        </w:tc>
      </w:tr>
      <w:tr w14:paraId="58ED3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4C205A7D">
            <w:pPr>
              <w:pStyle w:val="14"/>
              <w:spacing w:line="480" w:lineRule="auto"/>
              <w:ind w:firstLine="480" w:firstLineChars="200"/>
              <w:jc w:val="left"/>
              <w:rPr>
                <w:rFonts w:hAnsi="宋体" w:cs="宋体"/>
                <w:sz w:val="24"/>
                <w:szCs w:val="24"/>
                <w:highlight w:val="none"/>
              </w:rPr>
            </w:pPr>
          </w:p>
        </w:tc>
        <w:tc>
          <w:tcPr>
            <w:tcW w:w="1521" w:type="dxa"/>
          </w:tcPr>
          <w:p w14:paraId="0887C621">
            <w:pPr>
              <w:pStyle w:val="14"/>
              <w:spacing w:line="480" w:lineRule="auto"/>
              <w:ind w:firstLine="480" w:firstLineChars="200"/>
              <w:jc w:val="left"/>
              <w:rPr>
                <w:rFonts w:hAnsi="宋体" w:cs="宋体"/>
                <w:sz w:val="24"/>
                <w:szCs w:val="24"/>
                <w:highlight w:val="none"/>
              </w:rPr>
            </w:pPr>
          </w:p>
        </w:tc>
        <w:tc>
          <w:tcPr>
            <w:tcW w:w="1600" w:type="dxa"/>
          </w:tcPr>
          <w:p w14:paraId="7B68FA86">
            <w:pPr>
              <w:pStyle w:val="14"/>
              <w:spacing w:line="480" w:lineRule="auto"/>
              <w:ind w:firstLine="480" w:firstLineChars="200"/>
              <w:jc w:val="left"/>
              <w:rPr>
                <w:rFonts w:hAnsi="宋体" w:cs="宋体"/>
                <w:sz w:val="24"/>
                <w:szCs w:val="24"/>
                <w:highlight w:val="none"/>
              </w:rPr>
            </w:pPr>
          </w:p>
        </w:tc>
        <w:tc>
          <w:tcPr>
            <w:tcW w:w="1938" w:type="dxa"/>
          </w:tcPr>
          <w:p w14:paraId="59C15C07">
            <w:pPr>
              <w:pStyle w:val="14"/>
              <w:spacing w:line="480" w:lineRule="auto"/>
              <w:ind w:firstLine="480" w:firstLineChars="200"/>
              <w:jc w:val="left"/>
              <w:rPr>
                <w:rFonts w:hAnsi="宋体" w:cs="宋体"/>
                <w:sz w:val="24"/>
                <w:szCs w:val="24"/>
                <w:highlight w:val="none"/>
              </w:rPr>
            </w:pPr>
          </w:p>
        </w:tc>
        <w:tc>
          <w:tcPr>
            <w:tcW w:w="1410" w:type="dxa"/>
          </w:tcPr>
          <w:p w14:paraId="295AE2C6">
            <w:pPr>
              <w:pStyle w:val="14"/>
              <w:spacing w:line="480" w:lineRule="auto"/>
              <w:ind w:firstLine="480" w:firstLineChars="200"/>
              <w:jc w:val="left"/>
              <w:rPr>
                <w:rFonts w:hAnsi="宋体" w:cs="宋体"/>
                <w:sz w:val="24"/>
                <w:szCs w:val="24"/>
                <w:highlight w:val="none"/>
              </w:rPr>
            </w:pPr>
          </w:p>
        </w:tc>
        <w:tc>
          <w:tcPr>
            <w:tcW w:w="1356" w:type="dxa"/>
          </w:tcPr>
          <w:p w14:paraId="0A9A9745">
            <w:pPr>
              <w:pStyle w:val="14"/>
              <w:spacing w:line="480" w:lineRule="auto"/>
              <w:ind w:firstLine="480" w:firstLineChars="200"/>
              <w:jc w:val="left"/>
              <w:rPr>
                <w:rFonts w:hAnsi="宋体" w:cs="宋体"/>
                <w:sz w:val="24"/>
                <w:szCs w:val="24"/>
                <w:highlight w:val="none"/>
              </w:rPr>
            </w:pPr>
          </w:p>
        </w:tc>
      </w:tr>
      <w:tr w14:paraId="4A220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24830CE5">
            <w:pPr>
              <w:pStyle w:val="14"/>
              <w:spacing w:line="480" w:lineRule="auto"/>
              <w:ind w:firstLine="480" w:firstLineChars="200"/>
              <w:jc w:val="left"/>
              <w:rPr>
                <w:rFonts w:hAnsi="宋体" w:cs="宋体"/>
                <w:sz w:val="24"/>
                <w:szCs w:val="24"/>
                <w:highlight w:val="none"/>
              </w:rPr>
            </w:pPr>
          </w:p>
        </w:tc>
        <w:tc>
          <w:tcPr>
            <w:tcW w:w="1521" w:type="dxa"/>
          </w:tcPr>
          <w:p w14:paraId="070D8372">
            <w:pPr>
              <w:pStyle w:val="14"/>
              <w:spacing w:line="480" w:lineRule="auto"/>
              <w:ind w:firstLine="480" w:firstLineChars="200"/>
              <w:jc w:val="left"/>
              <w:rPr>
                <w:rFonts w:hAnsi="宋体" w:cs="宋体"/>
                <w:sz w:val="24"/>
                <w:szCs w:val="24"/>
                <w:highlight w:val="none"/>
              </w:rPr>
            </w:pPr>
          </w:p>
        </w:tc>
        <w:tc>
          <w:tcPr>
            <w:tcW w:w="1600" w:type="dxa"/>
          </w:tcPr>
          <w:p w14:paraId="1F7B88F5">
            <w:pPr>
              <w:pStyle w:val="14"/>
              <w:spacing w:line="480" w:lineRule="auto"/>
              <w:ind w:firstLine="480" w:firstLineChars="200"/>
              <w:jc w:val="left"/>
              <w:rPr>
                <w:rFonts w:hAnsi="宋体" w:cs="宋体"/>
                <w:sz w:val="24"/>
                <w:szCs w:val="24"/>
                <w:highlight w:val="none"/>
              </w:rPr>
            </w:pPr>
          </w:p>
        </w:tc>
        <w:tc>
          <w:tcPr>
            <w:tcW w:w="1938" w:type="dxa"/>
          </w:tcPr>
          <w:p w14:paraId="17851063">
            <w:pPr>
              <w:pStyle w:val="14"/>
              <w:spacing w:line="480" w:lineRule="auto"/>
              <w:ind w:firstLine="480" w:firstLineChars="200"/>
              <w:jc w:val="left"/>
              <w:rPr>
                <w:rFonts w:hAnsi="宋体" w:cs="宋体"/>
                <w:sz w:val="24"/>
                <w:szCs w:val="24"/>
                <w:highlight w:val="none"/>
              </w:rPr>
            </w:pPr>
          </w:p>
        </w:tc>
        <w:tc>
          <w:tcPr>
            <w:tcW w:w="1410" w:type="dxa"/>
          </w:tcPr>
          <w:p w14:paraId="0265E3A7">
            <w:pPr>
              <w:pStyle w:val="14"/>
              <w:spacing w:line="480" w:lineRule="auto"/>
              <w:ind w:firstLine="480" w:firstLineChars="200"/>
              <w:jc w:val="left"/>
              <w:rPr>
                <w:rFonts w:hAnsi="宋体" w:cs="宋体"/>
                <w:sz w:val="24"/>
                <w:szCs w:val="24"/>
                <w:highlight w:val="none"/>
              </w:rPr>
            </w:pPr>
          </w:p>
        </w:tc>
        <w:tc>
          <w:tcPr>
            <w:tcW w:w="1356" w:type="dxa"/>
          </w:tcPr>
          <w:p w14:paraId="069BC6E2">
            <w:pPr>
              <w:pStyle w:val="14"/>
              <w:spacing w:line="480" w:lineRule="auto"/>
              <w:ind w:firstLine="480" w:firstLineChars="200"/>
              <w:jc w:val="left"/>
              <w:rPr>
                <w:rFonts w:hAnsi="宋体" w:cs="宋体"/>
                <w:sz w:val="24"/>
                <w:szCs w:val="24"/>
                <w:highlight w:val="none"/>
              </w:rPr>
            </w:pPr>
          </w:p>
        </w:tc>
      </w:tr>
      <w:tr w14:paraId="23474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933" w:type="dxa"/>
          </w:tcPr>
          <w:p w14:paraId="1281198F">
            <w:pPr>
              <w:pStyle w:val="14"/>
              <w:spacing w:line="480" w:lineRule="auto"/>
              <w:jc w:val="left"/>
              <w:rPr>
                <w:rFonts w:hAnsi="宋体" w:cs="宋体"/>
                <w:sz w:val="24"/>
                <w:szCs w:val="24"/>
                <w:highlight w:val="none"/>
              </w:rPr>
            </w:pPr>
          </w:p>
        </w:tc>
        <w:tc>
          <w:tcPr>
            <w:tcW w:w="1521" w:type="dxa"/>
          </w:tcPr>
          <w:p w14:paraId="1ABDBFDA">
            <w:pPr>
              <w:pStyle w:val="14"/>
              <w:spacing w:line="480" w:lineRule="auto"/>
              <w:jc w:val="left"/>
              <w:rPr>
                <w:rFonts w:hAnsi="宋体" w:cs="宋体"/>
                <w:sz w:val="24"/>
                <w:szCs w:val="24"/>
                <w:highlight w:val="none"/>
              </w:rPr>
            </w:pPr>
          </w:p>
        </w:tc>
        <w:tc>
          <w:tcPr>
            <w:tcW w:w="1600" w:type="dxa"/>
          </w:tcPr>
          <w:p w14:paraId="49125788">
            <w:pPr>
              <w:pStyle w:val="14"/>
              <w:spacing w:line="480" w:lineRule="auto"/>
              <w:ind w:firstLine="480" w:firstLineChars="200"/>
              <w:jc w:val="left"/>
              <w:rPr>
                <w:rFonts w:hAnsi="宋体" w:cs="宋体"/>
                <w:sz w:val="24"/>
                <w:szCs w:val="24"/>
                <w:highlight w:val="none"/>
              </w:rPr>
            </w:pPr>
          </w:p>
        </w:tc>
        <w:tc>
          <w:tcPr>
            <w:tcW w:w="1938" w:type="dxa"/>
          </w:tcPr>
          <w:p w14:paraId="79EB5C0F">
            <w:pPr>
              <w:pStyle w:val="14"/>
              <w:spacing w:line="480" w:lineRule="auto"/>
              <w:ind w:firstLine="480" w:firstLineChars="200"/>
              <w:jc w:val="left"/>
              <w:rPr>
                <w:rFonts w:hAnsi="宋体" w:cs="宋体"/>
                <w:sz w:val="24"/>
                <w:szCs w:val="24"/>
                <w:highlight w:val="none"/>
              </w:rPr>
            </w:pPr>
          </w:p>
        </w:tc>
        <w:tc>
          <w:tcPr>
            <w:tcW w:w="1410" w:type="dxa"/>
          </w:tcPr>
          <w:p w14:paraId="2128D9DF">
            <w:pPr>
              <w:pStyle w:val="14"/>
              <w:spacing w:line="480" w:lineRule="auto"/>
              <w:ind w:firstLine="480" w:firstLineChars="200"/>
              <w:jc w:val="left"/>
              <w:rPr>
                <w:rFonts w:hAnsi="宋体" w:cs="宋体"/>
                <w:sz w:val="24"/>
                <w:szCs w:val="24"/>
                <w:highlight w:val="none"/>
              </w:rPr>
            </w:pPr>
          </w:p>
        </w:tc>
        <w:tc>
          <w:tcPr>
            <w:tcW w:w="1356" w:type="dxa"/>
          </w:tcPr>
          <w:p w14:paraId="343AE98C">
            <w:pPr>
              <w:pStyle w:val="14"/>
              <w:spacing w:line="480" w:lineRule="auto"/>
              <w:ind w:firstLine="480" w:firstLineChars="200"/>
              <w:jc w:val="left"/>
              <w:rPr>
                <w:rFonts w:hAnsi="宋体" w:cs="宋体"/>
                <w:sz w:val="24"/>
                <w:szCs w:val="24"/>
                <w:highlight w:val="none"/>
              </w:rPr>
            </w:pPr>
          </w:p>
        </w:tc>
      </w:tr>
    </w:tbl>
    <w:p w14:paraId="4938F028">
      <w:pPr>
        <w:pStyle w:val="8"/>
        <w:spacing w:line="360" w:lineRule="auto"/>
        <w:ind w:left="140" w:firstLine="0"/>
        <w:rPr>
          <w:rFonts w:hint="eastAsia" w:ascii="宋体" w:hAnsi="宋体" w:eastAsia="宋体" w:cs="宋体"/>
          <w:b/>
          <w:bCs/>
          <w:sz w:val="24"/>
          <w:szCs w:val="24"/>
          <w:highlight w:val="none"/>
          <w:lang w:eastAsia="zh-CN"/>
        </w:rPr>
      </w:pPr>
      <w:r>
        <w:rPr>
          <w:rFonts w:hint="eastAsia" w:ascii="Times New Roman" w:hAnsi="宋体" w:eastAsia="微软雅黑" w:cs="宋体"/>
          <w:b/>
          <w:bCs/>
          <w:kern w:val="2"/>
          <w:sz w:val="24"/>
          <w:szCs w:val="24"/>
          <w:highlight w:val="none"/>
          <w:lang w:val="en-US" w:eastAsia="zh-CN" w:bidi="ar-SA"/>
        </w:rPr>
        <w:t>1. This form must be compared and completed in accordance with the commercial terms listed in the "Suppliers' Instructions Appendix".</w:t>
      </w:r>
    </w:p>
    <w:p w14:paraId="1982BA3F">
      <w:pPr>
        <w:pStyle w:val="8"/>
        <w:spacing w:line="360" w:lineRule="auto"/>
        <w:ind w:left="140" w:firstLine="0"/>
        <w:rPr>
          <w:rFonts w:hint="eastAsia" w:ascii="宋体" w:hAnsi="宋体" w:eastAsia="宋体" w:cs="宋体"/>
          <w:b/>
          <w:bCs/>
          <w:sz w:val="24"/>
          <w:szCs w:val="24"/>
          <w:highlight w:val="none"/>
          <w:lang w:eastAsia="zh-CN"/>
        </w:rPr>
      </w:pPr>
      <w:r>
        <w:rPr>
          <w:rFonts w:hint="eastAsia" w:ascii="Times New Roman" w:hAnsi="宋体" w:eastAsia="微软雅黑" w:cs="宋体"/>
          <w:b/>
          <w:bCs/>
          <w:kern w:val="2"/>
          <w:sz w:val="24"/>
          <w:szCs w:val="24"/>
          <w:highlight w:val="none"/>
          <w:lang w:val="en-US" w:eastAsia="zh-CN" w:bidi="ar-SA"/>
        </w:rPr>
        <w:t>2. This form must be completed truthfully item by item in accordance with the bidding documents. Where applicable, indicate positive deviation, negative deviation, or no deviation under the "Deviation Status" section, and provide the reasons for positive or negative deviations under the "Description" section.</w:t>
      </w:r>
    </w:p>
    <w:p w14:paraId="7045052C">
      <w:pPr>
        <w:pStyle w:val="8"/>
        <w:spacing w:line="360" w:lineRule="auto"/>
        <w:ind w:left="140" w:firstLine="0"/>
        <w:rPr>
          <w:rFonts w:hint="eastAsia" w:ascii="宋体" w:hAnsi="宋体" w:eastAsia="宋体" w:cs="宋体"/>
          <w:b/>
          <w:bCs/>
          <w:sz w:val="24"/>
          <w:szCs w:val="24"/>
          <w:highlight w:val="none"/>
          <w:lang w:eastAsia="zh-CN"/>
        </w:rPr>
      </w:pPr>
      <w:r>
        <w:rPr>
          <w:rFonts w:hint="eastAsia" w:ascii="Times New Roman" w:hAnsi="宋体" w:eastAsia="微软雅黑" w:cs="宋体"/>
          <w:b/>
          <w:bCs/>
          <w:kern w:val="2"/>
          <w:sz w:val="24"/>
          <w:szCs w:val="24"/>
          <w:highlight w:val="none"/>
          <w:lang w:val="en-US" w:eastAsia="zh-CN" w:bidi="ar-SA"/>
        </w:rPr>
        <w:t>3. This table is expandable.</w:t>
      </w:r>
    </w:p>
    <w:p w14:paraId="1B222F0B">
      <w:pPr>
        <w:pStyle w:val="8"/>
        <w:spacing w:line="360" w:lineRule="auto"/>
        <w:ind w:left="140" w:firstLine="0"/>
        <w:rPr>
          <w:rFonts w:hint="eastAsia" w:ascii="宋体" w:hAnsi="宋体" w:eastAsia="宋体" w:cs="宋体"/>
          <w:sz w:val="28"/>
          <w:szCs w:val="28"/>
          <w:highlight w:val="none"/>
          <w:lang w:eastAsia="zh-CN"/>
        </w:rPr>
      </w:pPr>
      <w:r>
        <w:rPr>
          <w:rFonts w:hint="eastAsia" w:ascii="Times New Roman" w:hAnsi="宋体" w:eastAsia="微软雅黑" w:cs="宋体"/>
          <w:b/>
          <w:bCs/>
          <w:kern w:val="2"/>
          <w:sz w:val="24"/>
          <w:szCs w:val="24"/>
          <w:highlight w:val="none"/>
          <w:lang w:val="en-US" w:eastAsia="zh-CN" w:bidi="ar-SA"/>
        </w:rPr>
        <w:t>Business terms do not permit negative deviations;</w:t>
      </w:r>
    </w:p>
    <w:p w14:paraId="4488859E">
      <w:pPr>
        <w:pStyle w:val="8"/>
        <w:ind w:firstLine="0"/>
        <w:rPr>
          <w:rFonts w:ascii="宋体" w:hAnsi="宋体" w:cs="宋体"/>
          <w:sz w:val="28"/>
          <w:szCs w:val="28"/>
          <w:highlight w:val="none"/>
        </w:rPr>
      </w:pPr>
    </w:p>
    <w:p w14:paraId="70BA1318">
      <w:pPr>
        <w:adjustRightInd w:val="0"/>
        <w:snapToGrid w:val="0"/>
        <w:spacing w:line="480" w:lineRule="auto"/>
        <w:jc w:val="left"/>
        <w:rPr>
          <w:rFonts w:hint="eastAsia" w:ascii="宋体" w:hAnsi="宋体" w:eastAsia="宋体" w:cs="宋体"/>
          <w:sz w:val="24"/>
          <w:szCs w:val="24"/>
          <w:highlight w:val="none"/>
          <w:u w:val="single"/>
          <w:lang w:eastAsia="zh-CN"/>
        </w:rPr>
      </w:pPr>
      <w:r>
        <w:rPr>
          <w:rFonts w:hint="eastAsia" w:ascii="Times New Roman" w:hAnsi="宋体" w:eastAsia="微软雅黑" w:cs="宋体"/>
          <w:kern w:val="2"/>
          <w:sz w:val="28"/>
          <w:szCs w:val="28"/>
          <w:highlight w:val="none"/>
          <w:lang w:val="en-US" w:eastAsia="zh-CN" w:bidi="ar-SA"/>
        </w:rPr>
        <w:t>Supplier (Company Name and Official Seal): ______________________</w:t>
      </w:r>
    </w:p>
    <w:p w14:paraId="1F93ECA4">
      <w:pPr>
        <w:adjustRightInd w:val="0"/>
        <w:snapToGrid w:val="0"/>
        <w:spacing w:line="480" w:lineRule="auto"/>
        <w:rPr>
          <w:rFonts w:hint="eastAsia" w:ascii="宋体" w:hAnsi="宋体" w:eastAsia="宋体" w:cs="宋体"/>
          <w:sz w:val="24"/>
          <w:szCs w:val="24"/>
          <w:highlight w:val="none"/>
          <w:lang w:eastAsia="zh-CN"/>
        </w:rPr>
      </w:pPr>
      <w:r>
        <w:rPr>
          <w:rFonts w:hint="eastAsia" w:ascii="Times New Roman" w:hAnsi="宋体" w:eastAsia="微软雅黑" w:cs="宋体"/>
          <w:kern w:val="2"/>
          <w:sz w:val="28"/>
          <w:szCs w:val="28"/>
          <w:highlight w:val="none"/>
          <w:lang w:val="en-US" w:eastAsia="zh-CN" w:bidi="ar-SA"/>
        </w:rPr>
        <w:t>Legal Representative or Authorized Person (Signature or Seal): ______________________</w:t>
      </w:r>
    </w:p>
    <w:p w14:paraId="4453C9A8">
      <w:pPr>
        <w:adjustRightInd w:val="0"/>
        <w:snapToGrid w:val="0"/>
        <w:spacing w:line="480" w:lineRule="auto"/>
        <w:rPr>
          <w:rFonts w:hint="eastAsia" w:ascii="宋体" w:hAnsi="宋体" w:eastAsia="宋体" w:cs="宋体"/>
          <w:sz w:val="28"/>
          <w:szCs w:val="28"/>
          <w:highlight w:val="none"/>
          <w:lang w:eastAsia="zh-CN"/>
        </w:rPr>
        <w:sectPr>
          <w:pgSz w:w="11906" w:h="16838"/>
          <w:pgMar w:top="1440" w:right="1803" w:bottom="1440" w:left="1803" w:header="851" w:footer="992" w:gutter="0"/>
          <w:pgNumType w:fmt="decimal"/>
          <w:cols w:space="720" w:num="1"/>
          <w:docGrid w:type="lines" w:linePitch="319" w:charSpace="0"/>
        </w:sectPr>
      </w:pPr>
      <w:r>
        <w:rPr>
          <w:rFonts w:hint="eastAsia" w:ascii="Times New Roman" w:hAnsi="宋体" w:eastAsia="微软雅黑" w:cs="宋体"/>
          <w:kern w:val="2"/>
          <w:sz w:val="28"/>
          <w:szCs w:val="28"/>
          <w:highlight w:val="none"/>
          <w:lang w:val="en-US" w:eastAsia="zh-CN" w:bidi="ar-SA"/>
        </w:rPr>
        <w:t>Date: _____ Year _____ Month _____ Day</w:t>
      </w:r>
    </w:p>
    <w:p w14:paraId="5B36F8CF">
      <w:pPr>
        <w:jc w:val="center"/>
        <w:outlineLvl w:val="1"/>
        <w:rPr>
          <w:rFonts w:hint="eastAsia" w:ascii="宋体" w:hAnsi="宋体" w:eastAsia="宋体" w:cs="宋体"/>
          <w:b/>
          <w:bCs/>
          <w:sz w:val="28"/>
          <w:szCs w:val="32"/>
          <w:highlight w:val="none"/>
          <w:lang w:eastAsia="zh-CN"/>
        </w:rPr>
      </w:pPr>
      <w:bookmarkStart w:id="274" w:name="_Toc20049"/>
      <w:bookmarkStart w:id="275" w:name="_Toc23359"/>
      <w:bookmarkStart w:id="276" w:name="_Toc7319"/>
      <w:bookmarkStart w:id="277" w:name="_Toc21443"/>
      <w:r>
        <w:rPr>
          <w:rFonts w:hint="eastAsia" w:ascii="Times New Roman" w:hAnsi="宋体" w:eastAsia="微软雅黑" w:cs="宋体"/>
          <w:b/>
          <w:bCs/>
          <w:kern w:val="2"/>
          <w:sz w:val="28"/>
          <w:szCs w:val="32"/>
          <w:highlight w:val="none"/>
          <w:lang w:val="en-US" w:eastAsia="zh-CN" w:bidi="ar-SA"/>
        </w:rPr>
        <w:t>Technical Deviation Table</w:t>
      </w:r>
      <w:bookmarkEnd w:id="274"/>
      <w:bookmarkEnd w:id="275"/>
      <w:bookmarkEnd w:id="276"/>
      <w:bookmarkEnd w:id="277"/>
    </w:p>
    <w:p w14:paraId="0062E260">
      <w:pPr>
        <w:pStyle w:val="8"/>
        <w:ind w:firstLine="0"/>
        <w:rPr>
          <w:rFonts w:ascii="宋体" w:hAnsi="宋体" w:cs="宋体"/>
          <w:highlight w:val="none"/>
        </w:rPr>
      </w:pPr>
    </w:p>
    <w:p w14:paraId="00301E5C">
      <w:pPr>
        <w:rPr>
          <w:rFonts w:ascii="宋体" w:hAnsi="宋体" w:cs="宋体"/>
          <w:sz w:val="24"/>
          <w:szCs w:val="24"/>
          <w:highlight w:val="none"/>
        </w:rPr>
      </w:pPr>
    </w:p>
    <w:tbl>
      <w:tblPr>
        <w:tblStyle w:val="30"/>
        <w:tblW w:w="8662" w:type="dxa"/>
        <w:tblInd w:w="-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
        <w:gridCol w:w="2584"/>
        <w:gridCol w:w="1980"/>
        <w:gridCol w:w="1605"/>
        <w:gridCol w:w="1560"/>
      </w:tblGrid>
      <w:tr w14:paraId="078AA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vAlign w:val="center"/>
          </w:tcPr>
          <w:p w14:paraId="61793AC5">
            <w:pPr>
              <w:pStyle w:val="14"/>
              <w:spacing w:line="360" w:lineRule="auto"/>
              <w:jc w:val="center"/>
              <w:rPr>
                <w:rFonts w:hint="eastAsia"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order number</w:t>
            </w:r>
          </w:p>
        </w:tc>
        <w:tc>
          <w:tcPr>
            <w:tcW w:w="2584" w:type="dxa"/>
            <w:vAlign w:val="center"/>
          </w:tcPr>
          <w:p w14:paraId="4148A36E">
            <w:pPr>
              <w:spacing w:line="500" w:lineRule="exact"/>
              <w:jc w:val="center"/>
              <w:rPr>
                <w:rFonts w:hint="eastAsia" w:ascii="宋体" w:hAnsi="宋体" w:eastAsia="宋体" w:cs="宋体"/>
                <w:sz w:val="24"/>
                <w:highlight w:val="none"/>
                <w:lang w:eastAsia="zh-CN"/>
              </w:rPr>
            </w:pPr>
            <w:r>
              <w:rPr>
                <w:rFonts w:hint="eastAsia" w:ascii="Times New Roman" w:hAnsi="宋体" w:eastAsia="微软雅黑" w:cs="宋体"/>
                <w:kern w:val="2"/>
                <w:sz w:val="24"/>
                <w:szCs w:val="22"/>
                <w:highlight w:val="none"/>
                <w:lang w:val="en-US" w:eastAsia="zh-CN" w:bidi="ar-SA"/>
              </w:rPr>
              <w:t>Tender Document Requirements</w:t>
            </w:r>
          </w:p>
          <w:p w14:paraId="3E042524">
            <w:pPr>
              <w:spacing w:line="500" w:lineRule="exact"/>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2"/>
                <w:highlight w:val="none"/>
                <w:lang w:val="en-US" w:eastAsia="zh-CN" w:bidi="ar-SA"/>
              </w:rPr>
              <w:t>qualification</w:t>
            </w:r>
          </w:p>
        </w:tc>
        <w:tc>
          <w:tcPr>
            <w:tcW w:w="1980" w:type="dxa"/>
            <w:vAlign w:val="center"/>
          </w:tcPr>
          <w:p w14:paraId="2B3745AB">
            <w:pPr>
              <w:spacing w:line="500" w:lineRule="exact"/>
              <w:jc w:val="center"/>
              <w:rPr>
                <w:rFonts w:hint="eastAsia" w:ascii="宋体" w:hAnsi="宋体" w:eastAsia="宋体" w:cs="宋体"/>
                <w:sz w:val="24"/>
                <w:highlight w:val="none"/>
                <w:lang w:eastAsia="zh-CN"/>
              </w:rPr>
            </w:pPr>
            <w:r>
              <w:rPr>
                <w:rFonts w:hint="eastAsia" w:ascii="Times New Roman" w:hAnsi="宋体" w:eastAsia="微软雅黑" w:cs="宋体"/>
                <w:kern w:val="2"/>
                <w:sz w:val="24"/>
                <w:szCs w:val="22"/>
                <w:highlight w:val="none"/>
                <w:lang w:val="en-US" w:eastAsia="zh-CN" w:bidi="ar-SA"/>
              </w:rPr>
              <w:t>Response to the Tender Documents</w:t>
            </w:r>
          </w:p>
          <w:p w14:paraId="71C3DE87">
            <w:pPr>
              <w:spacing w:line="500" w:lineRule="exact"/>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2"/>
                <w:highlight w:val="none"/>
                <w:lang w:val="en-US" w:eastAsia="zh-CN" w:bidi="ar-SA"/>
              </w:rPr>
              <w:t>qualification</w:t>
            </w:r>
          </w:p>
        </w:tc>
        <w:tc>
          <w:tcPr>
            <w:tcW w:w="1605" w:type="dxa"/>
            <w:vAlign w:val="center"/>
          </w:tcPr>
          <w:p w14:paraId="697C3CB7">
            <w:pPr>
              <w:spacing w:line="500" w:lineRule="exact"/>
              <w:jc w:val="cente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2"/>
                <w:highlight w:val="none"/>
                <w:lang w:val="en-US" w:eastAsia="zh-CN" w:bidi="ar-SA"/>
              </w:rPr>
              <w:t>Deviation</w:t>
            </w:r>
          </w:p>
        </w:tc>
        <w:tc>
          <w:tcPr>
            <w:tcW w:w="1560" w:type="dxa"/>
            <w:vAlign w:val="center"/>
          </w:tcPr>
          <w:p w14:paraId="1A49791A">
            <w:pPr>
              <w:pStyle w:val="14"/>
              <w:spacing w:line="360" w:lineRule="auto"/>
              <w:jc w:val="center"/>
              <w:rPr>
                <w:rFonts w:hint="eastAsia"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explain</w:t>
            </w:r>
          </w:p>
        </w:tc>
      </w:tr>
      <w:tr w14:paraId="5BBBA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07814A55">
            <w:pPr>
              <w:pStyle w:val="14"/>
              <w:spacing w:line="480" w:lineRule="auto"/>
              <w:ind w:firstLine="480" w:firstLineChars="200"/>
              <w:jc w:val="left"/>
              <w:rPr>
                <w:rFonts w:hAnsi="宋体" w:cs="宋体"/>
                <w:sz w:val="24"/>
                <w:szCs w:val="24"/>
                <w:highlight w:val="none"/>
              </w:rPr>
            </w:pPr>
          </w:p>
        </w:tc>
        <w:tc>
          <w:tcPr>
            <w:tcW w:w="2584" w:type="dxa"/>
            <w:vAlign w:val="center"/>
          </w:tcPr>
          <w:p w14:paraId="6D060B5A">
            <w:pPr>
              <w:pStyle w:val="14"/>
              <w:spacing w:line="480" w:lineRule="auto"/>
              <w:ind w:firstLine="480" w:firstLineChars="200"/>
              <w:jc w:val="left"/>
              <w:rPr>
                <w:rFonts w:hAnsi="宋体" w:cs="宋体"/>
                <w:sz w:val="24"/>
                <w:szCs w:val="24"/>
                <w:highlight w:val="none"/>
              </w:rPr>
            </w:pPr>
          </w:p>
        </w:tc>
        <w:tc>
          <w:tcPr>
            <w:tcW w:w="1980" w:type="dxa"/>
            <w:vAlign w:val="center"/>
          </w:tcPr>
          <w:p w14:paraId="16C1C0FC">
            <w:pPr>
              <w:pStyle w:val="14"/>
              <w:spacing w:line="480" w:lineRule="auto"/>
              <w:ind w:firstLine="480" w:firstLineChars="200"/>
              <w:jc w:val="left"/>
              <w:rPr>
                <w:rFonts w:hAnsi="宋体" w:cs="宋体"/>
                <w:sz w:val="24"/>
                <w:szCs w:val="24"/>
                <w:highlight w:val="none"/>
              </w:rPr>
            </w:pPr>
          </w:p>
        </w:tc>
        <w:tc>
          <w:tcPr>
            <w:tcW w:w="1605" w:type="dxa"/>
            <w:vAlign w:val="center"/>
          </w:tcPr>
          <w:p w14:paraId="2DBADD5E">
            <w:pPr>
              <w:pStyle w:val="14"/>
              <w:spacing w:line="480" w:lineRule="auto"/>
              <w:ind w:firstLine="480" w:firstLineChars="200"/>
              <w:jc w:val="left"/>
              <w:rPr>
                <w:rFonts w:hAnsi="宋体" w:cs="宋体"/>
                <w:sz w:val="24"/>
                <w:szCs w:val="24"/>
                <w:highlight w:val="none"/>
              </w:rPr>
            </w:pPr>
          </w:p>
        </w:tc>
        <w:tc>
          <w:tcPr>
            <w:tcW w:w="1560" w:type="dxa"/>
            <w:vAlign w:val="center"/>
          </w:tcPr>
          <w:p w14:paraId="3151CE7C">
            <w:pPr>
              <w:pStyle w:val="14"/>
              <w:spacing w:line="480" w:lineRule="auto"/>
              <w:ind w:firstLine="480" w:firstLineChars="200"/>
              <w:jc w:val="left"/>
              <w:rPr>
                <w:rFonts w:hAnsi="宋体" w:cs="宋体"/>
                <w:sz w:val="24"/>
                <w:szCs w:val="24"/>
                <w:highlight w:val="none"/>
              </w:rPr>
            </w:pPr>
          </w:p>
        </w:tc>
      </w:tr>
      <w:tr w14:paraId="41807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5F67A495">
            <w:pPr>
              <w:pStyle w:val="14"/>
              <w:spacing w:line="480" w:lineRule="auto"/>
              <w:ind w:firstLine="480" w:firstLineChars="200"/>
              <w:jc w:val="left"/>
              <w:rPr>
                <w:rFonts w:hAnsi="宋体" w:cs="宋体"/>
                <w:sz w:val="24"/>
                <w:szCs w:val="24"/>
                <w:highlight w:val="none"/>
              </w:rPr>
            </w:pPr>
          </w:p>
        </w:tc>
        <w:tc>
          <w:tcPr>
            <w:tcW w:w="2584" w:type="dxa"/>
          </w:tcPr>
          <w:p w14:paraId="772E6CBF">
            <w:pPr>
              <w:pStyle w:val="14"/>
              <w:spacing w:line="480" w:lineRule="auto"/>
              <w:ind w:firstLine="480" w:firstLineChars="200"/>
              <w:jc w:val="left"/>
              <w:rPr>
                <w:rFonts w:hAnsi="宋体" w:cs="宋体"/>
                <w:sz w:val="24"/>
                <w:szCs w:val="24"/>
                <w:highlight w:val="none"/>
              </w:rPr>
            </w:pPr>
          </w:p>
        </w:tc>
        <w:tc>
          <w:tcPr>
            <w:tcW w:w="1980" w:type="dxa"/>
          </w:tcPr>
          <w:p w14:paraId="3EDADA32">
            <w:pPr>
              <w:pStyle w:val="14"/>
              <w:spacing w:line="480" w:lineRule="auto"/>
              <w:ind w:firstLine="480" w:firstLineChars="200"/>
              <w:jc w:val="left"/>
              <w:rPr>
                <w:rFonts w:hAnsi="宋体" w:cs="宋体"/>
                <w:sz w:val="24"/>
                <w:szCs w:val="24"/>
                <w:highlight w:val="none"/>
              </w:rPr>
            </w:pPr>
          </w:p>
        </w:tc>
        <w:tc>
          <w:tcPr>
            <w:tcW w:w="1605" w:type="dxa"/>
          </w:tcPr>
          <w:p w14:paraId="7563E677">
            <w:pPr>
              <w:pStyle w:val="14"/>
              <w:spacing w:line="480" w:lineRule="auto"/>
              <w:ind w:firstLine="480" w:firstLineChars="200"/>
              <w:jc w:val="left"/>
              <w:rPr>
                <w:rFonts w:hAnsi="宋体" w:cs="宋体"/>
                <w:sz w:val="24"/>
                <w:szCs w:val="24"/>
                <w:highlight w:val="none"/>
              </w:rPr>
            </w:pPr>
          </w:p>
        </w:tc>
        <w:tc>
          <w:tcPr>
            <w:tcW w:w="1560" w:type="dxa"/>
          </w:tcPr>
          <w:p w14:paraId="780D51D7">
            <w:pPr>
              <w:pStyle w:val="14"/>
              <w:spacing w:line="480" w:lineRule="auto"/>
              <w:ind w:firstLine="480" w:firstLineChars="200"/>
              <w:jc w:val="left"/>
              <w:rPr>
                <w:rFonts w:hAnsi="宋体" w:cs="宋体"/>
                <w:sz w:val="24"/>
                <w:szCs w:val="24"/>
                <w:highlight w:val="none"/>
              </w:rPr>
            </w:pPr>
          </w:p>
        </w:tc>
      </w:tr>
      <w:tr w14:paraId="6482B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21ADC4A1">
            <w:pPr>
              <w:pStyle w:val="14"/>
              <w:spacing w:line="480" w:lineRule="auto"/>
              <w:ind w:firstLine="480" w:firstLineChars="200"/>
              <w:jc w:val="left"/>
              <w:rPr>
                <w:rFonts w:hAnsi="宋体" w:cs="宋体"/>
                <w:sz w:val="24"/>
                <w:szCs w:val="24"/>
                <w:highlight w:val="none"/>
              </w:rPr>
            </w:pPr>
          </w:p>
        </w:tc>
        <w:tc>
          <w:tcPr>
            <w:tcW w:w="2584" w:type="dxa"/>
          </w:tcPr>
          <w:p w14:paraId="07B49A34">
            <w:pPr>
              <w:pStyle w:val="14"/>
              <w:spacing w:line="480" w:lineRule="auto"/>
              <w:ind w:firstLine="480" w:firstLineChars="200"/>
              <w:jc w:val="left"/>
              <w:rPr>
                <w:rFonts w:hAnsi="宋体" w:cs="宋体"/>
                <w:sz w:val="24"/>
                <w:szCs w:val="24"/>
                <w:highlight w:val="none"/>
              </w:rPr>
            </w:pPr>
          </w:p>
        </w:tc>
        <w:tc>
          <w:tcPr>
            <w:tcW w:w="1980" w:type="dxa"/>
          </w:tcPr>
          <w:p w14:paraId="367182B3">
            <w:pPr>
              <w:pStyle w:val="14"/>
              <w:spacing w:line="480" w:lineRule="auto"/>
              <w:ind w:firstLine="480" w:firstLineChars="200"/>
              <w:jc w:val="left"/>
              <w:rPr>
                <w:rFonts w:hAnsi="宋体" w:cs="宋体"/>
                <w:sz w:val="24"/>
                <w:szCs w:val="24"/>
                <w:highlight w:val="none"/>
              </w:rPr>
            </w:pPr>
          </w:p>
        </w:tc>
        <w:tc>
          <w:tcPr>
            <w:tcW w:w="1605" w:type="dxa"/>
          </w:tcPr>
          <w:p w14:paraId="6CCE40BC">
            <w:pPr>
              <w:pStyle w:val="14"/>
              <w:spacing w:line="480" w:lineRule="auto"/>
              <w:ind w:firstLine="480" w:firstLineChars="200"/>
              <w:jc w:val="left"/>
              <w:rPr>
                <w:rFonts w:hAnsi="宋体" w:cs="宋体"/>
                <w:sz w:val="24"/>
                <w:szCs w:val="24"/>
                <w:highlight w:val="none"/>
              </w:rPr>
            </w:pPr>
          </w:p>
        </w:tc>
        <w:tc>
          <w:tcPr>
            <w:tcW w:w="1560" w:type="dxa"/>
          </w:tcPr>
          <w:p w14:paraId="7BA45FDA">
            <w:pPr>
              <w:pStyle w:val="14"/>
              <w:spacing w:line="480" w:lineRule="auto"/>
              <w:ind w:firstLine="480" w:firstLineChars="200"/>
              <w:jc w:val="left"/>
              <w:rPr>
                <w:rFonts w:hAnsi="宋体" w:cs="宋体"/>
                <w:sz w:val="24"/>
                <w:szCs w:val="24"/>
                <w:highlight w:val="none"/>
              </w:rPr>
            </w:pPr>
          </w:p>
        </w:tc>
      </w:tr>
      <w:tr w14:paraId="5E86A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76154BCC">
            <w:pPr>
              <w:pStyle w:val="14"/>
              <w:spacing w:line="480" w:lineRule="auto"/>
              <w:ind w:firstLine="480" w:firstLineChars="200"/>
              <w:jc w:val="left"/>
              <w:rPr>
                <w:rFonts w:hAnsi="宋体" w:cs="宋体"/>
                <w:sz w:val="24"/>
                <w:szCs w:val="24"/>
                <w:highlight w:val="none"/>
              </w:rPr>
            </w:pPr>
          </w:p>
        </w:tc>
        <w:tc>
          <w:tcPr>
            <w:tcW w:w="2584" w:type="dxa"/>
          </w:tcPr>
          <w:p w14:paraId="44367760">
            <w:pPr>
              <w:pStyle w:val="14"/>
              <w:spacing w:line="480" w:lineRule="auto"/>
              <w:ind w:firstLine="480" w:firstLineChars="200"/>
              <w:jc w:val="left"/>
              <w:rPr>
                <w:rFonts w:hAnsi="宋体" w:cs="宋体"/>
                <w:sz w:val="24"/>
                <w:szCs w:val="24"/>
                <w:highlight w:val="none"/>
              </w:rPr>
            </w:pPr>
          </w:p>
        </w:tc>
        <w:tc>
          <w:tcPr>
            <w:tcW w:w="1980" w:type="dxa"/>
          </w:tcPr>
          <w:p w14:paraId="1BFAC523">
            <w:pPr>
              <w:pStyle w:val="14"/>
              <w:spacing w:line="480" w:lineRule="auto"/>
              <w:ind w:firstLine="480" w:firstLineChars="200"/>
              <w:jc w:val="left"/>
              <w:rPr>
                <w:rFonts w:hAnsi="宋体" w:cs="宋体"/>
                <w:sz w:val="24"/>
                <w:szCs w:val="24"/>
                <w:highlight w:val="none"/>
              </w:rPr>
            </w:pPr>
          </w:p>
        </w:tc>
        <w:tc>
          <w:tcPr>
            <w:tcW w:w="1605" w:type="dxa"/>
          </w:tcPr>
          <w:p w14:paraId="16C196A2">
            <w:pPr>
              <w:pStyle w:val="14"/>
              <w:spacing w:line="480" w:lineRule="auto"/>
              <w:ind w:firstLine="480" w:firstLineChars="200"/>
              <w:jc w:val="left"/>
              <w:rPr>
                <w:rFonts w:hAnsi="宋体" w:cs="宋体"/>
                <w:sz w:val="24"/>
                <w:szCs w:val="24"/>
                <w:highlight w:val="none"/>
              </w:rPr>
            </w:pPr>
          </w:p>
        </w:tc>
        <w:tc>
          <w:tcPr>
            <w:tcW w:w="1560" w:type="dxa"/>
          </w:tcPr>
          <w:p w14:paraId="2F23F008">
            <w:pPr>
              <w:pStyle w:val="14"/>
              <w:spacing w:line="480" w:lineRule="auto"/>
              <w:ind w:firstLine="480" w:firstLineChars="200"/>
              <w:jc w:val="left"/>
              <w:rPr>
                <w:rFonts w:hAnsi="宋体" w:cs="宋体"/>
                <w:sz w:val="24"/>
                <w:szCs w:val="24"/>
                <w:highlight w:val="none"/>
              </w:rPr>
            </w:pPr>
          </w:p>
        </w:tc>
      </w:tr>
      <w:tr w14:paraId="43AF4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709C0D69">
            <w:pPr>
              <w:pStyle w:val="14"/>
              <w:spacing w:line="480" w:lineRule="auto"/>
              <w:ind w:firstLine="480" w:firstLineChars="200"/>
              <w:jc w:val="left"/>
              <w:rPr>
                <w:rFonts w:hAnsi="宋体" w:cs="宋体"/>
                <w:sz w:val="24"/>
                <w:szCs w:val="24"/>
                <w:highlight w:val="none"/>
              </w:rPr>
            </w:pPr>
          </w:p>
        </w:tc>
        <w:tc>
          <w:tcPr>
            <w:tcW w:w="2584" w:type="dxa"/>
          </w:tcPr>
          <w:p w14:paraId="7AE2FD36">
            <w:pPr>
              <w:pStyle w:val="14"/>
              <w:spacing w:line="480" w:lineRule="auto"/>
              <w:ind w:firstLine="480" w:firstLineChars="200"/>
              <w:jc w:val="left"/>
              <w:rPr>
                <w:rFonts w:hAnsi="宋体" w:cs="宋体"/>
                <w:sz w:val="24"/>
                <w:szCs w:val="24"/>
                <w:highlight w:val="none"/>
              </w:rPr>
            </w:pPr>
          </w:p>
        </w:tc>
        <w:tc>
          <w:tcPr>
            <w:tcW w:w="1980" w:type="dxa"/>
          </w:tcPr>
          <w:p w14:paraId="4313E6A0">
            <w:pPr>
              <w:pStyle w:val="14"/>
              <w:spacing w:line="480" w:lineRule="auto"/>
              <w:ind w:firstLine="480" w:firstLineChars="200"/>
              <w:jc w:val="left"/>
              <w:rPr>
                <w:rFonts w:hAnsi="宋体" w:cs="宋体"/>
                <w:sz w:val="24"/>
                <w:szCs w:val="24"/>
                <w:highlight w:val="none"/>
              </w:rPr>
            </w:pPr>
          </w:p>
        </w:tc>
        <w:tc>
          <w:tcPr>
            <w:tcW w:w="1605" w:type="dxa"/>
          </w:tcPr>
          <w:p w14:paraId="462A8C0F">
            <w:pPr>
              <w:pStyle w:val="14"/>
              <w:spacing w:line="480" w:lineRule="auto"/>
              <w:ind w:firstLine="480" w:firstLineChars="200"/>
              <w:jc w:val="left"/>
              <w:rPr>
                <w:rFonts w:hAnsi="宋体" w:cs="宋体"/>
                <w:sz w:val="24"/>
                <w:szCs w:val="24"/>
                <w:highlight w:val="none"/>
              </w:rPr>
            </w:pPr>
          </w:p>
        </w:tc>
        <w:tc>
          <w:tcPr>
            <w:tcW w:w="1560" w:type="dxa"/>
          </w:tcPr>
          <w:p w14:paraId="2E7695A0">
            <w:pPr>
              <w:pStyle w:val="14"/>
              <w:spacing w:line="480" w:lineRule="auto"/>
              <w:ind w:firstLine="480" w:firstLineChars="200"/>
              <w:jc w:val="left"/>
              <w:rPr>
                <w:rFonts w:hAnsi="宋体" w:cs="宋体"/>
                <w:sz w:val="24"/>
                <w:szCs w:val="24"/>
                <w:highlight w:val="none"/>
              </w:rPr>
            </w:pPr>
          </w:p>
        </w:tc>
      </w:tr>
      <w:tr w14:paraId="1B397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672A169D">
            <w:pPr>
              <w:pStyle w:val="14"/>
              <w:spacing w:line="480" w:lineRule="auto"/>
              <w:ind w:firstLine="480" w:firstLineChars="200"/>
              <w:jc w:val="left"/>
              <w:rPr>
                <w:rFonts w:hAnsi="宋体" w:cs="宋体"/>
                <w:sz w:val="24"/>
                <w:szCs w:val="24"/>
                <w:highlight w:val="none"/>
              </w:rPr>
            </w:pPr>
          </w:p>
        </w:tc>
        <w:tc>
          <w:tcPr>
            <w:tcW w:w="2584" w:type="dxa"/>
          </w:tcPr>
          <w:p w14:paraId="56388434">
            <w:pPr>
              <w:pStyle w:val="14"/>
              <w:spacing w:line="480" w:lineRule="auto"/>
              <w:ind w:firstLine="480" w:firstLineChars="200"/>
              <w:jc w:val="left"/>
              <w:rPr>
                <w:rFonts w:hAnsi="宋体" w:cs="宋体"/>
                <w:sz w:val="24"/>
                <w:szCs w:val="24"/>
                <w:highlight w:val="none"/>
              </w:rPr>
            </w:pPr>
          </w:p>
        </w:tc>
        <w:tc>
          <w:tcPr>
            <w:tcW w:w="1980" w:type="dxa"/>
          </w:tcPr>
          <w:p w14:paraId="03671761">
            <w:pPr>
              <w:pStyle w:val="14"/>
              <w:spacing w:line="480" w:lineRule="auto"/>
              <w:ind w:firstLine="480" w:firstLineChars="200"/>
              <w:jc w:val="left"/>
              <w:rPr>
                <w:rFonts w:hAnsi="宋体" w:cs="宋体"/>
                <w:sz w:val="24"/>
                <w:szCs w:val="24"/>
                <w:highlight w:val="none"/>
              </w:rPr>
            </w:pPr>
          </w:p>
        </w:tc>
        <w:tc>
          <w:tcPr>
            <w:tcW w:w="1605" w:type="dxa"/>
          </w:tcPr>
          <w:p w14:paraId="6BFCCED4">
            <w:pPr>
              <w:pStyle w:val="14"/>
              <w:spacing w:line="480" w:lineRule="auto"/>
              <w:ind w:firstLine="480" w:firstLineChars="200"/>
              <w:jc w:val="left"/>
              <w:rPr>
                <w:rFonts w:hAnsi="宋体" w:cs="宋体"/>
                <w:sz w:val="24"/>
                <w:szCs w:val="24"/>
                <w:highlight w:val="none"/>
              </w:rPr>
            </w:pPr>
          </w:p>
        </w:tc>
        <w:tc>
          <w:tcPr>
            <w:tcW w:w="1560" w:type="dxa"/>
          </w:tcPr>
          <w:p w14:paraId="2B3385B4">
            <w:pPr>
              <w:pStyle w:val="14"/>
              <w:spacing w:line="480" w:lineRule="auto"/>
              <w:ind w:firstLine="480" w:firstLineChars="200"/>
              <w:jc w:val="left"/>
              <w:rPr>
                <w:rFonts w:hAnsi="宋体" w:cs="宋体"/>
                <w:sz w:val="24"/>
                <w:szCs w:val="24"/>
                <w:highlight w:val="none"/>
              </w:rPr>
            </w:pPr>
          </w:p>
        </w:tc>
      </w:tr>
      <w:tr w14:paraId="701CE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2E8D4CFB">
            <w:pPr>
              <w:pStyle w:val="14"/>
              <w:spacing w:line="480" w:lineRule="auto"/>
              <w:ind w:firstLine="480" w:firstLineChars="200"/>
              <w:jc w:val="left"/>
              <w:rPr>
                <w:rFonts w:hAnsi="宋体" w:cs="宋体"/>
                <w:sz w:val="24"/>
                <w:szCs w:val="24"/>
                <w:highlight w:val="none"/>
              </w:rPr>
            </w:pPr>
          </w:p>
        </w:tc>
        <w:tc>
          <w:tcPr>
            <w:tcW w:w="2584" w:type="dxa"/>
          </w:tcPr>
          <w:p w14:paraId="35936FAB">
            <w:pPr>
              <w:pStyle w:val="14"/>
              <w:spacing w:line="480" w:lineRule="auto"/>
              <w:ind w:firstLine="480" w:firstLineChars="200"/>
              <w:jc w:val="left"/>
              <w:rPr>
                <w:rFonts w:hAnsi="宋体" w:cs="宋体"/>
                <w:sz w:val="24"/>
                <w:szCs w:val="24"/>
                <w:highlight w:val="none"/>
              </w:rPr>
            </w:pPr>
          </w:p>
        </w:tc>
        <w:tc>
          <w:tcPr>
            <w:tcW w:w="1980" w:type="dxa"/>
          </w:tcPr>
          <w:p w14:paraId="2857266E">
            <w:pPr>
              <w:pStyle w:val="14"/>
              <w:spacing w:line="480" w:lineRule="auto"/>
              <w:ind w:firstLine="480" w:firstLineChars="200"/>
              <w:jc w:val="left"/>
              <w:rPr>
                <w:rFonts w:hAnsi="宋体" w:cs="宋体"/>
                <w:sz w:val="24"/>
                <w:szCs w:val="24"/>
                <w:highlight w:val="none"/>
              </w:rPr>
            </w:pPr>
          </w:p>
        </w:tc>
        <w:tc>
          <w:tcPr>
            <w:tcW w:w="1605" w:type="dxa"/>
          </w:tcPr>
          <w:p w14:paraId="5E728F70">
            <w:pPr>
              <w:pStyle w:val="14"/>
              <w:spacing w:line="480" w:lineRule="auto"/>
              <w:ind w:firstLine="480" w:firstLineChars="200"/>
              <w:jc w:val="left"/>
              <w:rPr>
                <w:rFonts w:hAnsi="宋体" w:cs="宋体"/>
                <w:sz w:val="24"/>
                <w:szCs w:val="24"/>
                <w:highlight w:val="none"/>
              </w:rPr>
            </w:pPr>
          </w:p>
        </w:tc>
        <w:tc>
          <w:tcPr>
            <w:tcW w:w="1560" w:type="dxa"/>
          </w:tcPr>
          <w:p w14:paraId="7D5BD78F">
            <w:pPr>
              <w:pStyle w:val="14"/>
              <w:spacing w:line="480" w:lineRule="auto"/>
              <w:ind w:firstLine="480" w:firstLineChars="200"/>
              <w:jc w:val="left"/>
              <w:rPr>
                <w:rFonts w:hAnsi="宋体" w:cs="宋体"/>
                <w:sz w:val="24"/>
                <w:szCs w:val="24"/>
                <w:highlight w:val="none"/>
              </w:rPr>
            </w:pPr>
          </w:p>
        </w:tc>
      </w:tr>
      <w:tr w14:paraId="389EE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933" w:type="dxa"/>
          </w:tcPr>
          <w:p w14:paraId="04B0950C">
            <w:pPr>
              <w:pStyle w:val="14"/>
              <w:spacing w:line="480" w:lineRule="auto"/>
              <w:jc w:val="left"/>
              <w:rPr>
                <w:rFonts w:hAnsi="宋体" w:cs="宋体"/>
                <w:sz w:val="24"/>
                <w:szCs w:val="24"/>
                <w:highlight w:val="none"/>
              </w:rPr>
            </w:pPr>
          </w:p>
        </w:tc>
        <w:tc>
          <w:tcPr>
            <w:tcW w:w="2584" w:type="dxa"/>
          </w:tcPr>
          <w:p w14:paraId="56E60C90">
            <w:pPr>
              <w:pStyle w:val="14"/>
              <w:spacing w:line="480" w:lineRule="auto"/>
              <w:ind w:firstLine="480" w:firstLineChars="200"/>
              <w:jc w:val="left"/>
              <w:rPr>
                <w:rFonts w:hAnsi="宋体" w:cs="宋体"/>
                <w:sz w:val="24"/>
                <w:szCs w:val="24"/>
                <w:highlight w:val="none"/>
              </w:rPr>
            </w:pPr>
          </w:p>
        </w:tc>
        <w:tc>
          <w:tcPr>
            <w:tcW w:w="1980" w:type="dxa"/>
          </w:tcPr>
          <w:p w14:paraId="065C5427">
            <w:pPr>
              <w:pStyle w:val="14"/>
              <w:spacing w:line="480" w:lineRule="auto"/>
              <w:ind w:firstLine="480" w:firstLineChars="200"/>
              <w:jc w:val="left"/>
              <w:rPr>
                <w:rFonts w:hAnsi="宋体" w:cs="宋体"/>
                <w:sz w:val="24"/>
                <w:szCs w:val="24"/>
                <w:highlight w:val="none"/>
              </w:rPr>
            </w:pPr>
          </w:p>
        </w:tc>
        <w:tc>
          <w:tcPr>
            <w:tcW w:w="1605" w:type="dxa"/>
          </w:tcPr>
          <w:p w14:paraId="1004BF60">
            <w:pPr>
              <w:pStyle w:val="14"/>
              <w:spacing w:line="480" w:lineRule="auto"/>
              <w:ind w:firstLine="480" w:firstLineChars="200"/>
              <w:jc w:val="left"/>
              <w:rPr>
                <w:rFonts w:hAnsi="宋体" w:cs="宋体"/>
                <w:sz w:val="24"/>
                <w:szCs w:val="24"/>
                <w:highlight w:val="none"/>
              </w:rPr>
            </w:pPr>
          </w:p>
        </w:tc>
        <w:tc>
          <w:tcPr>
            <w:tcW w:w="1560" w:type="dxa"/>
          </w:tcPr>
          <w:p w14:paraId="7AA1A596">
            <w:pPr>
              <w:pStyle w:val="14"/>
              <w:spacing w:line="480" w:lineRule="auto"/>
              <w:ind w:firstLine="480" w:firstLineChars="200"/>
              <w:jc w:val="left"/>
              <w:rPr>
                <w:rFonts w:hAnsi="宋体" w:cs="宋体"/>
                <w:sz w:val="24"/>
                <w:szCs w:val="24"/>
                <w:highlight w:val="none"/>
              </w:rPr>
            </w:pPr>
          </w:p>
        </w:tc>
      </w:tr>
    </w:tbl>
    <w:p w14:paraId="17C34CAB">
      <w:pPr>
        <w:pStyle w:val="8"/>
        <w:spacing w:line="360" w:lineRule="auto"/>
        <w:ind w:left="140" w:firstLine="0"/>
        <w:rPr>
          <w:rFonts w:hint="eastAsia" w:ascii="宋体" w:hAnsi="宋体" w:eastAsia="宋体" w:cs="宋体"/>
          <w:b/>
          <w:bCs/>
          <w:sz w:val="24"/>
          <w:szCs w:val="24"/>
          <w:highlight w:val="none"/>
          <w:lang w:eastAsia="zh-CN"/>
        </w:rPr>
      </w:pPr>
      <w:r>
        <w:rPr>
          <w:rFonts w:hint="eastAsia" w:ascii="Times New Roman" w:hAnsi="宋体" w:eastAsia="微软雅黑" w:cs="宋体"/>
          <w:b/>
          <w:bCs/>
          <w:kern w:val="2"/>
          <w:sz w:val="24"/>
          <w:szCs w:val="24"/>
          <w:highlight w:val="none"/>
          <w:lang w:val="en-US" w:eastAsia="zh-CN" w:bidi="ar-SA"/>
        </w:rPr>
        <w:t>1. This form must be compared and responded to in accordance with the requirements specified in Part V: Procurement Requirements;</w:t>
      </w:r>
    </w:p>
    <w:p w14:paraId="742795CD">
      <w:pPr>
        <w:pStyle w:val="8"/>
        <w:spacing w:line="360" w:lineRule="auto"/>
        <w:ind w:left="140" w:firstLine="0"/>
        <w:rPr>
          <w:rFonts w:hint="eastAsia" w:ascii="宋体" w:hAnsi="宋体" w:eastAsia="宋体" w:cs="宋体"/>
          <w:sz w:val="24"/>
          <w:szCs w:val="24"/>
          <w:highlight w:val="none"/>
          <w:lang w:eastAsia="zh-CN"/>
        </w:rPr>
      </w:pPr>
      <w:r>
        <w:rPr>
          <w:rFonts w:hint="eastAsia" w:ascii="Times New Roman" w:hAnsi="宋体" w:eastAsia="微软雅黑" w:cs="宋体"/>
          <w:b/>
          <w:bCs/>
          <w:kern w:val="2"/>
          <w:sz w:val="24"/>
          <w:szCs w:val="24"/>
          <w:highlight w:val="none"/>
          <w:lang w:val="en-US" w:eastAsia="zh-CN" w:bidi="ar-SA"/>
        </w:rPr>
        <w:t>2. This form must be completed truthfully item by item in accordance with the bidding documents. Where applicable, indicate positive deviation, negative deviation, or no deviation under the "Deviation Status" section, and provide the reasons for positive or negative deviations under the "Description" section.</w:t>
      </w:r>
    </w:p>
    <w:p w14:paraId="243F5C31">
      <w:pPr>
        <w:pStyle w:val="8"/>
        <w:spacing w:line="360" w:lineRule="auto"/>
        <w:ind w:left="140" w:firstLine="0"/>
        <w:rPr>
          <w:rFonts w:hint="eastAsia" w:ascii="宋体" w:hAnsi="宋体" w:eastAsia="宋体" w:cs="宋体"/>
          <w:sz w:val="24"/>
          <w:szCs w:val="24"/>
          <w:highlight w:val="none"/>
          <w:lang w:eastAsia="zh-CN"/>
        </w:rPr>
      </w:pPr>
      <w:r>
        <w:rPr>
          <w:rFonts w:hint="eastAsia" w:ascii="Times New Roman" w:hAnsi="宋体" w:eastAsia="微软雅黑" w:cs="宋体"/>
          <w:b/>
          <w:bCs/>
          <w:kern w:val="2"/>
          <w:sz w:val="24"/>
          <w:szCs w:val="24"/>
          <w:highlight w:val="none"/>
          <w:lang w:val="en-US" w:eastAsia="zh-CN" w:bidi="ar-SA"/>
        </w:rPr>
        <w:t>3. This table is expandable.</w:t>
      </w:r>
    </w:p>
    <w:p w14:paraId="203949E0">
      <w:pPr>
        <w:pStyle w:val="8"/>
        <w:ind w:firstLine="0"/>
        <w:rPr>
          <w:rFonts w:ascii="宋体" w:hAnsi="宋体" w:cs="宋体"/>
          <w:sz w:val="28"/>
          <w:szCs w:val="28"/>
          <w:highlight w:val="none"/>
        </w:rPr>
      </w:pPr>
    </w:p>
    <w:p w14:paraId="1BC3C7E1">
      <w:pPr>
        <w:adjustRightInd w:val="0"/>
        <w:snapToGrid w:val="0"/>
        <w:spacing w:line="480" w:lineRule="auto"/>
        <w:jc w:val="left"/>
        <w:rPr>
          <w:rFonts w:hint="eastAsia" w:ascii="宋体" w:hAnsi="宋体" w:eastAsia="宋体" w:cs="宋体"/>
          <w:sz w:val="24"/>
          <w:szCs w:val="24"/>
          <w:highlight w:val="none"/>
          <w:u w:val="single"/>
          <w:lang w:eastAsia="zh-CN"/>
        </w:rPr>
      </w:pPr>
      <w:r>
        <w:rPr>
          <w:rFonts w:hint="eastAsia" w:ascii="Times New Roman" w:hAnsi="宋体" w:eastAsia="微软雅黑" w:cs="宋体"/>
          <w:kern w:val="2"/>
          <w:sz w:val="28"/>
          <w:szCs w:val="28"/>
          <w:highlight w:val="none"/>
          <w:lang w:val="en-US" w:eastAsia="zh-CN" w:bidi="ar-SA"/>
        </w:rPr>
        <w:t>Supplier (Company Name and Official Seal): ______________________</w:t>
      </w:r>
    </w:p>
    <w:p w14:paraId="5E27A158">
      <w:pPr>
        <w:adjustRightInd w:val="0"/>
        <w:snapToGrid w:val="0"/>
        <w:spacing w:line="480" w:lineRule="auto"/>
        <w:rPr>
          <w:rFonts w:hint="eastAsia" w:ascii="宋体" w:hAnsi="宋体" w:eastAsia="宋体" w:cs="宋体"/>
          <w:sz w:val="24"/>
          <w:szCs w:val="24"/>
          <w:highlight w:val="none"/>
          <w:lang w:eastAsia="zh-CN"/>
        </w:rPr>
      </w:pPr>
      <w:r>
        <w:rPr>
          <w:rFonts w:hint="eastAsia" w:ascii="Times New Roman" w:hAnsi="宋体" w:eastAsia="微软雅黑" w:cs="宋体"/>
          <w:kern w:val="2"/>
          <w:sz w:val="28"/>
          <w:szCs w:val="28"/>
          <w:highlight w:val="none"/>
          <w:lang w:val="en-US" w:eastAsia="zh-CN" w:bidi="ar-SA"/>
        </w:rPr>
        <w:t>Legal Representative or Authorized Person (Signature or Seal): ______________________</w:t>
      </w:r>
    </w:p>
    <w:p w14:paraId="440C070C">
      <w:pPr>
        <w:adjustRightInd w:val="0"/>
        <w:snapToGrid w:val="0"/>
        <w:spacing w:line="480" w:lineRule="auto"/>
        <w:rPr>
          <w:rFonts w:hint="eastAsia" w:ascii="宋体" w:hAnsi="宋体" w:eastAsia="宋体" w:cs="宋体"/>
          <w:sz w:val="28"/>
          <w:szCs w:val="28"/>
          <w:highlight w:val="none"/>
          <w:lang w:eastAsia="zh-CN"/>
        </w:rPr>
        <w:sectPr>
          <w:pgSz w:w="11906" w:h="16838"/>
          <w:pgMar w:top="1440" w:right="1803" w:bottom="1440" w:left="1803" w:header="851" w:footer="992" w:gutter="0"/>
          <w:pgNumType w:fmt="decimal"/>
          <w:cols w:space="720" w:num="1"/>
          <w:docGrid w:type="lines" w:linePitch="319" w:charSpace="0"/>
        </w:sectPr>
      </w:pPr>
      <w:r>
        <w:rPr>
          <w:rFonts w:hint="eastAsia" w:ascii="Times New Roman" w:hAnsi="宋体" w:eastAsia="微软雅黑" w:cs="宋体"/>
          <w:kern w:val="2"/>
          <w:sz w:val="28"/>
          <w:szCs w:val="28"/>
          <w:highlight w:val="none"/>
          <w:lang w:val="en-US" w:eastAsia="zh-CN" w:bidi="ar-SA"/>
        </w:rPr>
        <w:t>Date: _____ Year _____ Month _____ Day</w:t>
      </w:r>
    </w:p>
    <w:p w14:paraId="5F9F7355">
      <w:pPr>
        <w:rPr>
          <w:rFonts w:ascii="宋体" w:hAnsi="宋体" w:cs="宋体"/>
          <w:highlight w:val="none"/>
        </w:rPr>
      </w:pPr>
      <w:bookmarkStart w:id="278" w:name="OLE_LINK1"/>
    </w:p>
    <w:bookmarkEnd w:id="278"/>
    <w:p w14:paraId="5B804396">
      <w:pPr>
        <w:pStyle w:val="3"/>
        <w:jc w:val="center"/>
        <w:rPr>
          <w:rFonts w:hint="eastAsia" w:ascii="宋体" w:hAnsi="宋体" w:eastAsia="宋体" w:cs="宋体"/>
          <w:sz w:val="36"/>
          <w:szCs w:val="36"/>
          <w:highlight w:val="none"/>
          <w:lang w:eastAsia="zh-CN"/>
        </w:rPr>
      </w:pPr>
      <w:bookmarkStart w:id="279" w:name="_Toc10114"/>
      <w:bookmarkStart w:id="280" w:name="_Toc31390"/>
      <w:bookmarkStart w:id="281" w:name="_Toc6356"/>
      <w:bookmarkStart w:id="282" w:name="_Toc8621"/>
      <w:bookmarkStart w:id="283" w:name="_Toc26996"/>
      <w:bookmarkStart w:id="284" w:name="_Toc26481"/>
      <w:r>
        <w:rPr>
          <w:rFonts w:hint="eastAsia" w:ascii="Times New Roman" w:hAnsi="宋体" w:eastAsia="微软雅黑" w:cs="宋体"/>
          <w:b/>
          <w:kern w:val="2"/>
          <w:sz w:val="36"/>
          <w:szCs w:val="36"/>
          <w:highlight w:val="none"/>
          <w:lang w:val="en-US" w:eastAsia="zh-CN" w:bidi="ar-SA"/>
        </w:rPr>
        <w:t>Part IV: Supplier Qualification Requirements</w:t>
      </w:r>
      <w:bookmarkEnd w:id="279"/>
      <w:bookmarkEnd w:id="280"/>
      <w:bookmarkEnd w:id="281"/>
      <w:bookmarkEnd w:id="282"/>
      <w:bookmarkEnd w:id="283"/>
      <w:bookmarkEnd w:id="284"/>
    </w:p>
    <w:p w14:paraId="0E0B34FB">
      <w:pPr>
        <w:rPr>
          <w:rFonts w:ascii="宋体" w:hAnsi="宋体" w:cs="宋体"/>
          <w:highlight w:val="none"/>
        </w:rPr>
      </w:pPr>
    </w:p>
    <w:p w14:paraId="0278B186">
      <w:pPr>
        <w:snapToGrid w:val="0"/>
        <w:spacing w:line="360" w:lineRule="auto"/>
        <w:ind w:right="-199" w:rightChars="-95"/>
        <w:jc w:val="left"/>
        <w:rPr>
          <w:rFonts w:hint="eastAsia" w:ascii="宋体" w:hAnsi="宋体" w:eastAsia="宋体" w:cs="宋体"/>
          <w:kern w:val="0"/>
          <w:sz w:val="24"/>
          <w:szCs w:val="24"/>
          <w:highlight w:val="none"/>
          <w:lang w:eastAsia="zh-CN"/>
        </w:rPr>
      </w:pPr>
      <w:r>
        <w:rPr>
          <w:rFonts w:hint="eastAsia" w:ascii="Times New Roman" w:hAnsi="宋体" w:eastAsia="微软雅黑" w:cs="宋体"/>
          <w:kern w:val="0"/>
          <w:sz w:val="24"/>
          <w:szCs w:val="24"/>
          <w:highlight w:val="none"/>
          <w:lang w:val="en-US" w:eastAsia="zh-CN" w:bidi="ar-SA"/>
        </w:rPr>
        <w:t>Suppliers shall submit supporting documents in accordance with the qualification requirements specified in the tender document announcement.</w:t>
      </w:r>
    </w:p>
    <w:p w14:paraId="687EAE29">
      <w:pPr>
        <w:pStyle w:val="11"/>
        <w:rPr>
          <w:rFonts w:hint="eastAsia" w:ascii="宋体" w:hAnsi="宋体" w:eastAsia="宋体" w:cs="宋体"/>
          <w:highlight w:val="none"/>
          <w:lang w:eastAsia="zh-CN"/>
        </w:rPr>
        <w:sectPr>
          <w:headerReference r:id="rId16" w:type="default"/>
          <w:pgSz w:w="11906" w:h="16838"/>
          <w:pgMar w:top="1440" w:right="1803" w:bottom="1440" w:left="1803" w:header="851" w:footer="992" w:gutter="0"/>
          <w:pgNumType w:fmt="decimal"/>
          <w:cols w:space="720" w:num="1"/>
          <w:docGrid w:type="lines" w:linePitch="319" w:charSpace="0"/>
        </w:sectPr>
      </w:pPr>
      <w:r>
        <w:rPr>
          <w:rFonts w:hint="eastAsia" w:ascii="Times New Roman" w:hAnsi="宋体" w:eastAsia="微软雅黑" w:cs="宋体"/>
          <w:color w:val="993300"/>
          <w:kern w:val="0"/>
          <w:sz w:val="24"/>
          <w:szCs w:val="24"/>
          <w:highlight w:val="none"/>
          <w:lang w:val="en-US" w:eastAsia="zh-CN" w:bidi="ar-SA"/>
        </w:rPr>
        <w:t xml:space="preserve">                       </w:t>
      </w:r>
    </w:p>
    <w:p w14:paraId="336EA675">
      <w:pPr>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(1) Basic Qualification Requirements</w:t>
      </w:r>
    </w:p>
    <w:p w14:paraId="1FD38B30">
      <w:pPr>
        <w:rPr>
          <w:rFonts w:ascii="宋体" w:hAnsi="宋体" w:cs="宋体"/>
          <w:sz w:val="24"/>
          <w:szCs w:val="24"/>
          <w:highlight w:val="none"/>
        </w:rPr>
      </w:pPr>
    </w:p>
    <w:p w14:paraId="3F53B3EC">
      <w:pPr>
        <w:pStyle w:val="11"/>
        <w:rPr>
          <w:rFonts w:hint="eastAsia" w:ascii="宋体" w:hAnsi="宋体" w:eastAsia="宋体" w:cs="宋体"/>
          <w:color w:val="auto"/>
          <w:sz w:val="32"/>
          <w:szCs w:val="32"/>
          <w:highlight w:val="none"/>
          <w:lang w:eastAsia="zh-CN"/>
        </w:rPr>
      </w:pPr>
      <w:r>
        <w:rPr>
          <w:rFonts w:hint="eastAsia" w:ascii="Times New Roman" w:hAnsi="宋体" w:eastAsia="微软雅黑" w:cs="宋体"/>
          <w:color w:val="auto"/>
          <w:kern w:val="0"/>
          <w:sz w:val="32"/>
          <w:szCs w:val="32"/>
          <w:highlight w:val="none"/>
          <w:lang w:val="en-US" w:eastAsia="zh-CN" w:bidi="ar-SA"/>
        </w:rPr>
        <w:t>Meets the requirements stipulated in Article 22 of the Government Procurement Law of the People's Republic of China.</w:t>
      </w:r>
    </w:p>
    <w:p w14:paraId="7F7E14DC">
      <w:pPr>
        <w:pStyle w:val="11"/>
        <w:jc w:val="center"/>
        <w:rPr>
          <w:rFonts w:hint="eastAsia" w:ascii="宋体" w:hAnsi="宋体" w:eastAsia="宋体" w:cs="宋体"/>
          <w:color w:val="auto"/>
          <w:sz w:val="32"/>
          <w:szCs w:val="32"/>
          <w:highlight w:val="none"/>
          <w:lang w:eastAsia="zh-CN"/>
        </w:rPr>
      </w:pPr>
      <w:r>
        <w:rPr>
          <w:rFonts w:hint="eastAsia" w:ascii="Times New Roman" w:hAnsi="宋体" w:eastAsia="微软雅黑" w:cs="宋体"/>
          <w:color w:val="auto"/>
          <w:kern w:val="0"/>
          <w:sz w:val="32"/>
          <w:szCs w:val="32"/>
          <w:highlight w:val="none"/>
          <w:lang w:val="en-US" w:eastAsia="zh-CN" w:bidi="ar-SA"/>
        </w:rPr>
        <w:t>Qualification Commitment (Format)</w:t>
      </w:r>
    </w:p>
    <w:p w14:paraId="3105F1BA">
      <w:pPr>
        <w:widowControl/>
        <w:snapToGrid w:val="0"/>
        <w:spacing w:line="480" w:lineRule="auto"/>
        <w:jc w:val="left"/>
        <w:rPr>
          <w:rFonts w:hint="eastAsia" w:ascii="宋体" w:hAnsi="宋体" w:eastAsia="宋体" w:cs="宋体"/>
          <w:kern w:val="0"/>
          <w:sz w:val="24"/>
          <w:szCs w:val="24"/>
          <w:highlight w:val="none"/>
          <w:lang w:eastAsia="zh-CN"/>
        </w:rPr>
      </w:pPr>
      <w:r>
        <w:rPr>
          <w:rFonts w:hint="eastAsia" w:ascii="Times New Roman" w:hAnsi="宋体" w:eastAsia="微软雅黑" w:cs="宋体"/>
          <w:kern w:val="0"/>
          <w:sz w:val="24"/>
          <w:szCs w:val="24"/>
          <w:highlight w:val="none"/>
          <w:lang w:val="en-US" w:eastAsia="zh-CN" w:bidi="ar-SA"/>
        </w:rPr>
        <w:t>(Purchaser Name) _________________________:</w:t>
      </w:r>
    </w:p>
    <w:p w14:paraId="719A8A5D">
      <w:pPr>
        <w:widowControl/>
        <w:snapToGrid w:val="0"/>
        <w:spacing w:line="480" w:lineRule="auto"/>
        <w:ind w:firstLine="480" w:firstLineChars="200"/>
        <w:jc w:val="left"/>
        <w:rPr>
          <w:rFonts w:hint="eastAsia" w:ascii="宋体" w:hAnsi="宋体" w:eastAsia="宋体" w:cs="宋体"/>
          <w:kern w:val="0"/>
          <w:sz w:val="24"/>
          <w:szCs w:val="24"/>
          <w:highlight w:val="none"/>
          <w:lang w:eastAsia="zh-CN"/>
        </w:rPr>
      </w:pPr>
      <w:r>
        <w:rPr>
          <w:rFonts w:hint="eastAsia" w:ascii="Times New Roman" w:hAnsi="宋体" w:eastAsia="微软雅黑" w:cs="宋体"/>
          <w:kern w:val="0"/>
          <w:sz w:val="24"/>
          <w:szCs w:val="24"/>
          <w:highlight w:val="none"/>
          <w:lang w:val="en-US" w:eastAsia="zh-CN" w:bidi="ar-SA"/>
        </w:rPr>
        <w:t>Our company participated in the public bidding for ________________________ (project name) organized by Shaanxi Zhuoxi Project Management Co., Ltd., and meets all supplier qualification requirements stipulated by the Government Procurement Law of the People's Republic of China.</w:t>
      </w:r>
    </w:p>
    <w:p w14:paraId="001725DB">
      <w:pPr>
        <w:numPr>
          <w:ilvl w:val="0"/>
          <w:numId w:val="10"/>
        </w:numPr>
        <w:spacing w:line="500" w:lineRule="exact"/>
        <w:ind w:left="0" w:leftChars="0" w:firstLine="420" w:firstLineChars="0"/>
        <w:jc w:val="left"/>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Having the capacity to independently assume civil liability;</w:t>
      </w:r>
    </w:p>
    <w:p w14:paraId="58743322">
      <w:pPr>
        <w:numPr>
          <w:ilvl w:val="0"/>
          <w:numId w:val="10"/>
        </w:numPr>
        <w:spacing w:line="500" w:lineRule="exact"/>
        <w:ind w:left="0" w:leftChars="0" w:firstLine="420" w:firstLineChars="0"/>
        <w:jc w:val="left"/>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Possesses a strong business reputation and a sound financial accounting system;</w:t>
      </w:r>
    </w:p>
    <w:p w14:paraId="05B5FB34">
      <w:pPr>
        <w:numPr>
          <w:ilvl w:val="0"/>
          <w:numId w:val="10"/>
        </w:numPr>
        <w:spacing w:line="500" w:lineRule="exact"/>
        <w:ind w:left="0" w:leftChars="0" w:firstLine="420" w:firstLineChars="0"/>
        <w:jc w:val="left"/>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Possess the necessary equipment and professional technical capabilities required to fulfill the contract;</w:t>
      </w:r>
    </w:p>
    <w:p w14:paraId="4B0D0637">
      <w:pPr>
        <w:numPr>
          <w:ilvl w:val="0"/>
          <w:numId w:val="10"/>
        </w:numPr>
        <w:spacing w:line="500" w:lineRule="exact"/>
        <w:ind w:left="0" w:leftChars="0" w:firstLine="420" w:firstLineChars="0"/>
        <w:jc w:val="left"/>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Has a good record of fulfilling tax obligations and contributing to social security funds in accordance with the law;</w:t>
      </w:r>
    </w:p>
    <w:p w14:paraId="2099CE74">
      <w:pPr>
        <w:numPr>
          <w:ilvl w:val="0"/>
          <w:numId w:val="10"/>
        </w:numPr>
        <w:spacing w:line="500" w:lineRule="exact"/>
        <w:ind w:left="0" w:leftChars="0" w:firstLine="420" w:firstLineChars="0"/>
        <w:jc w:val="left"/>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Within three years prior to participating in this procurement activity, there shall be no record of major violations in business operations.</w:t>
      </w:r>
    </w:p>
    <w:p w14:paraId="5207CB13">
      <w:pPr>
        <w:numPr>
          <w:ilvl w:val="0"/>
          <w:numId w:val="10"/>
        </w:numPr>
        <w:spacing w:line="500" w:lineRule="exact"/>
        <w:ind w:left="0" w:leftChars="0" w:firstLine="420" w:firstLineChars="0"/>
        <w:jc w:val="left"/>
        <w:rPr>
          <w:rFonts w:ascii="宋体" w:hAnsi="宋体" w:cs="宋体"/>
          <w:sz w:val="24"/>
          <w:szCs w:val="24"/>
          <w:highlight w:val="none"/>
        </w:rPr>
      </w:pPr>
      <w:r>
        <w:rPr>
          <w:rFonts w:hint="eastAsia" w:ascii="Times New Roman" w:hAnsi="宋体" w:eastAsia="微软雅黑" w:cs="宋体"/>
          <w:kern w:val="2"/>
          <w:sz w:val="24"/>
          <w:szCs w:val="24"/>
          <w:highlight w:val="none"/>
          <w:lang w:val="en-US" w:eastAsia="zh-CN" w:bidi="ar-SA"/>
        </w:rPr>
        <w:t>Other conditions stipulated by laws and administrative regulations.</w:t>
      </w:r>
    </w:p>
    <w:p w14:paraId="3C84D019">
      <w:pPr>
        <w:pStyle w:val="11"/>
        <w:rPr>
          <w:rFonts w:ascii="宋体" w:hAnsi="宋体" w:cs="宋体"/>
          <w:highlight w:val="none"/>
        </w:rPr>
      </w:pPr>
    </w:p>
    <w:p w14:paraId="6EE052FD">
      <w:pPr>
        <w:widowControl/>
        <w:snapToGrid w:val="0"/>
        <w:spacing w:line="480" w:lineRule="auto"/>
        <w:ind w:firstLine="480" w:firstLineChars="200"/>
        <w:jc w:val="left"/>
        <w:rPr>
          <w:rFonts w:hint="eastAsia" w:ascii="宋体" w:hAnsi="宋体" w:eastAsia="宋体" w:cs="宋体"/>
          <w:kern w:val="0"/>
          <w:sz w:val="24"/>
          <w:szCs w:val="24"/>
          <w:highlight w:val="none"/>
          <w:lang w:eastAsia="zh-CN"/>
        </w:rPr>
      </w:pPr>
      <w:r>
        <w:rPr>
          <w:rFonts w:hint="eastAsia" w:ascii="Times New Roman" w:hAnsi="宋体" w:eastAsia="微软雅黑" w:cs="宋体"/>
          <w:kern w:val="0"/>
          <w:sz w:val="24"/>
          <w:szCs w:val="24"/>
          <w:highlight w:val="none"/>
          <w:lang w:val="en-US" w:eastAsia="zh-CN" w:bidi="ar-SA"/>
        </w:rPr>
        <w:t>We assume full legal responsibility for this statement.</w:t>
      </w:r>
    </w:p>
    <w:p w14:paraId="3403AB2C">
      <w:pPr>
        <w:pStyle w:val="14"/>
        <w:spacing w:line="500" w:lineRule="exact"/>
        <w:jc w:val="left"/>
        <w:rPr>
          <w:rFonts w:hAnsi="宋体" w:cs="宋体"/>
          <w:sz w:val="24"/>
          <w:szCs w:val="24"/>
          <w:highlight w:val="none"/>
        </w:rPr>
      </w:pPr>
    </w:p>
    <w:p w14:paraId="039E6BA2">
      <w:pPr>
        <w:pStyle w:val="14"/>
        <w:spacing w:line="480" w:lineRule="auto"/>
        <w:jc w:val="left"/>
        <w:rPr>
          <w:rFonts w:hAnsi="宋体" w:cs="宋体"/>
          <w:sz w:val="24"/>
          <w:highlight w:val="none"/>
        </w:rPr>
      </w:pPr>
    </w:p>
    <w:p w14:paraId="435A1D7B">
      <w:pPr>
        <w:pStyle w:val="14"/>
        <w:spacing w:line="480" w:lineRule="auto"/>
        <w:jc w:val="left"/>
        <w:rPr>
          <w:rFonts w:hint="eastAsia" w:hAnsi="宋体" w:eastAsia="宋体" w:cs="宋体"/>
          <w:sz w:val="24"/>
          <w:highlight w:val="none"/>
          <w:lang w:eastAsia="zh-CN"/>
        </w:rPr>
      </w:pPr>
      <w:r>
        <w:rPr>
          <w:rFonts w:hint="eastAsia" w:ascii="Times New Roman" w:hAnsi="宋体" w:eastAsia="微软雅黑" w:cs="宋体"/>
          <w:kern w:val="2"/>
          <w:sz w:val="28"/>
          <w:szCs w:val="28"/>
          <w:highlight w:val="none"/>
          <w:lang w:val="en-US" w:eastAsia="zh-CN" w:bidi="ar-SA"/>
        </w:rPr>
        <w:t>Supplier (Company Name and Official Seal): ______________________</w:t>
      </w:r>
    </w:p>
    <w:p w14:paraId="4303C841">
      <w:pPr>
        <w:pStyle w:val="14"/>
        <w:spacing w:line="480" w:lineRule="auto"/>
        <w:jc w:val="left"/>
        <w:rPr>
          <w:rFonts w:hint="eastAsia" w:hAnsi="宋体" w:eastAsia="宋体" w:cs="宋体"/>
          <w:sz w:val="24"/>
          <w:highlight w:val="none"/>
          <w:lang w:eastAsia="zh-CN"/>
        </w:rPr>
      </w:pPr>
      <w:r>
        <w:rPr>
          <w:rFonts w:hint="eastAsia" w:ascii="Times New Roman" w:hAnsi="宋体" w:eastAsia="微软雅黑" w:cs="宋体"/>
          <w:kern w:val="2"/>
          <w:sz w:val="28"/>
          <w:szCs w:val="28"/>
          <w:highlight w:val="none"/>
          <w:lang w:val="en-US" w:eastAsia="zh-CN" w:bidi="ar-SA"/>
        </w:rPr>
        <w:t>Legal Representative or Authorized Person (Signature or Seal): ______________________</w:t>
      </w:r>
    </w:p>
    <w:p w14:paraId="5D7FCB41">
      <w:pPr>
        <w:adjustRightInd w:val="0"/>
        <w:snapToGrid w:val="0"/>
        <w:spacing w:line="480" w:lineRule="auto"/>
        <w:rPr>
          <w:rFonts w:hint="eastAsia" w:ascii="宋体" w:hAnsi="宋体" w:eastAsia="宋体" w:cs="宋体"/>
          <w:sz w:val="24"/>
          <w:szCs w:val="24"/>
          <w:highlight w:val="none"/>
          <w:lang w:eastAsia="zh-CN"/>
        </w:rPr>
      </w:pPr>
      <w:r>
        <w:rPr>
          <w:rFonts w:hint="eastAsia" w:ascii="Times New Roman" w:hAnsi="宋体" w:eastAsia="微软雅黑" w:cs="宋体"/>
          <w:kern w:val="2"/>
          <w:sz w:val="28"/>
          <w:szCs w:val="28"/>
          <w:highlight w:val="none"/>
          <w:lang w:val="en-US" w:eastAsia="zh-CN" w:bidi="ar-SA"/>
        </w:rPr>
        <w:t>Date: ______________________</w:t>
      </w:r>
    </w:p>
    <w:p w14:paraId="65E94700">
      <w:pPr>
        <w:spacing w:line="360" w:lineRule="auto"/>
        <w:rPr>
          <w:rFonts w:ascii="宋体" w:hAnsi="宋体" w:cs="宋体"/>
          <w:sz w:val="24"/>
          <w:szCs w:val="24"/>
          <w:highlight w:val="none"/>
          <w:u w:val="single"/>
        </w:rPr>
      </w:pPr>
    </w:p>
    <w:p w14:paraId="7B59C003">
      <w:pPr>
        <w:spacing w:line="360" w:lineRule="auto"/>
        <w:rPr>
          <w:rFonts w:ascii="宋体" w:hAnsi="宋体" w:cs="宋体"/>
          <w:sz w:val="24"/>
          <w:szCs w:val="24"/>
          <w:highlight w:val="none"/>
          <w:u w:val="single"/>
        </w:rPr>
      </w:pPr>
    </w:p>
    <w:p w14:paraId="36A8CE79">
      <w:pPr>
        <w:spacing w:line="360" w:lineRule="auto"/>
        <w:rPr>
          <w:rFonts w:ascii="宋体" w:hAnsi="宋体" w:cs="宋体"/>
          <w:sz w:val="24"/>
          <w:szCs w:val="24"/>
          <w:highlight w:val="none"/>
          <w:u w:val="single"/>
        </w:rPr>
      </w:pPr>
    </w:p>
    <w:p w14:paraId="6787B9B8">
      <w:pPr>
        <w:spacing w:line="360" w:lineRule="auto"/>
        <w:rPr>
          <w:rFonts w:ascii="宋体" w:hAnsi="宋体" w:cs="宋体"/>
          <w:sz w:val="24"/>
          <w:szCs w:val="24"/>
          <w:highlight w:val="none"/>
          <w:u w:val="single"/>
        </w:rPr>
      </w:pPr>
    </w:p>
    <w:p w14:paraId="6ABED82E">
      <w:pPr>
        <w:spacing w:line="360" w:lineRule="auto"/>
        <w:rPr>
          <w:rFonts w:ascii="宋体" w:hAnsi="宋体" w:cs="宋体"/>
          <w:sz w:val="24"/>
          <w:szCs w:val="24"/>
          <w:highlight w:val="none"/>
          <w:u w:val="single"/>
        </w:rPr>
      </w:pPr>
    </w:p>
    <w:p w14:paraId="2463AFAE">
      <w:pPr>
        <w:spacing w:line="360" w:lineRule="auto"/>
        <w:rPr>
          <w:rFonts w:hint="eastAsia" w:ascii="宋体" w:hAnsi="宋体" w:eastAsia="宋体" w:cs="宋体"/>
          <w:sz w:val="28"/>
          <w:szCs w:val="32"/>
          <w:highlight w:val="none"/>
          <w:lang w:eastAsia="zh-CN"/>
        </w:rPr>
      </w:pPr>
      <w:r>
        <w:rPr>
          <w:rFonts w:hint="eastAsia" w:ascii="Times New Roman" w:hAnsi="宋体" w:eastAsia="微软雅黑" w:cs="宋体"/>
          <w:kern w:val="2"/>
          <w:sz w:val="28"/>
          <w:szCs w:val="32"/>
          <w:highlight w:val="none"/>
          <w:lang w:val="en-US" w:eastAsia="zh-CN" w:bidi="ar-SA"/>
        </w:rPr>
        <w:t>(II) Specific Qualification Requirements</w:t>
      </w:r>
    </w:p>
    <w:p w14:paraId="12A78D34">
      <w:pPr>
        <w:spacing w:line="500" w:lineRule="exact"/>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1. Legal persons, other organizations, or natural persons with independent capacity to bear civil liability shall provide a valid business license bearing a unified social credit code (public institutions shall submit a legal entity certificate, and natural persons shall provide an ID card).</w:t>
      </w:r>
    </w:p>
    <w:p w14:paraId="77E7FD88">
      <w:pPr>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2. Financial Status Verification: Suppliers shall submit a complete audited financial report for fiscal year 2025 (the report must contain a verification code issued by the Unified Supervision Platform for Certified Public Accountants at https://acc.mof.gov.cn). For suppliers established within one year prior to the submission deadline, a balance sheet from any date after establishment or a bank-issued credit certificate issued within three months preceding the bid opening may be submitted.</w:t>
      </w:r>
    </w:p>
    <w:p w14:paraId="3E50FE1E">
      <w:pPr>
        <w:spacing w:line="360" w:lineRule="auto"/>
        <w:ind w:firstLine="480" w:firstLineChars="200"/>
        <w:rPr>
          <w:rFonts w:hint="eastAsia" w:ascii="宋体" w:hAnsi="宋体" w:cs="宋体"/>
          <w:sz w:val="24"/>
          <w:szCs w:val="24"/>
          <w:highlight w:val="none"/>
        </w:rPr>
      </w:pPr>
    </w:p>
    <w:p w14:paraId="55C59B50">
      <w:pPr>
        <w:spacing w:line="360" w:lineRule="auto"/>
        <w:ind w:firstLine="480" w:firstLineChars="200"/>
        <w:rPr>
          <w:rFonts w:hint="eastAsia" w:ascii="宋体" w:hAnsi="宋体" w:cs="宋体"/>
          <w:sz w:val="24"/>
          <w:szCs w:val="24"/>
          <w:highlight w:val="none"/>
        </w:rPr>
      </w:pPr>
    </w:p>
    <w:p w14:paraId="439ADF26">
      <w:pPr>
        <w:spacing w:line="360" w:lineRule="auto"/>
        <w:ind w:firstLine="480" w:firstLineChars="200"/>
        <w:rPr>
          <w:rFonts w:ascii="宋体" w:hAnsi="宋体" w:cs="宋体"/>
          <w:sz w:val="24"/>
          <w:szCs w:val="24"/>
          <w:highlight w:val="none"/>
        </w:rPr>
      </w:pPr>
    </w:p>
    <w:p w14:paraId="0FFCB195">
      <w:pPr>
        <w:keepNext/>
        <w:keepLines/>
        <w:spacing w:line="413" w:lineRule="auto"/>
        <w:jc w:val="center"/>
        <w:rPr>
          <w:rFonts w:ascii="宋体" w:hAnsi="宋体" w:cs="宋体"/>
          <w:sz w:val="32"/>
          <w:szCs w:val="24"/>
          <w:highlight w:val="none"/>
        </w:rPr>
        <w:sectPr>
          <w:headerReference r:id="rId17" w:type="default"/>
          <w:pgSz w:w="11906" w:h="16838"/>
          <w:pgMar w:top="1440" w:right="1803" w:bottom="1440" w:left="1803" w:header="851" w:footer="992" w:gutter="0"/>
          <w:pgNumType w:fmt="decimal"/>
          <w:cols w:space="720" w:num="1"/>
          <w:docGrid w:type="lines" w:linePitch="319" w:charSpace="0"/>
        </w:sectPr>
      </w:pPr>
    </w:p>
    <w:p w14:paraId="214A74D3">
      <w:pPr>
        <w:keepNext/>
        <w:keepLines/>
        <w:spacing w:line="413" w:lineRule="auto"/>
        <w:jc w:val="center"/>
        <w:rPr>
          <w:rFonts w:hint="eastAsia" w:ascii="宋体" w:hAnsi="宋体" w:eastAsia="宋体" w:cs="宋体"/>
          <w:sz w:val="32"/>
          <w:szCs w:val="24"/>
          <w:highlight w:val="none"/>
          <w:lang w:eastAsia="zh-CN"/>
        </w:rPr>
      </w:pPr>
      <w:r>
        <w:rPr>
          <w:rFonts w:hint="eastAsia" w:ascii="Times New Roman" w:hAnsi="宋体" w:eastAsia="微软雅黑" w:cs="宋体"/>
          <w:kern w:val="2"/>
          <w:sz w:val="28"/>
          <w:szCs w:val="22"/>
          <w:highlight w:val="none"/>
          <w:lang w:val="en-US" w:eastAsia="zh-CN" w:bidi="ar-SA"/>
        </w:rPr>
        <w:t>3. A written declaration stating possession of the necessary equipment and professional technical capabilities required for contract performance;</w:t>
      </w:r>
    </w:p>
    <w:p w14:paraId="5A2F0E8F">
      <w:pPr>
        <w:rPr>
          <w:rFonts w:ascii="宋体" w:hAnsi="宋体" w:cs="宋体"/>
          <w:highlight w:val="none"/>
        </w:rPr>
      </w:pPr>
    </w:p>
    <w:p w14:paraId="54C486C8">
      <w:pPr>
        <w:widowControl/>
        <w:snapToGrid w:val="0"/>
        <w:spacing w:line="480" w:lineRule="auto"/>
        <w:jc w:val="left"/>
        <w:rPr>
          <w:rFonts w:hint="eastAsia" w:ascii="宋体" w:hAnsi="宋体" w:eastAsia="宋体" w:cs="宋体"/>
          <w:kern w:val="0"/>
          <w:sz w:val="24"/>
          <w:szCs w:val="24"/>
          <w:highlight w:val="none"/>
          <w:lang w:eastAsia="zh-CN"/>
        </w:rPr>
      </w:pPr>
      <w:r>
        <w:rPr>
          <w:rFonts w:hint="eastAsia" w:ascii="Times New Roman" w:hAnsi="宋体" w:eastAsia="微软雅黑" w:cs="宋体"/>
          <w:kern w:val="0"/>
          <w:sz w:val="24"/>
          <w:szCs w:val="24"/>
          <w:highlight w:val="none"/>
          <w:lang w:val="en-US" w:eastAsia="zh-CN" w:bidi="ar-SA"/>
        </w:rPr>
        <w:t>(Purchaser Name) _________________________:</w:t>
      </w:r>
    </w:p>
    <w:p w14:paraId="1FB31CEA">
      <w:pPr>
        <w:widowControl/>
        <w:snapToGrid w:val="0"/>
        <w:spacing w:line="480" w:lineRule="auto"/>
        <w:ind w:firstLine="720" w:firstLineChars="300"/>
        <w:jc w:val="left"/>
        <w:rPr>
          <w:rFonts w:hint="eastAsia" w:ascii="宋体" w:hAnsi="宋体" w:eastAsia="宋体" w:cs="宋体"/>
          <w:kern w:val="0"/>
          <w:sz w:val="24"/>
          <w:szCs w:val="24"/>
          <w:highlight w:val="none"/>
          <w:lang w:eastAsia="zh-CN"/>
        </w:rPr>
      </w:pPr>
      <w:r>
        <w:rPr>
          <w:rFonts w:hint="eastAsia" w:ascii="Times New Roman" w:hAnsi="宋体" w:eastAsia="微软雅黑" w:cs="宋体"/>
          <w:kern w:val="0"/>
          <w:sz w:val="24"/>
          <w:szCs w:val="24"/>
          <w:highlight w:val="none"/>
          <w:lang w:val="en-US" w:eastAsia="zh-CN" w:bidi="ar-SA"/>
        </w:rPr>
        <w:t>Our organization has participated in the ____________________ (project name) organized by Shaanxi Zhuoxi Project Management Co., Ltd. We hereby solemnly declare that we possess all necessary equipment and professional technical capabilities to fulfill the contract requirements, meet the supplier qualification criteria stipulated by the Government Procurement Law of the People's Republic of China, and assume full legal responsibility for this declaration.</w:t>
      </w:r>
    </w:p>
    <w:p w14:paraId="76565F0E">
      <w:pPr>
        <w:widowControl/>
        <w:snapToGrid w:val="0"/>
        <w:spacing w:line="480" w:lineRule="auto"/>
        <w:ind w:firstLine="480" w:firstLineChars="200"/>
        <w:jc w:val="left"/>
        <w:rPr>
          <w:rFonts w:hint="eastAsia" w:ascii="宋体" w:hAnsi="宋体" w:eastAsia="宋体" w:cs="宋体"/>
          <w:kern w:val="0"/>
          <w:sz w:val="24"/>
          <w:szCs w:val="24"/>
          <w:highlight w:val="none"/>
          <w:lang w:eastAsia="zh-CN"/>
        </w:rPr>
      </w:pPr>
      <w:r>
        <w:rPr>
          <w:rFonts w:hint="eastAsia" w:ascii="Times New Roman" w:hAnsi="宋体" w:eastAsia="微软雅黑" w:cs="宋体"/>
          <w:kern w:val="0"/>
          <w:sz w:val="24"/>
          <w:szCs w:val="24"/>
          <w:highlight w:val="none"/>
          <w:lang w:val="en-US" w:eastAsia="zh-CN" w:bidi="ar-SA"/>
        </w:rPr>
        <w:t>Hereby Declare 。</w:t>
      </w:r>
    </w:p>
    <w:p w14:paraId="694C36FE">
      <w:pPr>
        <w:pStyle w:val="14"/>
        <w:spacing w:line="500" w:lineRule="exact"/>
        <w:jc w:val="left"/>
        <w:rPr>
          <w:rFonts w:hAnsi="宋体" w:cs="宋体"/>
          <w:sz w:val="24"/>
          <w:szCs w:val="24"/>
          <w:highlight w:val="none"/>
        </w:rPr>
      </w:pPr>
    </w:p>
    <w:p w14:paraId="732873A0">
      <w:pPr>
        <w:pStyle w:val="14"/>
        <w:spacing w:line="480" w:lineRule="auto"/>
        <w:jc w:val="left"/>
        <w:rPr>
          <w:rFonts w:hAnsi="宋体" w:cs="宋体"/>
          <w:sz w:val="24"/>
          <w:highlight w:val="none"/>
        </w:rPr>
      </w:pPr>
    </w:p>
    <w:p w14:paraId="5CC78FC5">
      <w:pPr>
        <w:pStyle w:val="14"/>
        <w:spacing w:line="480" w:lineRule="auto"/>
        <w:jc w:val="left"/>
        <w:rPr>
          <w:rFonts w:hint="eastAsia" w:hAnsi="宋体" w:eastAsia="宋体" w:cs="宋体"/>
          <w:sz w:val="24"/>
          <w:highlight w:val="none"/>
          <w:lang w:eastAsia="zh-CN"/>
        </w:rPr>
      </w:pPr>
      <w:r>
        <w:rPr>
          <w:rFonts w:hint="eastAsia" w:ascii="Times New Roman" w:hAnsi="宋体" w:eastAsia="微软雅黑" w:cs="宋体"/>
          <w:kern w:val="2"/>
          <w:sz w:val="28"/>
          <w:szCs w:val="28"/>
          <w:highlight w:val="none"/>
          <w:lang w:val="en-US" w:eastAsia="zh-CN" w:bidi="ar-SA"/>
        </w:rPr>
        <w:t>Supplier (Company Name and Official Seal): ______________________</w:t>
      </w:r>
    </w:p>
    <w:p w14:paraId="277CF8DF">
      <w:pPr>
        <w:pStyle w:val="14"/>
        <w:spacing w:line="480" w:lineRule="auto"/>
        <w:jc w:val="left"/>
        <w:rPr>
          <w:rFonts w:hint="eastAsia" w:hAnsi="宋体" w:eastAsia="宋体" w:cs="宋体"/>
          <w:sz w:val="24"/>
          <w:highlight w:val="none"/>
          <w:lang w:eastAsia="zh-CN"/>
        </w:rPr>
      </w:pPr>
      <w:r>
        <w:rPr>
          <w:rFonts w:hint="eastAsia" w:ascii="Times New Roman" w:hAnsi="宋体" w:eastAsia="微软雅黑" w:cs="宋体"/>
          <w:kern w:val="2"/>
          <w:sz w:val="28"/>
          <w:szCs w:val="28"/>
          <w:highlight w:val="none"/>
          <w:lang w:val="en-US" w:eastAsia="zh-CN" w:bidi="ar-SA"/>
        </w:rPr>
        <w:t>Legal Representative or Authorized Person (Signature or Seal): ______________________</w:t>
      </w:r>
    </w:p>
    <w:p w14:paraId="2EA17B5C">
      <w:pPr>
        <w:adjustRightInd w:val="0"/>
        <w:snapToGrid w:val="0"/>
        <w:spacing w:line="480" w:lineRule="auto"/>
        <w:rPr>
          <w:rFonts w:hint="eastAsia" w:ascii="宋体" w:hAnsi="宋体" w:eastAsia="宋体" w:cs="宋体"/>
          <w:sz w:val="24"/>
          <w:szCs w:val="24"/>
          <w:highlight w:val="none"/>
          <w:lang w:eastAsia="zh-CN"/>
        </w:rPr>
      </w:pPr>
      <w:r>
        <w:rPr>
          <w:rFonts w:hint="eastAsia" w:ascii="Times New Roman" w:hAnsi="宋体" w:eastAsia="微软雅黑" w:cs="宋体"/>
          <w:kern w:val="2"/>
          <w:sz w:val="28"/>
          <w:szCs w:val="28"/>
          <w:highlight w:val="none"/>
          <w:lang w:val="en-US" w:eastAsia="zh-CN" w:bidi="ar-SA"/>
        </w:rPr>
        <w:t>Date: ______________________</w:t>
      </w:r>
    </w:p>
    <w:p w14:paraId="4413C64D">
      <w:pPr>
        <w:spacing w:line="360" w:lineRule="auto"/>
        <w:ind w:firstLine="480" w:firstLineChars="200"/>
        <w:rPr>
          <w:rFonts w:ascii="宋体" w:hAnsi="宋体" w:cs="宋体"/>
          <w:sz w:val="24"/>
          <w:szCs w:val="24"/>
          <w:highlight w:val="none"/>
        </w:rPr>
        <w:sectPr>
          <w:pgSz w:w="11906" w:h="16838"/>
          <w:pgMar w:top="1440" w:right="1803" w:bottom="1440" w:left="1803" w:header="851" w:footer="992" w:gutter="0"/>
          <w:pgNumType w:fmt="decimal"/>
          <w:cols w:space="720" w:num="1"/>
          <w:docGrid w:type="lines" w:linePitch="319" w:charSpace="0"/>
        </w:sectPr>
      </w:pPr>
    </w:p>
    <w:p w14:paraId="0A940756">
      <w:pPr>
        <w:spacing w:line="360" w:lineRule="auto"/>
        <w:ind w:firstLine="480" w:firstLine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4. Tax Payment Proof: Provide valid tax payment receipts for any period starting from January 2026 (inclusive), dated according to the applicable tax period, and bearing the official seal or business-specific stamp of the tax authority or collecting agency. Suppliers eligible for statutory tax exemption or exempt from tax liability shall submit corresponding supporting documents.</w:t>
      </w:r>
    </w:p>
    <w:p w14:paraId="6F103967">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5. Proof of social security contribution payments: Provide social security contribution receipts for any period starting from January 2026 (inclusive) or a certificate issued by the social security authority confirming insurance participation and payment records. Suppliers legally exempt from social security contributions shall submit relevant documentation as proof.</w:t>
      </w:r>
    </w:p>
    <w:p w14:paraId="795CF4CE">
      <w:pPr>
        <w:spacing w:line="360" w:lineRule="auto"/>
        <w:ind w:firstLine="480" w:firstLineChars="200"/>
        <w:rPr>
          <w:rFonts w:hint="eastAsia" w:ascii="宋体" w:hAnsi="宋体" w:eastAsia="宋体" w:cs="宋体"/>
          <w:sz w:val="24"/>
          <w:szCs w:val="24"/>
          <w:highlight w:val="none"/>
          <w:lang w:eastAsia="zh-CN"/>
        </w:rPr>
      </w:pPr>
    </w:p>
    <w:p w14:paraId="55EA1AF3">
      <w:pPr>
        <w:spacing w:line="360" w:lineRule="auto"/>
        <w:ind w:firstLine="480" w:firstLineChars="200"/>
        <w:rPr>
          <w:rFonts w:hint="eastAsia" w:ascii="宋体" w:hAnsi="宋体" w:eastAsia="宋体" w:cs="宋体"/>
          <w:sz w:val="24"/>
          <w:szCs w:val="24"/>
          <w:highlight w:val="none"/>
          <w:lang w:eastAsia="zh-CN"/>
        </w:rPr>
      </w:pPr>
    </w:p>
    <w:p w14:paraId="54009B0C">
      <w:pPr>
        <w:jc w:val="center"/>
        <w:rPr>
          <w:rFonts w:ascii="宋体" w:hAnsi="宋体" w:cs="宋体"/>
          <w:sz w:val="28"/>
          <w:szCs w:val="32"/>
          <w:highlight w:val="none"/>
        </w:rPr>
      </w:pPr>
    </w:p>
    <w:p w14:paraId="3CD0D117">
      <w:pPr>
        <w:jc w:val="center"/>
        <w:rPr>
          <w:rFonts w:ascii="宋体" w:hAnsi="宋体" w:cs="宋体"/>
          <w:sz w:val="28"/>
          <w:szCs w:val="32"/>
          <w:highlight w:val="none"/>
        </w:rPr>
      </w:pPr>
    </w:p>
    <w:p w14:paraId="027CA845">
      <w:pPr>
        <w:jc w:val="center"/>
        <w:rPr>
          <w:rFonts w:ascii="宋体" w:hAnsi="宋体" w:cs="宋体"/>
          <w:sz w:val="28"/>
          <w:szCs w:val="32"/>
          <w:highlight w:val="none"/>
        </w:rPr>
      </w:pPr>
    </w:p>
    <w:p w14:paraId="2FA1CB15">
      <w:pPr>
        <w:jc w:val="center"/>
        <w:rPr>
          <w:rFonts w:ascii="宋体" w:hAnsi="宋体" w:cs="宋体"/>
          <w:sz w:val="28"/>
          <w:szCs w:val="32"/>
          <w:highlight w:val="none"/>
        </w:rPr>
      </w:pPr>
    </w:p>
    <w:p w14:paraId="78CDE16D">
      <w:pPr>
        <w:jc w:val="center"/>
        <w:rPr>
          <w:rFonts w:ascii="宋体" w:hAnsi="宋体" w:cs="宋体"/>
          <w:sz w:val="28"/>
          <w:szCs w:val="32"/>
          <w:highlight w:val="none"/>
        </w:rPr>
      </w:pPr>
    </w:p>
    <w:p w14:paraId="045CCAC4">
      <w:pPr>
        <w:jc w:val="center"/>
        <w:rPr>
          <w:rFonts w:ascii="宋体" w:hAnsi="宋体" w:cs="宋体"/>
          <w:sz w:val="28"/>
          <w:szCs w:val="32"/>
          <w:highlight w:val="none"/>
        </w:rPr>
      </w:pPr>
    </w:p>
    <w:p w14:paraId="5155C3DC">
      <w:pPr>
        <w:jc w:val="center"/>
        <w:rPr>
          <w:rFonts w:ascii="宋体" w:hAnsi="宋体" w:cs="宋体"/>
          <w:sz w:val="28"/>
          <w:szCs w:val="32"/>
          <w:highlight w:val="none"/>
        </w:rPr>
      </w:pPr>
    </w:p>
    <w:p w14:paraId="5C7FABAD">
      <w:pPr>
        <w:jc w:val="center"/>
        <w:rPr>
          <w:rFonts w:ascii="宋体" w:hAnsi="宋体" w:cs="宋体"/>
          <w:sz w:val="28"/>
          <w:szCs w:val="32"/>
          <w:highlight w:val="none"/>
        </w:rPr>
      </w:pPr>
    </w:p>
    <w:p w14:paraId="43BD6D71">
      <w:pPr>
        <w:tabs>
          <w:tab w:val="left" w:pos="2850"/>
        </w:tabs>
        <w:jc w:val="left"/>
        <w:rPr>
          <w:rFonts w:hint="eastAsia" w:ascii="宋体" w:hAnsi="宋体" w:eastAsia="宋体" w:cs="宋体"/>
          <w:sz w:val="28"/>
          <w:szCs w:val="32"/>
          <w:highlight w:val="none"/>
          <w:lang w:eastAsia="zh-CN"/>
        </w:rPr>
      </w:pPr>
      <w:r>
        <w:rPr>
          <w:rFonts w:hint="eastAsia" w:ascii="Times New Roman" w:hAnsi="宋体" w:eastAsia="微软雅黑" w:cs="宋体"/>
          <w:kern w:val="2"/>
          <w:sz w:val="28"/>
          <w:szCs w:val="32"/>
          <w:highlight w:val="none"/>
          <w:lang w:val="en-US" w:eastAsia="zh-CN" w:bidi="ar-SA"/>
        </w:rPr>
        <w:tab/>
      </w:r>
    </w:p>
    <w:p w14:paraId="69202DC8">
      <w:pPr>
        <w:rPr>
          <w:rFonts w:hint="eastAsia" w:ascii="宋体" w:hAnsi="宋体" w:cs="宋体"/>
          <w:sz w:val="28"/>
          <w:szCs w:val="22"/>
          <w:highlight w:val="none"/>
          <w:lang w:eastAsia="zh-CN"/>
        </w:rPr>
      </w:pPr>
      <w:r>
        <w:rPr>
          <w:rFonts w:hint="eastAsia" w:ascii="宋体" w:hAnsi="宋体" w:cs="宋体"/>
          <w:sz w:val="28"/>
          <w:szCs w:val="22"/>
          <w:highlight w:val="none"/>
          <w:lang w:eastAsia="zh-CN"/>
        </w:rPr>
        <w:br w:type="page"/>
      </w:r>
    </w:p>
    <w:p w14:paraId="7466E3D1">
      <w:pPr>
        <w:keepNext/>
        <w:keepLines/>
        <w:spacing w:line="413" w:lineRule="auto"/>
        <w:jc w:val="center"/>
        <w:rPr>
          <w:rFonts w:hint="eastAsia" w:ascii="宋体" w:hAnsi="宋体" w:eastAsia="宋体" w:cs="宋体"/>
          <w:sz w:val="32"/>
          <w:szCs w:val="24"/>
          <w:highlight w:val="none"/>
          <w:lang w:eastAsia="zh-CN"/>
        </w:rPr>
      </w:pPr>
      <w:r>
        <w:rPr>
          <w:rFonts w:hint="eastAsia" w:ascii="Times New Roman" w:hAnsi="宋体" w:eastAsia="微软雅黑" w:cs="宋体"/>
          <w:kern w:val="2"/>
          <w:sz w:val="28"/>
          <w:szCs w:val="22"/>
          <w:highlight w:val="none"/>
          <w:lang w:val="en-US" w:eastAsia="zh-CN" w:bidi="ar-SA"/>
        </w:rPr>
        <w:t>6. Statement of No Major Legal Violations</w:t>
      </w:r>
    </w:p>
    <w:p w14:paraId="5327FB72">
      <w:pPr>
        <w:rPr>
          <w:rFonts w:ascii="宋体" w:hAnsi="宋体" w:cs="宋体"/>
          <w:highlight w:val="none"/>
        </w:rPr>
      </w:pPr>
    </w:p>
    <w:p w14:paraId="33488ED1">
      <w:pPr>
        <w:widowControl/>
        <w:snapToGrid w:val="0"/>
        <w:spacing w:line="480" w:lineRule="auto"/>
        <w:jc w:val="left"/>
        <w:rPr>
          <w:rFonts w:hint="eastAsia" w:ascii="宋体" w:hAnsi="宋体" w:eastAsia="宋体" w:cs="宋体"/>
          <w:kern w:val="0"/>
          <w:sz w:val="24"/>
          <w:szCs w:val="24"/>
          <w:highlight w:val="none"/>
          <w:lang w:eastAsia="zh-CN"/>
        </w:rPr>
      </w:pPr>
      <w:r>
        <w:rPr>
          <w:rFonts w:hint="eastAsia" w:ascii="Times New Roman" w:hAnsi="宋体" w:eastAsia="微软雅黑" w:cs="宋体"/>
          <w:kern w:val="0"/>
          <w:sz w:val="24"/>
          <w:szCs w:val="24"/>
          <w:highlight w:val="none"/>
          <w:lang w:val="en-US" w:eastAsia="zh-CN" w:bidi="ar-SA"/>
        </w:rPr>
        <w:t>(Purchaser Name) _________________________:</w:t>
      </w:r>
    </w:p>
    <w:p w14:paraId="0055ED03">
      <w:pPr>
        <w:widowControl/>
        <w:snapToGrid w:val="0"/>
        <w:spacing w:line="480" w:lineRule="auto"/>
        <w:ind w:firstLine="480" w:firstLineChars="200"/>
        <w:jc w:val="left"/>
        <w:rPr>
          <w:rFonts w:hint="eastAsia" w:ascii="宋体" w:hAnsi="宋体" w:eastAsia="宋体" w:cs="宋体"/>
          <w:kern w:val="0"/>
          <w:sz w:val="24"/>
          <w:szCs w:val="24"/>
          <w:highlight w:val="none"/>
          <w:lang w:eastAsia="zh-CN"/>
        </w:rPr>
      </w:pPr>
      <w:r>
        <w:rPr>
          <w:rFonts w:hint="eastAsia" w:ascii="Times New Roman" w:hAnsi="宋体" w:eastAsia="微软雅黑" w:cs="宋体"/>
          <w:kern w:val="0"/>
          <w:sz w:val="24"/>
          <w:szCs w:val="24"/>
          <w:highlight w:val="none"/>
          <w:lang w:val="en-US" w:eastAsia="zh-CN" w:bidi="ar-SA"/>
        </w:rPr>
        <w:t>Our organization has participated in the public bidding for ________________________ (project name) organized by Shaanxi Zhuoxi Project Management Co., Ltd. We hereby solemnly declare that, within three years prior to our participation in this bidding process, we have no record of major illegal activities and meet all qualification requirements stipulated by the Government Procurement Law of the People's Republic of China; we assume full legal responsibility for this declaration.</w:t>
      </w:r>
    </w:p>
    <w:p w14:paraId="2F63B18F">
      <w:pPr>
        <w:widowControl/>
        <w:snapToGrid w:val="0"/>
        <w:spacing w:line="480" w:lineRule="auto"/>
        <w:ind w:firstLine="480" w:firstLineChars="200"/>
        <w:jc w:val="left"/>
        <w:rPr>
          <w:rFonts w:hint="eastAsia" w:ascii="宋体" w:hAnsi="宋体" w:eastAsia="宋体" w:cs="宋体"/>
          <w:kern w:val="0"/>
          <w:sz w:val="24"/>
          <w:szCs w:val="24"/>
          <w:highlight w:val="none"/>
          <w:lang w:eastAsia="zh-CN"/>
        </w:rPr>
      </w:pPr>
      <w:r>
        <w:rPr>
          <w:rFonts w:hint="eastAsia" w:ascii="Times New Roman" w:hAnsi="宋体" w:eastAsia="微软雅黑" w:cs="宋体"/>
          <w:kern w:val="0"/>
          <w:sz w:val="24"/>
          <w:szCs w:val="24"/>
          <w:highlight w:val="none"/>
          <w:lang w:val="en-US" w:eastAsia="zh-CN" w:bidi="ar-SA"/>
        </w:rPr>
        <w:t>Hereby Declare 。</w:t>
      </w:r>
    </w:p>
    <w:p w14:paraId="61AA9BA5">
      <w:pPr>
        <w:pStyle w:val="14"/>
        <w:spacing w:line="500" w:lineRule="exact"/>
        <w:jc w:val="left"/>
        <w:rPr>
          <w:rFonts w:hAnsi="宋体" w:cs="宋体"/>
          <w:sz w:val="24"/>
          <w:szCs w:val="24"/>
          <w:highlight w:val="none"/>
        </w:rPr>
      </w:pPr>
    </w:p>
    <w:p w14:paraId="48C079A5">
      <w:pPr>
        <w:pStyle w:val="14"/>
        <w:spacing w:line="480" w:lineRule="auto"/>
        <w:jc w:val="left"/>
        <w:rPr>
          <w:rFonts w:hAnsi="宋体" w:cs="宋体"/>
          <w:sz w:val="24"/>
          <w:highlight w:val="none"/>
        </w:rPr>
      </w:pPr>
    </w:p>
    <w:p w14:paraId="779C2996">
      <w:pPr>
        <w:pStyle w:val="14"/>
        <w:spacing w:line="480" w:lineRule="auto"/>
        <w:jc w:val="left"/>
        <w:rPr>
          <w:rFonts w:hint="eastAsia" w:hAnsi="宋体" w:eastAsia="宋体" w:cs="宋体"/>
          <w:sz w:val="24"/>
          <w:highlight w:val="none"/>
          <w:lang w:eastAsia="zh-CN"/>
        </w:rPr>
      </w:pPr>
      <w:r>
        <w:rPr>
          <w:rFonts w:hint="eastAsia" w:ascii="Times New Roman" w:hAnsi="宋体" w:eastAsia="微软雅黑" w:cs="宋体"/>
          <w:kern w:val="2"/>
          <w:sz w:val="28"/>
          <w:szCs w:val="28"/>
          <w:highlight w:val="none"/>
          <w:lang w:val="en-US" w:eastAsia="zh-CN" w:bidi="ar-SA"/>
        </w:rPr>
        <w:t>Supplier (Company Name and Official Seal): ______________________</w:t>
      </w:r>
    </w:p>
    <w:p w14:paraId="7D8663A0">
      <w:pPr>
        <w:pStyle w:val="14"/>
        <w:spacing w:line="480" w:lineRule="auto"/>
        <w:jc w:val="left"/>
        <w:rPr>
          <w:rFonts w:hint="eastAsia" w:hAnsi="宋体" w:eastAsia="宋体" w:cs="宋体"/>
          <w:sz w:val="24"/>
          <w:highlight w:val="none"/>
          <w:lang w:eastAsia="zh-CN"/>
        </w:rPr>
      </w:pPr>
      <w:r>
        <w:rPr>
          <w:rFonts w:hint="eastAsia" w:ascii="Times New Roman" w:hAnsi="宋体" w:eastAsia="微软雅黑" w:cs="宋体"/>
          <w:kern w:val="2"/>
          <w:sz w:val="28"/>
          <w:szCs w:val="28"/>
          <w:highlight w:val="none"/>
          <w:lang w:val="en-US" w:eastAsia="zh-CN" w:bidi="ar-SA"/>
        </w:rPr>
        <w:t>Legal Representative or Authorized Person (Signature or Seal): ______________________</w:t>
      </w:r>
    </w:p>
    <w:p w14:paraId="033B6C19">
      <w:pPr>
        <w:adjustRightInd w:val="0"/>
        <w:snapToGrid w:val="0"/>
        <w:spacing w:line="480" w:lineRule="auto"/>
        <w:rPr>
          <w:rFonts w:hint="eastAsia" w:ascii="宋体" w:hAnsi="宋体" w:eastAsia="宋体" w:cs="宋体"/>
          <w:sz w:val="24"/>
          <w:szCs w:val="24"/>
          <w:highlight w:val="none"/>
          <w:lang w:eastAsia="zh-CN"/>
        </w:rPr>
      </w:pPr>
      <w:r>
        <w:rPr>
          <w:rFonts w:hint="eastAsia" w:ascii="Times New Roman" w:hAnsi="宋体" w:eastAsia="微软雅黑" w:cs="宋体"/>
          <w:kern w:val="2"/>
          <w:sz w:val="28"/>
          <w:szCs w:val="28"/>
          <w:highlight w:val="none"/>
          <w:lang w:val="en-US" w:eastAsia="zh-CN" w:bidi="ar-SA"/>
        </w:rPr>
        <w:t>Date: ______________________</w:t>
      </w:r>
    </w:p>
    <w:p w14:paraId="624987DA">
      <w:pPr>
        <w:jc w:val="center"/>
        <w:rPr>
          <w:rFonts w:ascii="宋体" w:hAnsi="宋体" w:cs="宋体"/>
          <w:sz w:val="28"/>
          <w:szCs w:val="32"/>
          <w:highlight w:val="none"/>
        </w:rPr>
      </w:pPr>
    </w:p>
    <w:p w14:paraId="6FB574A7">
      <w:pPr>
        <w:jc w:val="center"/>
        <w:rPr>
          <w:rFonts w:ascii="宋体" w:hAnsi="宋体" w:cs="宋体"/>
          <w:sz w:val="28"/>
          <w:szCs w:val="32"/>
          <w:highlight w:val="none"/>
        </w:rPr>
      </w:pPr>
    </w:p>
    <w:p w14:paraId="7F32F43E">
      <w:pPr>
        <w:jc w:val="center"/>
        <w:rPr>
          <w:rFonts w:ascii="宋体" w:hAnsi="宋体" w:cs="宋体"/>
          <w:sz w:val="28"/>
          <w:szCs w:val="32"/>
          <w:highlight w:val="none"/>
        </w:rPr>
      </w:pPr>
    </w:p>
    <w:p w14:paraId="6E447538">
      <w:pPr>
        <w:jc w:val="center"/>
        <w:rPr>
          <w:rFonts w:ascii="宋体" w:hAnsi="宋体" w:cs="宋体"/>
          <w:sz w:val="28"/>
          <w:szCs w:val="32"/>
          <w:highlight w:val="none"/>
        </w:rPr>
      </w:pPr>
    </w:p>
    <w:p w14:paraId="7B0A046C">
      <w:pPr>
        <w:jc w:val="center"/>
        <w:rPr>
          <w:rFonts w:ascii="宋体" w:hAnsi="宋体" w:cs="宋体"/>
          <w:sz w:val="28"/>
          <w:szCs w:val="32"/>
          <w:highlight w:val="none"/>
        </w:rPr>
      </w:pPr>
    </w:p>
    <w:p w14:paraId="0EAAF4D9">
      <w:pPr>
        <w:jc w:val="center"/>
        <w:rPr>
          <w:rFonts w:ascii="宋体" w:hAnsi="宋体" w:cs="宋体"/>
          <w:sz w:val="28"/>
          <w:szCs w:val="32"/>
          <w:highlight w:val="none"/>
        </w:rPr>
      </w:pPr>
    </w:p>
    <w:p w14:paraId="66EE5989">
      <w:pPr>
        <w:jc w:val="center"/>
        <w:rPr>
          <w:rFonts w:ascii="宋体" w:hAnsi="宋体" w:cs="宋体"/>
          <w:sz w:val="28"/>
          <w:szCs w:val="32"/>
          <w:highlight w:val="none"/>
        </w:rPr>
      </w:pPr>
    </w:p>
    <w:p w14:paraId="1845417A">
      <w:pPr>
        <w:jc w:val="center"/>
        <w:rPr>
          <w:rFonts w:ascii="宋体" w:hAnsi="宋体" w:cs="宋体"/>
          <w:sz w:val="28"/>
          <w:szCs w:val="32"/>
          <w:highlight w:val="none"/>
        </w:rPr>
      </w:pPr>
    </w:p>
    <w:p w14:paraId="1D954E79">
      <w:pPr>
        <w:jc w:val="center"/>
        <w:rPr>
          <w:rFonts w:ascii="宋体" w:hAnsi="宋体" w:cs="宋体"/>
          <w:sz w:val="28"/>
          <w:szCs w:val="32"/>
          <w:highlight w:val="none"/>
        </w:rPr>
      </w:pPr>
    </w:p>
    <w:p w14:paraId="7BE0D37D">
      <w:pPr>
        <w:rPr>
          <w:rFonts w:hint="eastAsia" w:ascii="宋体" w:hAnsi="宋体" w:cs="宋体"/>
          <w:sz w:val="28"/>
          <w:szCs w:val="32"/>
          <w:highlight w:val="none"/>
        </w:rPr>
      </w:pPr>
      <w:r>
        <w:rPr>
          <w:rFonts w:hint="eastAsia" w:ascii="宋体" w:hAnsi="宋体" w:cs="宋体"/>
          <w:sz w:val="28"/>
          <w:szCs w:val="32"/>
          <w:highlight w:val="none"/>
        </w:rPr>
        <w:br w:type="page"/>
      </w:r>
    </w:p>
    <w:p w14:paraId="4DACFEBE">
      <w:pPr>
        <w:spacing w:line="360" w:lineRule="auto"/>
        <w:ind w:firstLine="480" w:firstLineChars="200"/>
        <w:rPr>
          <w:rFonts w:hint="eastAsia" w:ascii="宋体" w:hAnsi="宋体" w:cs="宋体"/>
          <w:sz w:val="28"/>
          <w:szCs w:val="32"/>
          <w:highlight w:val="none"/>
        </w:rPr>
      </w:pPr>
      <w:r>
        <w:rPr>
          <w:rFonts w:hint="eastAsia" w:ascii="Times New Roman" w:hAnsi="宋体" w:eastAsia="微软雅黑" w:cs="宋体"/>
          <w:kern w:val="2"/>
          <w:sz w:val="24"/>
          <w:szCs w:val="24"/>
          <w:highlight w:val="none"/>
          <w:lang w:val="en-US" w:eastAsia="zh-CN" w:bidi="ar-SA"/>
        </w:rPr>
        <w:t>7. Not listed as a dishonest judgment debtor or a major tax violation subject on the "China Credit" website, nor included in the record list of serious illegal and dishonest behaviors in government procurement on the "China Government Procurement Network" website;</w:t>
      </w:r>
    </w:p>
    <w:p w14:paraId="634ED097">
      <w:pPr>
        <w:rPr>
          <w:rFonts w:hint="eastAsia" w:ascii="宋体" w:hAnsi="宋体" w:cs="宋体"/>
          <w:sz w:val="28"/>
          <w:szCs w:val="32"/>
          <w:highlight w:val="none"/>
        </w:rPr>
      </w:pPr>
      <w:r>
        <w:rPr>
          <w:rFonts w:hint="eastAsia" w:ascii="宋体" w:hAnsi="宋体" w:cs="宋体"/>
          <w:sz w:val="28"/>
          <w:szCs w:val="32"/>
          <w:highlight w:val="none"/>
        </w:rPr>
        <w:br w:type="page"/>
      </w:r>
    </w:p>
    <w:p w14:paraId="6476C694">
      <w:pPr>
        <w:jc w:val="center"/>
        <w:rPr>
          <w:rFonts w:hint="eastAsia" w:ascii="宋体" w:hAnsi="宋体" w:eastAsia="宋体" w:cs="宋体"/>
          <w:sz w:val="28"/>
          <w:szCs w:val="32"/>
          <w:highlight w:val="none"/>
          <w:lang w:eastAsia="zh-CN"/>
        </w:rPr>
      </w:pPr>
      <w:r>
        <w:rPr>
          <w:rFonts w:hint="eastAsia" w:ascii="Times New Roman" w:hAnsi="宋体" w:eastAsia="微软雅黑" w:cs="宋体"/>
          <w:kern w:val="2"/>
          <w:sz w:val="28"/>
          <w:szCs w:val="32"/>
          <w:highlight w:val="none"/>
          <w:lang w:val="en-US" w:eastAsia="zh-CN" w:bidi="ar-SA"/>
        </w:rPr>
        <w:t>8-1 Certificate of Legal Representative (Format)</w:t>
      </w:r>
    </w:p>
    <w:tbl>
      <w:tblPr>
        <w:tblStyle w:val="30"/>
        <w:tblW w:w="94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2160"/>
        <w:gridCol w:w="2156"/>
        <w:gridCol w:w="184"/>
        <w:gridCol w:w="2156"/>
        <w:gridCol w:w="2160"/>
      </w:tblGrid>
      <w:tr w14:paraId="4B9CF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410" w:type="dxa"/>
            <w:gridSpan w:val="6"/>
            <w:vAlign w:val="center"/>
          </w:tcPr>
          <w:p w14:paraId="7E00D191">
            <w:pPr>
              <w:tabs>
                <w:tab w:val="left" w:pos="210"/>
              </w:tabs>
              <w:spacing w:line="360" w:lineRule="auto"/>
              <w:jc w:val="left"/>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To: Shaanxi Zhuoxi Project Management Co., Ltd.</w:t>
            </w:r>
          </w:p>
        </w:tc>
      </w:tr>
      <w:tr w14:paraId="76C1E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restart"/>
            <w:vAlign w:val="center"/>
          </w:tcPr>
          <w:p w14:paraId="072B86BE">
            <w:pPr>
              <w:tabs>
                <w:tab w:val="left" w:pos="210"/>
              </w:tabs>
              <w:spacing w:line="360" w:lineRule="auto"/>
              <w:jc w:val="center"/>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Enterprise</w:t>
            </w:r>
          </w:p>
          <w:p w14:paraId="51548043">
            <w:pPr>
              <w:tabs>
                <w:tab w:val="left" w:pos="210"/>
              </w:tabs>
              <w:spacing w:line="360" w:lineRule="auto"/>
              <w:jc w:val="center"/>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line of business</w:t>
            </w:r>
          </w:p>
          <w:p w14:paraId="2A82FD36">
            <w:pPr>
              <w:tabs>
                <w:tab w:val="left" w:pos="210"/>
              </w:tabs>
              <w:spacing w:line="360" w:lineRule="auto"/>
              <w:jc w:val="center"/>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Law</w:t>
            </w:r>
          </w:p>
          <w:p w14:paraId="4B2AF73E">
            <w:pPr>
              <w:tabs>
                <w:tab w:val="left" w:pos="210"/>
              </w:tabs>
              <w:spacing w:line="360" w:lineRule="auto"/>
              <w:jc w:val="center"/>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human being</w:t>
            </w:r>
          </w:p>
        </w:tc>
        <w:tc>
          <w:tcPr>
            <w:tcW w:w="2160" w:type="dxa"/>
            <w:vAlign w:val="center"/>
          </w:tcPr>
          <w:p w14:paraId="774E1B62">
            <w:pPr>
              <w:tabs>
                <w:tab w:val="left" w:pos="210"/>
              </w:tabs>
              <w:spacing w:line="360" w:lineRule="auto"/>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the name of firm</w:t>
            </w:r>
          </w:p>
        </w:tc>
        <w:tc>
          <w:tcPr>
            <w:tcW w:w="6656" w:type="dxa"/>
            <w:gridSpan w:val="4"/>
            <w:vAlign w:val="center"/>
          </w:tcPr>
          <w:p w14:paraId="2CB6852B">
            <w:pPr>
              <w:tabs>
                <w:tab w:val="left" w:pos="210"/>
              </w:tabs>
              <w:spacing w:line="360" w:lineRule="auto"/>
              <w:jc w:val="left"/>
              <w:rPr>
                <w:rFonts w:ascii="宋体" w:hAnsi="宋体" w:cs="宋体"/>
                <w:kern w:val="0"/>
                <w:highlight w:val="none"/>
              </w:rPr>
            </w:pPr>
          </w:p>
        </w:tc>
      </w:tr>
      <w:tr w14:paraId="186B4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continue"/>
            <w:vAlign w:val="center"/>
          </w:tcPr>
          <w:p w14:paraId="4A78277D">
            <w:pPr>
              <w:tabs>
                <w:tab w:val="left" w:pos="210"/>
              </w:tabs>
              <w:spacing w:line="360" w:lineRule="auto"/>
              <w:ind w:firstLine="420" w:firstLineChars="200"/>
              <w:jc w:val="center"/>
              <w:rPr>
                <w:rFonts w:ascii="宋体" w:hAnsi="宋体" w:cs="宋体"/>
                <w:kern w:val="0"/>
                <w:highlight w:val="none"/>
              </w:rPr>
            </w:pPr>
          </w:p>
        </w:tc>
        <w:tc>
          <w:tcPr>
            <w:tcW w:w="2160" w:type="dxa"/>
            <w:vAlign w:val="center"/>
          </w:tcPr>
          <w:p w14:paraId="581DFD43">
            <w:pPr>
              <w:tabs>
                <w:tab w:val="left" w:pos="210"/>
              </w:tabs>
              <w:spacing w:line="360" w:lineRule="auto"/>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legal address</w:t>
            </w:r>
          </w:p>
        </w:tc>
        <w:tc>
          <w:tcPr>
            <w:tcW w:w="6656" w:type="dxa"/>
            <w:gridSpan w:val="4"/>
            <w:vAlign w:val="center"/>
          </w:tcPr>
          <w:p w14:paraId="783E8A6B">
            <w:pPr>
              <w:tabs>
                <w:tab w:val="left" w:pos="210"/>
              </w:tabs>
              <w:spacing w:line="360" w:lineRule="auto"/>
              <w:jc w:val="left"/>
              <w:rPr>
                <w:rFonts w:ascii="宋体" w:hAnsi="宋体" w:cs="宋体"/>
                <w:kern w:val="0"/>
                <w:highlight w:val="none"/>
              </w:rPr>
            </w:pPr>
          </w:p>
        </w:tc>
      </w:tr>
      <w:tr w14:paraId="067D6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continue"/>
            <w:vAlign w:val="center"/>
          </w:tcPr>
          <w:p w14:paraId="548A6185">
            <w:pPr>
              <w:tabs>
                <w:tab w:val="left" w:pos="210"/>
              </w:tabs>
              <w:spacing w:line="360" w:lineRule="auto"/>
              <w:ind w:firstLine="420" w:firstLineChars="200"/>
              <w:jc w:val="center"/>
              <w:rPr>
                <w:rFonts w:ascii="宋体" w:hAnsi="宋体" w:cs="宋体"/>
                <w:kern w:val="0"/>
                <w:highlight w:val="none"/>
              </w:rPr>
            </w:pPr>
          </w:p>
        </w:tc>
        <w:tc>
          <w:tcPr>
            <w:tcW w:w="2160" w:type="dxa"/>
            <w:vAlign w:val="center"/>
          </w:tcPr>
          <w:p w14:paraId="6FEA7873">
            <w:pPr>
              <w:tabs>
                <w:tab w:val="left" w:pos="210"/>
              </w:tabs>
              <w:spacing w:line="360" w:lineRule="auto"/>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zip code</w:t>
            </w:r>
          </w:p>
        </w:tc>
        <w:tc>
          <w:tcPr>
            <w:tcW w:w="6656" w:type="dxa"/>
            <w:gridSpan w:val="4"/>
            <w:vAlign w:val="center"/>
          </w:tcPr>
          <w:p w14:paraId="33D2E81F">
            <w:pPr>
              <w:tabs>
                <w:tab w:val="left" w:pos="210"/>
              </w:tabs>
              <w:spacing w:line="360" w:lineRule="auto"/>
              <w:jc w:val="left"/>
              <w:rPr>
                <w:rFonts w:ascii="宋体" w:hAnsi="宋体" w:cs="宋体"/>
                <w:kern w:val="0"/>
                <w:highlight w:val="none"/>
              </w:rPr>
            </w:pPr>
          </w:p>
        </w:tc>
      </w:tr>
      <w:tr w14:paraId="12880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94" w:type="dxa"/>
            <w:vMerge w:val="continue"/>
            <w:vAlign w:val="center"/>
          </w:tcPr>
          <w:p w14:paraId="4BD77816">
            <w:pPr>
              <w:tabs>
                <w:tab w:val="left" w:pos="210"/>
              </w:tabs>
              <w:spacing w:line="360" w:lineRule="auto"/>
              <w:ind w:firstLine="420" w:firstLineChars="200"/>
              <w:jc w:val="center"/>
              <w:rPr>
                <w:rFonts w:ascii="宋体" w:hAnsi="宋体" w:cs="宋体"/>
                <w:kern w:val="0"/>
                <w:highlight w:val="none"/>
              </w:rPr>
            </w:pPr>
          </w:p>
        </w:tc>
        <w:tc>
          <w:tcPr>
            <w:tcW w:w="2160" w:type="dxa"/>
            <w:vAlign w:val="center"/>
          </w:tcPr>
          <w:p w14:paraId="4F0BD61E">
            <w:pPr>
              <w:tabs>
                <w:tab w:val="left" w:pos="210"/>
              </w:tabs>
              <w:spacing w:line="360" w:lineRule="auto"/>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Business Registration Authority</w:t>
            </w:r>
          </w:p>
        </w:tc>
        <w:tc>
          <w:tcPr>
            <w:tcW w:w="6656" w:type="dxa"/>
            <w:gridSpan w:val="4"/>
            <w:vAlign w:val="center"/>
          </w:tcPr>
          <w:p w14:paraId="30378B85">
            <w:pPr>
              <w:tabs>
                <w:tab w:val="left" w:pos="210"/>
              </w:tabs>
              <w:spacing w:line="360" w:lineRule="auto"/>
              <w:jc w:val="left"/>
              <w:rPr>
                <w:rFonts w:ascii="宋体" w:hAnsi="宋体" w:cs="宋体"/>
                <w:kern w:val="0"/>
                <w:highlight w:val="none"/>
              </w:rPr>
            </w:pPr>
          </w:p>
        </w:tc>
      </w:tr>
      <w:tr w14:paraId="35258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94" w:type="dxa"/>
            <w:vMerge w:val="continue"/>
            <w:vAlign w:val="center"/>
          </w:tcPr>
          <w:p w14:paraId="3C58E6D7">
            <w:pPr>
              <w:tabs>
                <w:tab w:val="left" w:pos="210"/>
              </w:tabs>
              <w:spacing w:line="360" w:lineRule="auto"/>
              <w:ind w:firstLine="420" w:firstLineChars="200"/>
              <w:jc w:val="center"/>
              <w:rPr>
                <w:rFonts w:ascii="宋体" w:hAnsi="宋体" w:cs="宋体"/>
                <w:kern w:val="0"/>
                <w:highlight w:val="none"/>
              </w:rPr>
            </w:pPr>
          </w:p>
        </w:tc>
        <w:tc>
          <w:tcPr>
            <w:tcW w:w="2160" w:type="dxa"/>
            <w:vAlign w:val="center"/>
          </w:tcPr>
          <w:p w14:paraId="1C7F9390">
            <w:pPr>
              <w:tabs>
                <w:tab w:val="left" w:pos="210"/>
              </w:tabs>
              <w:spacing w:line="360" w:lineRule="auto"/>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Unified Social Credit Code</w:t>
            </w:r>
          </w:p>
        </w:tc>
        <w:tc>
          <w:tcPr>
            <w:tcW w:w="6656" w:type="dxa"/>
            <w:gridSpan w:val="4"/>
            <w:vAlign w:val="center"/>
          </w:tcPr>
          <w:p w14:paraId="0608A220">
            <w:pPr>
              <w:tabs>
                <w:tab w:val="left" w:pos="210"/>
              </w:tabs>
              <w:spacing w:line="360" w:lineRule="auto"/>
              <w:jc w:val="left"/>
              <w:rPr>
                <w:rFonts w:ascii="宋体" w:hAnsi="宋体" w:cs="宋体"/>
                <w:kern w:val="0"/>
                <w:highlight w:val="none"/>
              </w:rPr>
            </w:pPr>
          </w:p>
        </w:tc>
      </w:tr>
      <w:tr w14:paraId="38E40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restart"/>
            <w:vAlign w:val="center"/>
          </w:tcPr>
          <w:p w14:paraId="62BD149E">
            <w:pPr>
              <w:tabs>
                <w:tab w:val="left" w:pos="210"/>
              </w:tabs>
              <w:spacing w:line="360" w:lineRule="auto"/>
              <w:jc w:val="center"/>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Law</w:t>
            </w:r>
          </w:p>
          <w:p w14:paraId="7D4E0D48">
            <w:pPr>
              <w:tabs>
                <w:tab w:val="left" w:pos="210"/>
              </w:tabs>
              <w:spacing w:line="360" w:lineRule="auto"/>
              <w:jc w:val="center"/>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fix</w:t>
            </w:r>
          </w:p>
          <w:p w14:paraId="0C316D78">
            <w:pPr>
              <w:tabs>
                <w:tab w:val="left" w:pos="210"/>
              </w:tabs>
              <w:spacing w:line="360" w:lineRule="auto"/>
              <w:jc w:val="center"/>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take the place of</w:t>
            </w:r>
          </w:p>
          <w:p w14:paraId="4BDFC6E8">
            <w:pPr>
              <w:tabs>
                <w:tab w:val="left" w:pos="210"/>
              </w:tabs>
              <w:spacing w:line="360" w:lineRule="auto"/>
              <w:jc w:val="center"/>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Table</w:t>
            </w:r>
          </w:p>
          <w:p w14:paraId="77006F46">
            <w:pPr>
              <w:tabs>
                <w:tab w:val="left" w:pos="210"/>
              </w:tabs>
              <w:spacing w:line="360" w:lineRule="auto"/>
              <w:jc w:val="center"/>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human being</w:t>
            </w:r>
          </w:p>
        </w:tc>
        <w:tc>
          <w:tcPr>
            <w:tcW w:w="2160" w:type="dxa"/>
            <w:vAlign w:val="center"/>
          </w:tcPr>
          <w:p w14:paraId="540FCD93">
            <w:pPr>
              <w:tabs>
                <w:tab w:val="left" w:pos="210"/>
              </w:tabs>
              <w:spacing w:line="360" w:lineRule="auto"/>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surname and personal name</w:t>
            </w:r>
          </w:p>
        </w:tc>
        <w:tc>
          <w:tcPr>
            <w:tcW w:w="2340" w:type="dxa"/>
            <w:gridSpan w:val="2"/>
            <w:vAlign w:val="center"/>
          </w:tcPr>
          <w:p w14:paraId="0F975FD6">
            <w:pPr>
              <w:tabs>
                <w:tab w:val="left" w:pos="210"/>
              </w:tabs>
              <w:spacing w:line="360" w:lineRule="auto"/>
              <w:ind w:firstLine="420" w:firstLineChars="200"/>
              <w:jc w:val="left"/>
              <w:rPr>
                <w:rFonts w:ascii="宋体" w:hAnsi="宋体" w:cs="宋体"/>
                <w:kern w:val="0"/>
                <w:highlight w:val="none"/>
              </w:rPr>
            </w:pPr>
          </w:p>
        </w:tc>
        <w:tc>
          <w:tcPr>
            <w:tcW w:w="2156" w:type="dxa"/>
            <w:vAlign w:val="center"/>
          </w:tcPr>
          <w:p w14:paraId="6D319AC6">
            <w:pPr>
              <w:tabs>
                <w:tab w:val="left" w:pos="210"/>
              </w:tabs>
              <w:spacing w:line="360" w:lineRule="auto"/>
              <w:ind w:firstLine="420" w:firstLineChars="200"/>
              <w:jc w:val="left"/>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sex</w:t>
            </w:r>
          </w:p>
        </w:tc>
        <w:tc>
          <w:tcPr>
            <w:tcW w:w="2160" w:type="dxa"/>
            <w:vAlign w:val="center"/>
          </w:tcPr>
          <w:p w14:paraId="2DAB2479">
            <w:pPr>
              <w:tabs>
                <w:tab w:val="left" w:pos="210"/>
              </w:tabs>
              <w:spacing w:line="360" w:lineRule="auto"/>
              <w:ind w:firstLine="420" w:firstLineChars="200"/>
              <w:jc w:val="left"/>
              <w:rPr>
                <w:rFonts w:ascii="宋体" w:hAnsi="宋体" w:cs="宋体"/>
                <w:kern w:val="0"/>
                <w:highlight w:val="none"/>
              </w:rPr>
            </w:pPr>
          </w:p>
        </w:tc>
      </w:tr>
      <w:tr w14:paraId="20FFB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continue"/>
            <w:vAlign w:val="center"/>
          </w:tcPr>
          <w:p w14:paraId="7F7ACAFC">
            <w:pPr>
              <w:tabs>
                <w:tab w:val="left" w:pos="210"/>
              </w:tabs>
              <w:spacing w:line="360" w:lineRule="auto"/>
              <w:ind w:firstLine="420" w:firstLineChars="200"/>
              <w:jc w:val="center"/>
              <w:rPr>
                <w:rFonts w:ascii="宋体" w:hAnsi="宋体" w:cs="宋体"/>
                <w:kern w:val="0"/>
                <w:highlight w:val="none"/>
              </w:rPr>
            </w:pPr>
          </w:p>
        </w:tc>
        <w:tc>
          <w:tcPr>
            <w:tcW w:w="2160" w:type="dxa"/>
            <w:vAlign w:val="center"/>
          </w:tcPr>
          <w:p w14:paraId="20789745">
            <w:pPr>
              <w:tabs>
                <w:tab w:val="left" w:pos="210"/>
              </w:tabs>
              <w:spacing w:line="360" w:lineRule="auto"/>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Position</w:t>
            </w:r>
          </w:p>
        </w:tc>
        <w:tc>
          <w:tcPr>
            <w:tcW w:w="2340" w:type="dxa"/>
            <w:gridSpan w:val="2"/>
            <w:vAlign w:val="center"/>
          </w:tcPr>
          <w:p w14:paraId="49392FFF">
            <w:pPr>
              <w:tabs>
                <w:tab w:val="left" w:pos="210"/>
              </w:tabs>
              <w:spacing w:line="360" w:lineRule="auto"/>
              <w:jc w:val="left"/>
              <w:rPr>
                <w:rFonts w:ascii="宋体" w:hAnsi="宋体" w:cs="宋体"/>
                <w:kern w:val="0"/>
                <w:highlight w:val="none"/>
              </w:rPr>
            </w:pPr>
          </w:p>
        </w:tc>
        <w:tc>
          <w:tcPr>
            <w:tcW w:w="2156" w:type="dxa"/>
            <w:vAlign w:val="center"/>
          </w:tcPr>
          <w:p w14:paraId="5979B380">
            <w:pPr>
              <w:tabs>
                <w:tab w:val="left" w:pos="210"/>
              </w:tabs>
              <w:spacing w:line="360" w:lineRule="auto"/>
              <w:ind w:firstLine="420" w:firstLineChars="200"/>
              <w:jc w:val="left"/>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contact number</w:t>
            </w:r>
          </w:p>
        </w:tc>
        <w:tc>
          <w:tcPr>
            <w:tcW w:w="2160" w:type="dxa"/>
            <w:vAlign w:val="center"/>
          </w:tcPr>
          <w:p w14:paraId="5C0B5038">
            <w:pPr>
              <w:tabs>
                <w:tab w:val="left" w:pos="210"/>
              </w:tabs>
              <w:spacing w:line="360" w:lineRule="auto"/>
              <w:ind w:firstLine="420" w:firstLineChars="200"/>
              <w:jc w:val="left"/>
              <w:rPr>
                <w:rFonts w:ascii="宋体" w:hAnsi="宋体" w:cs="宋体"/>
                <w:kern w:val="0"/>
                <w:highlight w:val="none"/>
              </w:rPr>
            </w:pPr>
          </w:p>
        </w:tc>
      </w:tr>
      <w:tr w14:paraId="39E12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9" w:hRule="atLeast"/>
          <w:jc w:val="center"/>
        </w:trPr>
        <w:tc>
          <w:tcPr>
            <w:tcW w:w="594" w:type="dxa"/>
            <w:vMerge w:val="continue"/>
            <w:vAlign w:val="center"/>
          </w:tcPr>
          <w:p w14:paraId="4B5CE063">
            <w:pPr>
              <w:tabs>
                <w:tab w:val="left" w:pos="210"/>
              </w:tabs>
              <w:spacing w:line="360" w:lineRule="auto"/>
              <w:ind w:firstLine="420" w:firstLineChars="200"/>
              <w:jc w:val="center"/>
              <w:rPr>
                <w:rFonts w:ascii="宋体" w:hAnsi="宋体" w:cs="宋体"/>
                <w:kern w:val="0"/>
                <w:highlight w:val="none"/>
              </w:rPr>
            </w:pPr>
          </w:p>
        </w:tc>
        <w:tc>
          <w:tcPr>
            <w:tcW w:w="2160" w:type="dxa"/>
            <w:vAlign w:val="center"/>
          </w:tcPr>
          <w:p w14:paraId="29BA2825">
            <w:pPr>
              <w:tabs>
                <w:tab w:val="left" w:pos="210"/>
              </w:tabs>
              <w:spacing w:line="360" w:lineRule="auto"/>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Fax</w:t>
            </w:r>
          </w:p>
        </w:tc>
        <w:tc>
          <w:tcPr>
            <w:tcW w:w="6656" w:type="dxa"/>
            <w:gridSpan w:val="4"/>
            <w:vAlign w:val="center"/>
          </w:tcPr>
          <w:p w14:paraId="6EE4ADCF">
            <w:pPr>
              <w:tabs>
                <w:tab w:val="left" w:pos="210"/>
              </w:tabs>
              <w:spacing w:line="360" w:lineRule="auto"/>
              <w:jc w:val="left"/>
              <w:rPr>
                <w:rFonts w:ascii="宋体" w:hAnsi="宋体" w:cs="宋体"/>
                <w:kern w:val="0"/>
                <w:highlight w:val="none"/>
              </w:rPr>
            </w:pPr>
          </w:p>
        </w:tc>
      </w:tr>
      <w:tr w14:paraId="02E6B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7" w:hRule="atLeast"/>
          <w:jc w:val="center"/>
        </w:trPr>
        <w:tc>
          <w:tcPr>
            <w:tcW w:w="594" w:type="dxa"/>
            <w:vMerge w:val="restart"/>
            <w:vAlign w:val="center"/>
          </w:tcPr>
          <w:p w14:paraId="0D129760">
            <w:pPr>
              <w:tabs>
                <w:tab w:val="left" w:pos="210"/>
              </w:tabs>
              <w:spacing w:line="360" w:lineRule="auto"/>
              <w:jc w:val="center"/>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Law</w:t>
            </w:r>
          </w:p>
          <w:p w14:paraId="75A22804">
            <w:pPr>
              <w:tabs>
                <w:tab w:val="left" w:pos="210"/>
              </w:tabs>
              <w:spacing w:line="360" w:lineRule="auto"/>
              <w:jc w:val="center"/>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fix</w:t>
            </w:r>
          </w:p>
          <w:p w14:paraId="7400610B">
            <w:pPr>
              <w:tabs>
                <w:tab w:val="left" w:pos="210"/>
              </w:tabs>
              <w:spacing w:line="360" w:lineRule="auto"/>
              <w:jc w:val="center"/>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take the place of</w:t>
            </w:r>
          </w:p>
          <w:p w14:paraId="528B85D4">
            <w:pPr>
              <w:tabs>
                <w:tab w:val="left" w:pos="210"/>
              </w:tabs>
              <w:spacing w:line="360" w:lineRule="auto"/>
              <w:jc w:val="center"/>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Table</w:t>
            </w:r>
          </w:p>
          <w:p w14:paraId="2BEDD480">
            <w:pPr>
              <w:tabs>
                <w:tab w:val="left" w:pos="210"/>
              </w:tabs>
              <w:spacing w:line="360" w:lineRule="auto"/>
              <w:jc w:val="center"/>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human being</w:t>
            </w:r>
          </w:p>
          <w:p w14:paraId="2E46046A">
            <w:pPr>
              <w:tabs>
                <w:tab w:val="left" w:pos="210"/>
              </w:tabs>
              <w:spacing w:line="360" w:lineRule="auto"/>
              <w:jc w:val="center"/>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body</w:t>
            </w:r>
          </w:p>
          <w:p w14:paraId="36CBD4D7">
            <w:pPr>
              <w:tabs>
                <w:tab w:val="left" w:pos="210"/>
              </w:tabs>
              <w:spacing w:line="360" w:lineRule="auto"/>
              <w:jc w:val="center"/>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portion</w:t>
            </w:r>
          </w:p>
          <w:p w14:paraId="7EF7F8A1">
            <w:pPr>
              <w:tabs>
                <w:tab w:val="left" w:pos="210"/>
              </w:tabs>
              <w:spacing w:line="360" w:lineRule="auto"/>
              <w:jc w:val="center"/>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Evidence</w:t>
            </w:r>
          </w:p>
          <w:p w14:paraId="00457296">
            <w:pPr>
              <w:tabs>
                <w:tab w:val="left" w:pos="210"/>
              </w:tabs>
              <w:spacing w:line="360" w:lineRule="auto"/>
              <w:jc w:val="center"/>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repeated</w:t>
            </w:r>
          </w:p>
          <w:p w14:paraId="7C88ECED">
            <w:pPr>
              <w:tabs>
                <w:tab w:val="left" w:pos="210"/>
              </w:tabs>
              <w:spacing w:line="360" w:lineRule="auto"/>
              <w:jc w:val="center"/>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Yin</w:t>
            </w:r>
          </w:p>
          <w:p w14:paraId="1B70F07E">
            <w:pPr>
              <w:tabs>
                <w:tab w:val="left" w:pos="210"/>
              </w:tabs>
              <w:spacing w:line="360" w:lineRule="auto"/>
              <w:jc w:val="center"/>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Item</w:t>
            </w:r>
          </w:p>
        </w:tc>
        <w:tc>
          <w:tcPr>
            <w:tcW w:w="4316" w:type="dxa"/>
            <w:gridSpan w:val="2"/>
            <w:vMerge w:val="restart"/>
            <w:vAlign w:val="center"/>
          </w:tcPr>
          <w:p w14:paraId="1C2C9BC6">
            <w:pPr>
              <w:tabs>
                <w:tab w:val="left" w:pos="210"/>
              </w:tabs>
              <w:spacing w:line="360" w:lineRule="auto"/>
              <w:ind w:firstLine="420" w:firstLineChars="200"/>
              <w:jc w:val="left"/>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 positive and negative ）</w:t>
            </w:r>
          </w:p>
        </w:tc>
        <w:tc>
          <w:tcPr>
            <w:tcW w:w="4500" w:type="dxa"/>
            <w:gridSpan w:val="3"/>
            <w:vAlign w:val="center"/>
          </w:tcPr>
          <w:p w14:paraId="0B476C6C">
            <w:pPr>
              <w:tabs>
                <w:tab w:val="left" w:pos="210"/>
              </w:tabs>
              <w:spacing w:line="360" w:lineRule="auto"/>
              <w:ind w:firstLine="420" w:firstLineChars="200"/>
              <w:jc w:val="left"/>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Legal Representative (Signature or Seal)</w:t>
            </w:r>
          </w:p>
        </w:tc>
      </w:tr>
      <w:tr w14:paraId="0F668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594" w:type="dxa"/>
            <w:vMerge w:val="continue"/>
            <w:vAlign w:val="center"/>
          </w:tcPr>
          <w:p w14:paraId="3E827C17">
            <w:pPr>
              <w:tabs>
                <w:tab w:val="left" w:pos="210"/>
              </w:tabs>
              <w:spacing w:line="360" w:lineRule="auto"/>
              <w:ind w:firstLine="420" w:firstLineChars="200"/>
              <w:jc w:val="left"/>
              <w:rPr>
                <w:rFonts w:ascii="宋体" w:hAnsi="宋体" w:cs="宋体"/>
                <w:kern w:val="0"/>
                <w:highlight w:val="none"/>
              </w:rPr>
            </w:pPr>
          </w:p>
        </w:tc>
        <w:tc>
          <w:tcPr>
            <w:tcW w:w="4316" w:type="dxa"/>
            <w:gridSpan w:val="2"/>
            <w:vMerge w:val="continue"/>
            <w:vAlign w:val="center"/>
          </w:tcPr>
          <w:p w14:paraId="49A0D01C">
            <w:pPr>
              <w:tabs>
                <w:tab w:val="left" w:pos="210"/>
              </w:tabs>
              <w:spacing w:line="360" w:lineRule="auto"/>
              <w:ind w:firstLine="420" w:firstLineChars="200"/>
              <w:jc w:val="left"/>
              <w:rPr>
                <w:rFonts w:ascii="宋体" w:hAnsi="宋体" w:cs="宋体"/>
                <w:kern w:val="0"/>
                <w:highlight w:val="none"/>
              </w:rPr>
            </w:pPr>
          </w:p>
        </w:tc>
        <w:tc>
          <w:tcPr>
            <w:tcW w:w="4500" w:type="dxa"/>
            <w:gridSpan w:val="3"/>
            <w:vAlign w:val="bottom"/>
          </w:tcPr>
          <w:p w14:paraId="42339DE3">
            <w:pPr>
              <w:tabs>
                <w:tab w:val="left" w:pos="210"/>
              </w:tabs>
              <w:spacing w:line="360" w:lineRule="auto"/>
              <w:ind w:firstLine="420" w:firstLineChars="200"/>
              <w:jc w:val="left"/>
              <w:rPr>
                <w:rFonts w:hint="eastAsia" w:ascii="宋体" w:hAnsi="宋体" w:eastAsia="宋体" w:cs="宋体"/>
                <w:kern w:val="0"/>
                <w:highlight w:val="none"/>
                <w:lang w:eastAsia="zh-CN"/>
              </w:rPr>
            </w:pPr>
            <w:r>
              <w:rPr>
                <w:rFonts w:hint="eastAsia" w:ascii="Times New Roman" w:hAnsi="宋体" w:eastAsia="微软雅黑" w:cs="宋体"/>
                <w:kern w:val="0"/>
                <w:sz w:val="21"/>
                <w:szCs w:val="22"/>
                <w:highlight w:val="none"/>
                <w:lang w:val="en-US" w:eastAsia="zh-CN" w:bidi="ar-SA"/>
              </w:rPr>
              <w:t>（ official seal ）</w:t>
            </w:r>
          </w:p>
          <w:p w14:paraId="28AC2292">
            <w:pPr>
              <w:tabs>
                <w:tab w:val="left" w:pos="210"/>
              </w:tabs>
              <w:spacing w:line="360" w:lineRule="auto"/>
              <w:jc w:val="left"/>
              <w:rPr>
                <w:rFonts w:ascii="宋体" w:hAnsi="宋体" w:cs="宋体"/>
                <w:kern w:val="0"/>
                <w:highlight w:val="none"/>
              </w:rPr>
            </w:pPr>
          </w:p>
          <w:p w14:paraId="0B861E29">
            <w:pPr>
              <w:tabs>
                <w:tab w:val="left" w:pos="210"/>
              </w:tabs>
              <w:spacing w:line="360" w:lineRule="auto"/>
              <w:jc w:val="left"/>
              <w:rPr>
                <w:rFonts w:ascii="宋体" w:hAnsi="宋体" w:cs="宋体"/>
                <w:kern w:val="0"/>
                <w:highlight w:val="none"/>
              </w:rPr>
            </w:pPr>
          </w:p>
          <w:p w14:paraId="4B74D322">
            <w:pPr>
              <w:tabs>
                <w:tab w:val="left" w:pos="210"/>
              </w:tabs>
              <w:spacing w:line="360" w:lineRule="auto"/>
              <w:jc w:val="left"/>
              <w:rPr>
                <w:rFonts w:ascii="宋体" w:hAnsi="宋体" w:cs="宋体"/>
                <w:kern w:val="0"/>
                <w:highlight w:val="none"/>
              </w:rPr>
            </w:pPr>
          </w:p>
          <w:p w14:paraId="74048B2F">
            <w:pPr>
              <w:adjustRightInd w:val="0"/>
              <w:snapToGrid w:val="0"/>
              <w:spacing w:line="480" w:lineRule="auto"/>
              <w:ind w:firstLine="480" w:firstLineChars="200"/>
              <w:jc w:val="right"/>
              <w:rPr>
                <w:rFonts w:hint="eastAsia" w:ascii="宋体" w:hAnsi="宋体" w:eastAsia="宋体" w:cs="宋体"/>
                <w:kern w:val="0"/>
                <w:highlight w:val="none"/>
                <w:lang w:eastAsia="zh-CN"/>
              </w:rPr>
            </w:pPr>
            <w:r>
              <w:rPr>
                <w:rFonts w:hint="eastAsia" w:ascii="Times New Roman" w:hAnsi="宋体" w:eastAsia="微软雅黑" w:cs="宋体"/>
                <w:kern w:val="2"/>
                <w:sz w:val="24"/>
                <w:szCs w:val="22"/>
                <w:highlight w:val="none"/>
                <w:lang w:val="en-US" w:eastAsia="zh-CN" w:bidi="ar-SA"/>
              </w:rPr>
              <w:t>_________ year, ______ month, _____ day</w:t>
            </w:r>
          </w:p>
        </w:tc>
      </w:tr>
    </w:tbl>
    <w:p w14:paraId="4BBCD13A">
      <w:pPr>
        <w:pStyle w:val="14"/>
        <w:spacing w:line="500" w:lineRule="exact"/>
        <w:jc w:val="center"/>
        <w:rPr>
          <w:rFonts w:hint="eastAsia" w:hAnsi="宋体" w:eastAsia="宋体" w:cs="宋体"/>
          <w:sz w:val="24"/>
          <w:szCs w:val="24"/>
          <w:highlight w:val="none"/>
          <w:lang w:eastAsia="zh-CN"/>
        </w:rPr>
      </w:pPr>
      <w:r>
        <w:rPr>
          <w:rFonts w:hint="eastAsia" w:ascii="Times New Roman" w:hAnsi="宋体" w:eastAsia="微软雅黑" w:cs="宋体"/>
          <w:b/>
          <w:kern w:val="2"/>
          <w:sz w:val="24"/>
          <w:szCs w:val="24"/>
          <w:highlight w:val="none"/>
          <w:lang w:val="en-US" w:eastAsia="zh-CN" w:bidi="ar-SA"/>
        </w:rPr>
        <w:br w:type="page"/>
      </w:r>
      <w:r>
        <w:rPr>
          <w:rFonts w:hint="eastAsia" w:ascii="Times New Roman" w:hAnsi="宋体" w:eastAsia="微软雅黑" w:cs="宋体"/>
          <w:b/>
          <w:kern w:val="2"/>
          <w:sz w:val="24"/>
          <w:szCs w:val="24"/>
          <w:highlight w:val="none"/>
          <w:lang w:val="en-US" w:eastAsia="zh-CN" w:bidi="ar-SA"/>
        </w:rPr>
        <w:t>8-2 Letter of Authorization from the Legal Representative (Format)</w:t>
      </w:r>
    </w:p>
    <w:p w14:paraId="7721EB56">
      <w:pPr>
        <w:pStyle w:val="14"/>
        <w:spacing w:line="500" w:lineRule="exact"/>
        <w:jc w:val="left"/>
        <w:rPr>
          <w:rFonts w:hint="eastAsia"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Shaanxi Zhuoqi Project Management Co., Ltd.:</w:t>
      </w:r>
    </w:p>
    <w:p w14:paraId="25B845FB">
      <w:pPr>
        <w:tabs>
          <w:tab w:val="left" w:pos="8820"/>
        </w:tabs>
        <w:spacing w:line="360" w:lineRule="auto"/>
        <w:ind w:firstLine="570"/>
        <w:rPr>
          <w:rFonts w:hint="eastAsia" w:ascii="宋体" w:hAnsi="宋体" w:eastAsia="宋体" w:cs="宋体"/>
          <w:sz w:val="24"/>
          <w:highlight w:val="none"/>
          <w:u w:val="single"/>
          <w:lang w:eastAsia="zh-CN"/>
        </w:rPr>
      </w:pPr>
      <w:r>
        <w:rPr>
          <w:rFonts w:hint="eastAsia" w:ascii="Times New Roman" w:hAnsi="宋体" w:eastAsia="微软雅黑" w:cs="宋体"/>
          <w:kern w:val="2"/>
          <w:sz w:val="24"/>
          <w:szCs w:val="22"/>
          <w:highlight w:val="none"/>
          <w:lang w:val="en-US" w:eastAsia="zh-CN" w:bidi="ar-SA"/>
        </w:rPr>
        <w:t>This Power of Attorney hereby states: I (Name of Legal Representative), as the legal representative of (Supplier Name) registered at (Supplier Address), hereby authorize (Name and Position of the Authorized Person) to act as our lawful agent in representing the company during the procurement activities for (Project Name) (Project Number). The authorized person shall have full authority to handle all matters related to this project, including bidding, contract signing, and contract execution, on our behalf.</w:t>
      </w:r>
    </w:p>
    <w:p w14:paraId="0D3F466B">
      <w:pPr>
        <w:spacing w:line="360" w:lineRule="auto"/>
        <w:ind w:firstLine="480" w:firstLineChars="200"/>
        <w:rPr>
          <w:rFonts w:hint="eastAsia" w:ascii="宋体" w:hAnsi="宋体" w:eastAsia="宋体" w:cs="宋体"/>
          <w:b/>
          <w:bCs/>
          <w:sz w:val="24"/>
          <w:szCs w:val="24"/>
          <w:highlight w:val="none"/>
          <w:lang w:eastAsia="zh-CN"/>
        </w:rPr>
      </w:pPr>
      <w:r>
        <w:rPr>
          <w:rFonts w:hint="eastAsia" w:ascii="Times New Roman" w:hAnsi="宋体" w:eastAsia="微软雅黑" w:cs="宋体"/>
          <w:b/>
          <w:bCs/>
          <w:kern w:val="2"/>
          <w:sz w:val="24"/>
          <w:szCs w:val="22"/>
          <w:highlight w:val="none"/>
          <w:lang w:val="en-US" w:eastAsia="zh-CN" w:bidi="ar-SA"/>
        </w:rPr>
        <w:t>This letter of authorization takes effect upon the deadline for submission of tender documents and remains valid for the same period as the validity period of the tender documents. This is hereby declared.</w:t>
      </w:r>
    </w:p>
    <w:p w14:paraId="15ED95EB">
      <w:pPr>
        <w:pStyle w:val="14"/>
        <w:spacing w:line="500" w:lineRule="exact"/>
        <w:ind w:firstLine="560" w:firstLineChars="200"/>
        <w:jc w:val="left"/>
        <w:rPr>
          <w:rFonts w:hint="eastAsia" w:hAnsi="宋体" w:eastAsia="宋体" w:cs="宋体"/>
          <w:sz w:val="24"/>
          <w:szCs w:val="24"/>
          <w:highlight w:val="none"/>
          <w:lang w:eastAsia="zh-CN"/>
        </w:rPr>
      </w:pPr>
      <w:r>
        <w:rPr>
          <w:rFonts w:hint="eastAsia" w:ascii="Times New Roman" w:hAnsi="宋体" w:eastAsia="微软雅黑" w:cs="宋体"/>
          <w:kern w:val="2"/>
          <w:sz w:val="28"/>
          <w:szCs w:val="28"/>
          <w:highlight w:val="none"/>
          <w:lang w:val="en-US" w:eastAsia="zh-CN" w:bidi="ar-SA"/>
        </w:rPr>
        <w:t>Supplier (Company Name and Official Seal): __________________</w:t>
      </w:r>
    </w:p>
    <w:p w14:paraId="4AFC02A7">
      <w:pPr>
        <w:pStyle w:val="14"/>
        <w:spacing w:line="500" w:lineRule="exact"/>
        <w:ind w:firstLine="560" w:firstLineChars="200"/>
        <w:jc w:val="left"/>
        <w:rPr>
          <w:rFonts w:hint="eastAsia" w:hAnsi="宋体" w:eastAsia="宋体" w:cs="宋体"/>
          <w:sz w:val="24"/>
          <w:szCs w:val="24"/>
          <w:highlight w:val="none"/>
          <w:lang w:eastAsia="zh-CN"/>
        </w:rPr>
      </w:pPr>
      <w:r>
        <w:rPr>
          <w:rFonts w:hint="eastAsia" w:ascii="Times New Roman" w:hAnsi="宋体" w:eastAsia="微软雅黑" w:cs="宋体"/>
          <w:kern w:val="2"/>
          <w:sz w:val="28"/>
          <w:szCs w:val="28"/>
          <w:highlight w:val="none"/>
          <w:lang w:val="en-US" w:eastAsia="zh-CN" w:bidi="ar-SA"/>
        </w:rPr>
        <w:t>Legal Representative (Signature or Seal): __________________</w:t>
      </w:r>
    </w:p>
    <w:p w14:paraId="2B0D9091">
      <w:pPr>
        <w:pStyle w:val="14"/>
        <w:spacing w:line="500" w:lineRule="exact"/>
        <w:ind w:firstLine="560" w:firstLineChars="200"/>
        <w:jc w:val="left"/>
        <w:rPr>
          <w:rFonts w:hint="eastAsia" w:hAnsi="宋体" w:eastAsia="宋体" w:cs="宋体"/>
          <w:sz w:val="24"/>
          <w:szCs w:val="24"/>
          <w:highlight w:val="none"/>
          <w:u w:val="single"/>
          <w:lang w:eastAsia="zh-CN"/>
        </w:rPr>
      </w:pPr>
      <w:r>
        <w:rPr>
          <w:rFonts w:hint="eastAsia" w:ascii="Times New Roman" w:hAnsi="宋体" w:eastAsia="微软雅黑" w:cs="宋体"/>
          <w:kern w:val="2"/>
          <w:sz w:val="28"/>
          <w:szCs w:val="28"/>
          <w:highlight w:val="none"/>
          <w:lang w:val="en-US" w:eastAsia="zh-CN" w:bidi="ar-SA"/>
        </w:rPr>
        <w:t>Authorized Person: _______________ Gender: ______________ Position: _________</w:t>
      </w:r>
    </w:p>
    <w:p w14:paraId="3B6DBC46">
      <w:pPr>
        <w:pStyle w:val="14"/>
        <w:spacing w:line="500" w:lineRule="exact"/>
        <w:ind w:firstLine="560" w:firstLineChars="200"/>
        <w:jc w:val="left"/>
        <w:rPr>
          <w:rFonts w:hint="eastAsia" w:hAnsi="宋体" w:eastAsia="宋体" w:cs="宋体"/>
          <w:sz w:val="24"/>
          <w:szCs w:val="24"/>
          <w:highlight w:val="none"/>
          <w:u w:val="single"/>
          <w:lang w:eastAsia="zh-CN"/>
        </w:rPr>
      </w:pPr>
      <w:r>
        <w:rPr>
          <w:rFonts w:hint="eastAsia" w:ascii="Times New Roman" w:hAnsi="宋体" w:eastAsia="微软雅黑" w:cs="宋体"/>
          <w:kern w:val="2"/>
          <w:sz w:val="28"/>
          <w:szCs w:val="28"/>
          <w:highlight w:val="none"/>
          <w:lang w:val="en-US" w:eastAsia="zh-CN" w:bidi="ar-SA"/>
        </w:rPr>
        <w:t>Contact Address: ________________</w:t>
      </w:r>
    </w:p>
    <w:p w14:paraId="1559A647">
      <w:pPr>
        <w:pStyle w:val="14"/>
        <w:spacing w:line="500" w:lineRule="exact"/>
        <w:ind w:firstLine="560" w:firstLineChars="200"/>
        <w:jc w:val="left"/>
        <w:rPr>
          <w:rFonts w:hint="eastAsia" w:hAnsi="宋体" w:eastAsia="宋体" w:cs="宋体"/>
          <w:sz w:val="24"/>
          <w:szCs w:val="24"/>
          <w:highlight w:val="none"/>
          <w:u w:val="single"/>
          <w:lang w:eastAsia="zh-CN"/>
        </w:rPr>
      </w:pPr>
      <w:r>
        <w:rPr>
          <w:rFonts w:hint="eastAsia" w:ascii="Times New Roman" w:hAnsi="宋体" w:eastAsia="微软雅黑" w:cs="宋体"/>
          <w:kern w:val="2"/>
          <w:sz w:val="28"/>
          <w:szCs w:val="28"/>
          <w:highlight w:val="none"/>
          <w:lang w:val="en-US" w:eastAsia="zh-CN" w:bidi="ar-SA"/>
        </w:rPr>
        <w:t>Contact Number: __________________</w:t>
      </w:r>
    </w:p>
    <w:p w14:paraId="2DF44004">
      <w:pPr>
        <w:pStyle w:val="14"/>
        <w:spacing w:line="500" w:lineRule="exact"/>
        <w:ind w:firstLine="480" w:firstLineChars="200"/>
        <w:jc w:val="left"/>
        <w:rPr>
          <w:rFonts w:hint="eastAsia"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Copies/scanned copies of the identity cards of the legal representative and the authorized persons</w:t>
      </w:r>
    </w:p>
    <w:tbl>
      <w:tblPr>
        <w:tblStyle w:val="30"/>
        <w:tblW w:w="8940" w:type="dxa"/>
        <w:tblInd w:w="2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4"/>
        <w:gridCol w:w="4546"/>
      </w:tblGrid>
      <w:tr w14:paraId="2D700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6" w:hRule="atLeast"/>
        </w:trPr>
        <w:tc>
          <w:tcPr>
            <w:tcW w:w="4394" w:type="dxa"/>
            <w:shd w:val="clear" w:color="auto" w:fill="D9D9D9"/>
            <w:vAlign w:val="center"/>
          </w:tcPr>
          <w:p w14:paraId="1ACAD5B5">
            <w:pPr>
              <w:pStyle w:val="14"/>
              <w:spacing w:line="500" w:lineRule="exact"/>
              <w:jc w:val="left"/>
              <w:rPr>
                <w:rFonts w:hint="eastAsia" w:hAnsi="宋体" w:eastAsia="宋体" w:cs="宋体"/>
                <w:sz w:val="24"/>
                <w:szCs w:val="24"/>
                <w:highlight w:val="none"/>
                <w:shd w:val="pct10" w:color="auto" w:fill="FFFFFF"/>
                <w:lang w:eastAsia="zh-CN"/>
              </w:rPr>
            </w:pPr>
            <w:r>
              <w:rPr>
                <w:rFonts w:hint="eastAsia" w:ascii="Times New Roman" w:hAnsi="宋体" w:eastAsia="微软雅黑" w:cs="宋体"/>
                <w:kern w:val="2"/>
                <w:sz w:val="24"/>
                <w:szCs w:val="24"/>
                <w:highlight w:val="none"/>
                <w:shd w:val="pct10" w:color="auto" w:fill="FFFFFF"/>
                <w:lang w:val="en-US" w:eastAsia="zh-CN" w:bidi="ar-SA"/>
              </w:rPr>
              <w:t>Copy of the legal representative's ID card (both sides)</w:t>
            </w:r>
          </w:p>
          <w:p w14:paraId="07EF22FA">
            <w:pPr>
              <w:pStyle w:val="14"/>
              <w:spacing w:line="500" w:lineRule="exact"/>
              <w:jc w:val="left"/>
              <w:rPr>
                <w:rFonts w:hAnsi="宋体" w:cs="宋体"/>
                <w:sz w:val="24"/>
                <w:szCs w:val="24"/>
                <w:highlight w:val="none"/>
                <w:shd w:val="pct10" w:color="auto" w:fill="FFFFFF"/>
              </w:rPr>
            </w:pPr>
          </w:p>
        </w:tc>
        <w:tc>
          <w:tcPr>
            <w:tcW w:w="4546" w:type="dxa"/>
            <w:shd w:val="clear" w:color="auto" w:fill="D9D9D9"/>
            <w:vAlign w:val="center"/>
          </w:tcPr>
          <w:p w14:paraId="38ADB196">
            <w:pPr>
              <w:pStyle w:val="14"/>
              <w:spacing w:line="500" w:lineRule="exact"/>
              <w:ind w:firstLine="480" w:firstLineChars="200"/>
              <w:jc w:val="left"/>
              <w:rPr>
                <w:rFonts w:hint="eastAsia" w:hAnsi="宋体" w:eastAsia="宋体" w:cs="宋体"/>
                <w:sz w:val="24"/>
                <w:szCs w:val="24"/>
                <w:highlight w:val="none"/>
                <w:shd w:val="pct10" w:color="auto" w:fill="FFFFFF"/>
                <w:lang w:eastAsia="zh-CN"/>
              </w:rPr>
            </w:pPr>
            <w:r>
              <w:rPr>
                <w:rFonts w:hint="eastAsia" w:ascii="Times New Roman" w:hAnsi="宋体" w:eastAsia="微软雅黑" w:cs="宋体"/>
                <w:kern w:val="2"/>
                <w:sz w:val="24"/>
                <w:szCs w:val="24"/>
                <w:highlight w:val="none"/>
                <w:shd w:val="pct10" w:color="auto" w:fill="FFFFFF"/>
                <w:lang w:val="en-US" w:eastAsia="zh-CN" w:bidi="ar-SA"/>
              </w:rPr>
              <w:t>Copy of the authorized person's ID card (both sides)</w:t>
            </w:r>
          </w:p>
          <w:p w14:paraId="233F8CAD">
            <w:pPr>
              <w:pStyle w:val="14"/>
              <w:spacing w:line="500" w:lineRule="exact"/>
              <w:ind w:firstLine="480" w:firstLineChars="200"/>
              <w:jc w:val="left"/>
              <w:rPr>
                <w:rFonts w:hAnsi="宋体" w:cs="宋体"/>
                <w:sz w:val="24"/>
                <w:szCs w:val="24"/>
                <w:highlight w:val="none"/>
                <w:shd w:val="pct10" w:color="auto" w:fill="FFFFFF"/>
              </w:rPr>
            </w:pPr>
          </w:p>
        </w:tc>
      </w:tr>
    </w:tbl>
    <w:p w14:paraId="7464F96E">
      <w:pPr>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br w:type="page"/>
      </w:r>
    </w:p>
    <w:p w14:paraId="272C3A1F">
      <w:pPr>
        <w:spacing w:line="360" w:lineRule="auto"/>
        <w:ind w:firstLine="480" w:firstLineChars="200"/>
        <w:rPr>
          <w:rFonts w:hint="eastAsia" w:ascii="宋体" w:hAnsi="宋体" w:eastAsia="宋体" w:cs="宋体"/>
          <w:sz w:val="24"/>
          <w:szCs w:val="24"/>
          <w:highlight w:val="none"/>
          <w:lang w:eastAsia="zh-CN"/>
        </w:rPr>
      </w:pPr>
      <w:bookmarkStart w:id="285" w:name="_Toc19138"/>
      <w:bookmarkStart w:id="286" w:name="_Toc18964"/>
      <w:bookmarkStart w:id="287" w:name="_Toc1803"/>
      <w:bookmarkStart w:id="288" w:name="_Toc23165"/>
      <w:r>
        <w:rPr>
          <w:rFonts w:hint="eastAsia" w:ascii="Times New Roman" w:hAnsi="宋体" w:eastAsia="微软雅黑" w:cs="宋体"/>
          <w:kern w:val="2"/>
          <w:sz w:val="24"/>
          <w:szCs w:val="24"/>
          <w:highlight w:val="none"/>
          <w:lang w:val="en-US" w:eastAsia="zh-CN" w:bidi="ar-SA"/>
        </w:rPr>
        <w:t>9. If the supplier is an agent, it shall provide a Medical Device Business License (or Medical Device Business Registration Certificate) and the manufacturer's Medical Device Production License (or Medical Device Production Registration Certificate); if the supplier is a manufacturer, it shall provide the Medical Device Production License (or Medical Device Production Registration Certificate). For bidding products subject to medical device regulation, a Medical Device Registration Certificate or Medical Device Registration Certificate must be submitted.</w:t>
      </w:r>
      <w:bookmarkEnd w:id="285"/>
      <w:bookmarkEnd w:id="286"/>
      <w:bookmarkEnd w:id="287"/>
      <w:bookmarkEnd w:id="288"/>
    </w:p>
    <w:p w14:paraId="75557D2F">
      <w:pPr>
        <w:adjustRightInd w:val="0"/>
        <w:snapToGrid w:val="0"/>
        <w:spacing w:line="480" w:lineRule="auto"/>
        <w:ind w:firstLine="720" w:firstLineChars="200"/>
        <w:rPr>
          <w:rFonts w:ascii="宋体" w:hAnsi="宋体" w:cs="宋体"/>
          <w:sz w:val="36"/>
          <w:szCs w:val="36"/>
          <w:highlight w:val="none"/>
        </w:rPr>
        <w:sectPr>
          <w:headerReference r:id="rId18" w:type="default"/>
          <w:footerReference r:id="rId19" w:type="default"/>
          <w:pgSz w:w="11906" w:h="16838"/>
          <w:pgMar w:top="1440" w:right="1803" w:bottom="1440" w:left="1803" w:header="851" w:footer="992" w:gutter="0"/>
          <w:pgNumType w:fmt="decimal"/>
          <w:cols w:space="720" w:num="1"/>
          <w:docGrid w:type="lines" w:linePitch="319" w:charSpace="0"/>
        </w:sectPr>
      </w:pPr>
    </w:p>
    <w:p w14:paraId="15091911">
      <w:pPr>
        <w:spacing w:line="360" w:lineRule="auto"/>
        <w:ind w:firstLine="480" w:firstLineChars="200"/>
        <w:rPr>
          <w:rFonts w:hint="eastAsia" w:ascii="宋体" w:hAnsi="宋体" w:eastAsia="宋体" w:cs="宋体"/>
          <w:kern w:val="2"/>
          <w:sz w:val="24"/>
          <w:szCs w:val="24"/>
          <w:highlight w:val="none"/>
          <w:lang w:val="en-US" w:eastAsia="zh-CN" w:bidi="ar-SA"/>
        </w:rPr>
      </w:pPr>
      <w:r>
        <w:rPr>
          <w:rFonts w:hint="eastAsia" w:ascii="Times New Roman" w:hAnsi="宋体" w:eastAsia="微软雅黑" w:cs="宋体"/>
          <w:kern w:val="2"/>
          <w:sz w:val="24"/>
          <w:szCs w:val="24"/>
          <w:highlight w:val="none"/>
          <w:lang w:val="en-US" w:eastAsia="zh-CN" w:bidi="ar-SA"/>
        </w:rPr>
        <w:t>10. If the supplier is a product manufacturer, it shall provide a Radiation Safety License issued by the national administrative authority and valid; if the supplier is a product distributor, it shall provide a Radiation Safety License issued by the national administrative authority and valid, as well as a Radiation Safety License issued by the national administrative authority for the product manufacturer and valid; if the bid product has obtained a radiation exemption filing certificate, the supplier may submit such documentation instead of providing the Radiation Safety License.</w:t>
      </w:r>
    </w:p>
    <w:p w14:paraId="7390FCAD">
      <w:pP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br w:type="page"/>
      </w:r>
    </w:p>
    <w:p w14:paraId="665A5CE4">
      <w:pPr>
        <w:pStyle w:val="8"/>
        <w:spacing w:line="360" w:lineRule="auto"/>
        <w:ind w:firstLine="480" w:firstLineChars="200"/>
        <w:rPr>
          <w:rFonts w:hint="eastAsia" w:ascii="宋体" w:hAnsi="宋体" w:eastAsia="宋体" w:cs="宋体"/>
          <w:kern w:val="0"/>
          <w:sz w:val="24"/>
          <w:highlight w:val="none"/>
          <w:u w:val="single"/>
          <w:lang w:eastAsia="zh-CN"/>
        </w:rPr>
      </w:pPr>
      <w:r>
        <w:rPr>
          <w:rFonts w:hint="eastAsia" w:ascii="Times New Roman" w:hAnsi="宋体" w:eastAsia="微软雅黑" w:cs="宋体"/>
          <w:kern w:val="2"/>
          <w:sz w:val="24"/>
          <w:szCs w:val="24"/>
          <w:highlight w:val="none"/>
          <w:lang w:val="en-US" w:eastAsia="zh-CN" w:bidi="ar-SA"/>
        </w:rPr>
        <w:t>11. This project does not accept bids submitted by consortia.</w:t>
      </w:r>
    </w:p>
    <w:p w14:paraId="60718DC5">
      <w:pPr>
        <w:snapToGrid w:val="0"/>
        <w:spacing w:line="480" w:lineRule="auto"/>
        <w:rPr>
          <w:rFonts w:hint="eastAsia" w:ascii="宋体" w:hAnsi="宋体" w:cs="宋体"/>
          <w:highlight w:val="none"/>
        </w:rPr>
      </w:pPr>
    </w:p>
    <w:p w14:paraId="581958C2">
      <w:pPr>
        <w:snapToGrid w:val="0"/>
        <w:spacing w:line="480" w:lineRule="auto"/>
        <w:rPr>
          <w:rFonts w:hint="eastAsia" w:ascii="宋体" w:hAnsi="宋体" w:cs="宋体"/>
          <w:highlight w:val="none"/>
        </w:rPr>
      </w:pPr>
    </w:p>
    <w:p w14:paraId="2347CA60">
      <w:pPr>
        <w:snapToGrid w:val="0"/>
        <w:spacing w:line="480" w:lineRule="auto"/>
        <w:rPr>
          <w:rFonts w:hint="eastAsia" w:ascii="宋体" w:hAnsi="宋体" w:eastAsia="宋体" w:cs="宋体"/>
          <w:sz w:val="24"/>
          <w:szCs w:val="24"/>
          <w:highlight w:val="none"/>
          <w:lang w:eastAsia="zh-CN"/>
        </w:rPr>
      </w:pPr>
      <w:bookmarkStart w:id="289" w:name="_Toc23526"/>
      <w:r>
        <w:rPr>
          <w:rFonts w:hint="eastAsia" w:ascii="Times New Roman" w:hAnsi="宋体" w:eastAsia="微软雅黑" w:cs="宋体"/>
          <w:kern w:val="2"/>
          <w:sz w:val="24"/>
          <w:szCs w:val="24"/>
          <w:highlight w:val="none"/>
          <w:lang w:val="en-US" w:eastAsia="zh-CN" w:bidi="ar-SA"/>
        </w:rPr>
        <w:t>(Purchaser Name) _________________________:</w:t>
      </w:r>
      <w:bookmarkEnd w:id="289"/>
    </w:p>
    <w:p w14:paraId="529CAA90">
      <w:pPr>
        <w:spacing w:line="360" w:lineRule="auto"/>
        <w:ind w:firstLine="48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Our organization has participated in the ____________________ (project name) organized by Shaanxi Zhuoxi Project Management Co., Ltd. We hereby solemnly declare that we are not part of a consortium and will assume full responsibility for any false information provided.</w:t>
      </w:r>
    </w:p>
    <w:p w14:paraId="372A5B2D">
      <w:pPr>
        <w:spacing w:line="360" w:lineRule="auto"/>
        <w:ind w:firstLine="480"/>
        <w:rPr>
          <w:rFonts w:hint="eastAsia" w:ascii="宋体" w:hAnsi="宋体" w:eastAsia="宋体" w:cs="宋体"/>
          <w:highlight w:val="none"/>
          <w:lang w:eastAsia="zh-CN"/>
        </w:rPr>
      </w:pPr>
      <w:r>
        <w:rPr>
          <w:rFonts w:hint="eastAsia" w:ascii="Times New Roman" w:hAnsi="宋体" w:eastAsia="微软雅黑" w:cs="宋体"/>
          <w:kern w:val="2"/>
          <w:sz w:val="24"/>
          <w:szCs w:val="24"/>
          <w:highlight w:val="none"/>
          <w:lang w:val="en-US" w:eastAsia="zh-CN" w:bidi="ar-SA"/>
        </w:rPr>
        <w:t>Hereby Declare ！</w:t>
      </w:r>
    </w:p>
    <w:p w14:paraId="376F5325">
      <w:pPr>
        <w:rPr>
          <w:rFonts w:ascii="宋体" w:hAnsi="宋体" w:cs="宋体"/>
          <w:highlight w:val="none"/>
        </w:rPr>
      </w:pPr>
    </w:p>
    <w:p w14:paraId="0699EBB0">
      <w:pPr>
        <w:pStyle w:val="8"/>
        <w:rPr>
          <w:rFonts w:ascii="宋体" w:hAnsi="宋体" w:cs="宋体"/>
          <w:highlight w:val="none"/>
        </w:rPr>
      </w:pPr>
    </w:p>
    <w:p w14:paraId="0E37B75E">
      <w:pPr>
        <w:pStyle w:val="8"/>
        <w:rPr>
          <w:rFonts w:ascii="宋体" w:hAnsi="宋体" w:cs="宋体"/>
          <w:highlight w:val="none"/>
        </w:rPr>
      </w:pPr>
    </w:p>
    <w:p w14:paraId="2E6D82E9">
      <w:pPr>
        <w:pStyle w:val="8"/>
        <w:rPr>
          <w:rFonts w:ascii="宋体" w:hAnsi="宋体" w:cs="宋体"/>
          <w:highlight w:val="none"/>
        </w:rPr>
      </w:pPr>
    </w:p>
    <w:p w14:paraId="1C70FFE8">
      <w:pPr>
        <w:pStyle w:val="8"/>
        <w:rPr>
          <w:rFonts w:ascii="宋体" w:hAnsi="宋体" w:cs="宋体"/>
          <w:highlight w:val="none"/>
        </w:rPr>
      </w:pPr>
    </w:p>
    <w:p w14:paraId="787A5805">
      <w:pPr>
        <w:pStyle w:val="8"/>
        <w:rPr>
          <w:rFonts w:ascii="宋体" w:hAnsi="宋体" w:cs="宋体"/>
          <w:highlight w:val="none"/>
        </w:rPr>
      </w:pPr>
    </w:p>
    <w:p w14:paraId="4A65DB1C">
      <w:pPr>
        <w:pStyle w:val="8"/>
        <w:rPr>
          <w:rFonts w:ascii="宋体" w:hAnsi="宋体" w:cs="宋体"/>
          <w:highlight w:val="none"/>
        </w:rPr>
      </w:pPr>
    </w:p>
    <w:p w14:paraId="6F84FFE1">
      <w:pPr>
        <w:pStyle w:val="14"/>
        <w:spacing w:line="480" w:lineRule="auto"/>
        <w:rPr>
          <w:rFonts w:hint="eastAsia" w:hAnsi="宋体" w:eastAsia="宋体" w:cs="宋体"/>
          <w:sz w:val="24"/>
          <w:highlight w:val="none"/>
          <w:lang w:eastAsia="zh-CN"/>
        </w:rPr>
      </w:pPr>
      <w:r>
        <w:rPr>
          <w:rFonts w:hint="eastAsia" w:ascii="Times New Roman" w:hAnsi="宋体" w:eastAsia="微软雅黑" w:cs="宋体"/>
          <w:kern w:val="2"/>
          <w:sz w:val="28"/>
          <w:szCs w:val="28"/>
          <w:highlight w:val="none"/>
          <w:lang w:val="en-US" w:eastAsia="zh-CN" w:bidi="ar-SA"/>
        </w:rPr>
        <w:t>Supplier (Company Name and Official Seal): ______________________</w:t>
      </w:r>
    </w:p>
    <w:p w14:paraId="33971140">
      <w:pPr>
        <w:pStyle w:val="14"/>
        <w:spacing w:line="480" w:lineRule="auto"/>
        <w:rPr>
          <w:rFonts w:hint="eastAsia" w:hAnsi="宋体" w:eastAsia="宋体" w:cs="宋体"/>
          <w:sz w:val="24"/>
          <w:highlight w:val="none"/>
          <w:lang w:eastAsia="zh-CN"/>
        </w:rPr>
      </w:pPr>
      <w:r>
        <w:rPr>
          <w:rFonts w:hint="eastAsia" w:ascii="Times New Roman" w:hAnsi="宋体" w:eastAsia="微软雅黑" w:cs="宋体"/>
          <w:kern w:val="2"/>
          <w:sz w:val="28"/>
          <w:szCs w:val="28"/>
          <w:highlight w:val="none"/>
          <w:lang w:val="en-US" w:eastAsia="zh-CN" w:bidi="ar-SA"/>
        </w:rPr>
        <w:t>Legal Representative or Authorized Person (Signature or Seal): ______________________</w:t>
      </w:r>
    </w:p>
    <w:p w14:paraId="2F9BCB9C">
      <w:pPr>
        <w:rPr>
          <w:rFonts w:hint="eastAsia" w:ascii="宋体" w:hAnsi="宋体" w:eastAsia="宋体" w:cs="宋体"/>
          <w:sz w:val="36"/>
          <w:szCs w:val="36"/>
          <w:highlight w:val="none"/>
          <w:lang w:eastAsia="zh-CN"/>
        </w:rPr>
      </w:pPr>
      <w:r>
        <w:rPr>
          <w:rFonts w:hint="eastAsia" w:ascii="Times New Roman" w:hAnsi="宋体" w:eastAsia="微软雅黑" w:cs="宋体"/>
          <w:kern w:val="2"/>
          <w:sz w:val="28"/>
          <w:szCs w:val="28"/>
          <w:highlight w:val="none"/>
          <w:lang w:val="en-US" w:eastAsia="zh-CN" w:bidi="ar-SA"/>
        </w:rPr>
        <w:t>Date: ______________________</w:t>
      </w:r>
    </w:p>
    <w:p w14:paraId="603F2F17">
      <w:pPr>
        <w:rPr>
          <w:rFonts w:hint="eastAsia" w:ascii="宋体" w:hAnsi="宋体" w:cs="宋体"/>
          <w:sz w:val="36"/>
          <w:szCs w:val="36"/>
          <w:highlight w:val="none"/>
        </w:rPr>
      </w:pPr>
      <w:r>
        <w:rPr>
          <w:rFonts w:hint="eastAsia" w:ascii="宋体" w:hAnsi="宋体" w:cs="宋体"/>
          <w:sz w:val="36"/>
          <w:szCs w:val="36"/>
          <w:highlight w:val="none"/>
        </w:rPr>
        <w:br w:type="page"/>
      </w:r>
    </w:p>
    <w:p w14:paraId="1FF4167C">
      <w:pPr>
        <w:pStyle w:val="3"/>
        <w:tabs>
          <w:tab w:val="left" w:pos="2096"/>
          <w:tab w:val="center" w:pos="5024"/>
        </w:tabs>
        <w:spacing w:before="319" w:beforeLines="100" w:after="478" w:afterLines="150" w:line="500" w:lineRule="exact"/>
        <w:jc w:val="center"/>
        <w:rPr>
          <w:rFonts w:ascii="宋体" w:hAnsi="宋体" w:cs="宋体"/>
          <w:sz w:val="36"/>
          <w:szCs w:val="36"/>
          <w:highlight w:val="none"/>
        </w:rPr>
      </w:pPr>
      <w:bookmarkStart w:id="290" w:name="_Toc9217"/>
      <w:bookmarkStart w:id="291" w:name="_Toc12951"/>
      <w:r>
        <w:rPr>
          <w:rFonts w:hint="eastAsia" w:ascii="Times New Roman" w:hAnsi="宋体" w:eastAsia="微软雅黑" w:cs="宋体"/>
          <w:b/>
          <w:kern w:val="2"/>
          <w:sz w:val="36"/>
          <w:szCs w:val="36"/>
          <w:highlight w:val="none"/>
          <w:lang w:val="en-US" w:eastAsia="zh-CN" w:bidi="ar-SA"/>
        </w:rPr>
        <w:t xml:space="preserve">Part </w:t>
      </w:r>
      <w:bookmarkEnd w:id="290"/>
      <w:r>
        <w:rPr>
          <w:rFonts w:hint="eastAsia" w:ascii="Times New Roman" w:hAnsi="宋体" w:eastAsia="微软雅黑" w:cs="宋体"/>
          <w:b/>
          <w:kern w:val="2"/>
          <w:sz w:val="36"/>
          <w:szCs w:val="36"/>
          <w:highlight w:val="none"/>
          <w:lang w:val="en-US" w:eastAsia="zh-CN" w:bidi="ar-SA"/>
        </w:rPr>
        <w:t>Five: Legitimate Sources of Information</w:t>
      </w:r>
      <w:bookmarkEnd w:id="291"/>
    </w:p>
    <w:p w14:paraId="2D71DF1E">
      <w:pPr>
        <w:rPr>
          <w:rFonts w:hint="eastAsia" w:ascii="宋体" w:hAnsi="宋体" w:eastAsia="宋体" w:cs="宋体"/>
          <w:b/>
          <w:bCs/>
          <w:sz w:val="20"/>
          <w:szCs w:val="20"/>
          <w:highlight w:val="none"/>
          <w:lang w:eastAsia="zh-CN"/>
        </w:rPr>
      </w:pPr>
      <w:r>
        <w:rPr>
          <w:rFonts w:hint="eastAsia" w:ascii="Times New Roman" w:hAnsi="宋体" w:eastAsia="微软雅黑" w:cs="宋体"/>
          <w:b/>
          <w:bCs/>
          <w:kern w:val="2"/>
          <w:sz w:val="24"/>
          <w:szCs w:val="24"/>
          <w:highlight w:val="none"/>
          <w:lang w:val="en-US" w:eastAsia="zh-CN" w:bidi="ar-SA"/>
        </w:rPr>
        <w:t>Written by the supplier; no specific format required.</w:t>
      </w:r>
    </w:p>
    <w:p w14:paraId="420BD3CD">
      <w:pPr>
        <w:rPr>
          <w:rFonts w:ascii="宋体" w:hAnsi="宋体" w:cs="宋体"/>
          <w:highlight w:val="none"/>
        </w:rPr>
      </w:pPr>
    </w:p>
    <w:p w14:paraId="1A8C5DB4">
      <w:pPr>
        <w:pStyle w:val="3"/>
        <w:tabs>
          <w:tab w:val="left" w:pos="2096"/>
          <w:tab w:val="center" w:pos="5024"/>
        </w:tabs>
        <w:spacing w:before="319" w:beforeLines="100" w:after="478" w:afterLines="150" w:line="500" w:lineRule="exact"/>
        <w:jc w:val="center"/>
        <w:rPr>
          <w:rFonts w:hint="eastAsia" w:ascii="宋体" w:hAnsi="宋体" w:eastAsia="宋体" w:cs="宋体"/>
          <w:sz w:val="36"/>
          <w:szCs w:val="36"/>
          <w:highlight w:val="none"/>
          <w:lang w:eastAsia="zh-CN"/>
        </w:rPr>
      </w:pPr>
      <w:bookmarkStart w:id="292" w:name="_Toc26563"/>
      <w:bookmarkStart w:id="293" w:name="_Toc27522"/>
      <w:bookmarkStart w:id="294" w:name="_Toc10667"/>
      <w:bookmarkStart w:id="295" w:name="_Toc32537"/>
      <w:bookmarkStart w:id="296" w:name="_Toc16328"/>
      <w:bookmarkStart w:id="297" w:name="_Toc7311"/>
      <w:bookmarkStart w:id="298" w:name="_Toc8326"/>
      <w:r>
        <w:rPr>
          <w:rFonts w:hint="eastAsia" w:ascii="Times New Roman" w:hAnsi="宋体" w:eastAsia="微软雅黑" w:cs="宋体"/>
          <w:b/>
          <w:kern w:val="2"/>
          <w:sz w:val="36"/>
          <w:szCs w:val="36"/>
          <w:highlight w:val="none"/>
          <w:lang w:val="en-US" w:eastAsia="zh-CN" w:bidi="ar-SA"/>
        </w:rPr>
        <w:t>Part VI: Implementation Plan</w:t>
      </w:r>
      <w:bookmarkEnd w:id="292"/>
      <w:bookmarkEnd w:id="293"/>
      <w:bookmarkEnd w:id="294"/>
      <w:bookmarkEnd w:id="295"/>
      <w:bookmarkEnd w:id="296"/>
      <w:bookmarkEnd w:id="297"/>
      <w:bookmarkEnd w:id="298"/>
    </w:p>
    <w:p w14:paraId="38526C6F">
      <w:pPr>
        <w:spacing w:line="360" w:lineRule="auto"/>
        <w:jc w:val="left"/>
        <w:rPr>
          <w:rFonts w:hint="eastAsia" w:ascii="宋体" w:hAnsi="宋体" w:eastAsia="宋体" w:cs="宋体"/>
          <w:b/>
          <w:bCs/>
          <w:sz w:val="24"/>
          <w:szCs w:val="24"/>
          <w:highlight w:val="none"/>
          <w:lang w:eastAsia="zh-CN"/>
        </w:rPr>
      </w:pPr>
      <w:r>
        <w:rPr>
          <w:rFonts w:hint="eastAsia" w:ascii="Times New Roman" w:hAnsi="宋体" w:eastAsia="微软雅黑" w:cs="宋体"/>
          <w:b/>
          <w:bCs/>
          <w:kern w:val="2"/>
          <w:sz w:val="24"/>
          <w:szCs w:val="24"/>
          <w:highlight w:val="none"/>
          <w:lang w:val="en-US" w:eastAsia="zh-CN" w:bidi="ar-SA"/>
        </w:rPr>
        <w:t>The implementation plan is prepared by the supplier and does not have a specific format.</w:t>
      </w:r>
    </w:p>
    <w:p w14:paraId="625F59BC">
      <w:pPr>
        <w:pStyle w:val="3"/>
        <w:spacing w:before="319" w:beforeLines="100" w:after="478" w:afterLines="150" w:line="500" w:lineRule="exact"/>
        <w:jc w:val="center"/>
        <w:rPr>
          <w:rFonts w:hint="eastAsia" w:ascii="宋体" w:hAnsi="宋体" w:eastAsia="宋体" w:cs="宋体"/>
          <w:sz w:val="36"/>
          <w:szCs w:val="36"/>
          <w:highlight w:val="none"/>
          <w:lang w:eastAsia="zh-CN"/>
        </w:rPr>
      </w:pPr>
      <w:bookmarkStart w:id="299" w:name="_Toc710"/>
      <w:r>
        <w:rPr>
          <w:rFonts w:hint="eastAsia" w:ascii="Times New Roman" w:hAnsi="宋体" w:eastAsia="微软雅黑" w:cs="宋体"/>
          <w:b/>
          <w:kern w:val="2"/>
          <w:sz w:val="36"/>
          <w:szCs w:val="36"/>
          <w:highlight w:val="none"/>
          <w:lang w:val="en-US" w:eastAsia="zh-CN" w:bidi="ar-SA"/>
        </w:rPr>
        <w:t>Part S</w:t>
      </w:r>
      <w:bookmarkStart w:id="300" w:name="_Toc21288"/>
      <w:bookmarkEnd w:id="300"/>
      <w:r>
        <w:rPr>
          <w:rFonts w:hint="eastAsia" w:ascii="Times New Roman" w:hAnsi="宋体" w:eastAsia="微软雅黑" w:cs="宋体"/>
          <w:b/>
          <w:kern w:val="2"/>
          <w:sz w:val="36"/>
          <w:szCs w:val="36"/>
          <w:highlight w:val="none"/>
          <w:lang w:val="en-US" w:eastAsia="zh-CN" w:bidi="ar-SA"/>
        </w:rPr>
        <w:t>even: After-sales Service Solutions</w:t>
      </w:r>
      <w:bookmarkEnd w:id="299"/>
    </w:p>
    <w:p w14:paraId="38FEB614">
      <w:pPr>
        <w:spacing w:line="360" w:lineRule="auto"/>
        <w:jc w:val="left"/>
        <w:rPr>
          <w:rFonts w:hint="eastAsia" w:ascii="宋体" w:hAnsi="宋体" w:eastAsia="宋体" w:cs="宋体"/>
          <w:b/>
          <w:bCs/>
          <w:sz w:val="24"/>
          <w:szCs w:val="24"/>
          <w:highlight w:val="none"/>
          <w:lang w:eastAsia="zh-CN"/>
        </w:rPr>
      </w:pPr>
      <w:r>
        <w:rPr>
          <w:rFonts w:hint="eastAsia" w:ascii="Times New Roman" w:hAnsi="宋体" w:eastAsia="微软雅黑" w:cs="宋体"/>
          <w:b/>
          <w:bCs/>
          <w:kern w:val="2"/>
          <w:sz w:val="24"/>
          <w:szCs w:val="24"/>
          <w:highlight w:val="none"/>
          <w:lang w:val="en-US" w:eastAsia="zh-CN" w:bidi="ar-SA"/>
        </w:rPr>
        <w:t>The after-sales service plan is prepared by the supplier and does not follow a specific format.</w:t>
      </w:r>
    </w:p>
    <w:p w14:paraId="0047798C">
      <w:pPr>
        <w:pStyle w:val="3"/>
        <w:spacing w:before="319" w:beforeLines="100" w:after="478" w:afterLines="150" w:line="500" w:lineRule="exact"/>
        <w:jc w:val="center"/>
        <w:rPr>
          <w:rFonts w:ascii="宋体" w:hAnsi="宋体" w:cs="宋体"/>
          <w:sz w:val="36"/>
          <w:szCs w:val="36"/>
          <w:highlight w:val="none"/>
        </w:rPr>
      </w:pPr>
      <w:bookmarkStart w:id="301" w:name="_Toc3945"/>
      <w:bookmarkStart w:id="302" w:name="_Toc18764"/>
      <w:r>
        <w:rPr>
          <w:rFonts w:hint="eastAsia" w:ascii="Times New Roman" w:hAnsi="宋体" w:eastAsia="微软雅黑" w:cs="宋体"/>
          <w:b/>
          <w:kern w:val="2"/>
          <w:sz w:val="36"/>
          <w:szCs w:val="36"/>
          <w:highlight w:val="none"/>
          <w:lang w:val="en-US" w:eastAsia="zh-CN" w:bidi="ar-SA"/>
        </w:rPr>
        <w:t>Part VIII: Training Program</w:t>
      </w:r>
      <w:bookmarkEnd w:id="301"/>
      <w:bookmarkEnd w:id="302"/>
    </w:p>
    <w:p w14:paraId="77A10C48">
      <w:pPr>
        <w:spacing w:line="360" w:lineRule="auto"/>
        <w:jc w:val="left"/>
        <w:rPr>
          <w:rFonts w:hint="eastAsia" w:ascii="宋体" w:hAnsi="宋体" w:eastAsia="宋体" w:cs="宋体"/>
          <w:b/>
          <w:bCs/>
          <w:sz w:val="24"/>
          <w:szCs w:val="24"/>
          <w:highlight w:val="none"/>
          <w:lang w:eastAsia="zh-CN"/>
        </w:rPr>
      </w:pPr>
      <w:r>
        <w:rPr>
          <w:rFonts w:hint="eastAsia" w:ascii="Times New Roman" w:hAnsi="宋体" w:eastAsia="微软雅黑" w:cs="宋体"/>
          <w:b/>
          <w:bCs/>
          <w:kern w:val="2"/>
          <w:sz w:val="24"/>
          <w:szCs w:val="24"/>
          <w:highlight w:val="none"/>
          <w:lang w:val="en-US" w:eastAsia="zh-CN" w:bidi="ar-SA"/>
        </w:rPr>
        <w:t>The training program is developed by the supplier and does not follow a specific format.</w:t>
      </w:r>
    </w:p>
    <w:p w14:paraId="78840166">
      <w:pPr>
        <w:pStyle w:val="3"/>
        <w:jc w:val="center"/>
        <w:rPr>
          <w:rFonts w:hint="eastAsia" w:ascii="宋体" w:hAnsi="宋体" w:eastAsia="宋体" w:cs="宋体"/>
          <w:sz w:val="36"/>
          <w:szCs w:val="36"/>
          <w:highlight w:val="none"/>
          <w:lang w:eastAsia="zh-CN"/>
        </w:rPr>
      </w:pPr>
      <w:r>
        <w:rPr>
          <w:rFonts w:hint="eastAsia" w:ascii="Times New Roman" w:hAnsi="宋体" w:eastAsia="微软雅黑" w:cs="宋体"/>
          <w:b/>
          <w:kern w:val="2"/>
          <w:sz w:val="36"/>
          <w:szCs w:val="36"/>
          <w:highlight w:val="none"/>
          <w:lang w:val="en-US" w:eastAsia="zh-CN" w:bidi="ar-SA"/>
        </w:rPr>
        <w:br w:type="page"/>
      </w:r>
      <w:bookmarkStart w:id="303" w:name="_Toc17158"/>
      <w:bookmarkStart w:id="304" w:name="_Toc2785"/>
      <w:bookmarkStart w:id="305" w:name="_Toc2376"/>
      <w:bookmarkStart w:id="306" w:name="_Toc6549"/>
      <w:r>
        <w:rPr>
          <w:rFonts w:hint="eastAsia" w:ascii="Times New Roman" w:hAnsi="宋体" w:eastAsia="微软雅黑" w:cs="宋体"/>
          <w:b/>
          <w:kern w:val="2"/>
          <w:sz w:val="36"/>
          <w:szCs w:val="36"/>
          <w:highlight w:val="none"/>
          <w:lang w:val="en-US" w:eastAsia="zh-CN" w:bidi="ar-SA"/>
        </w:rPr>
        <w:t>Part IX: Pe</w:t>
      </w:r>
      <w:bookmarkEnd w:id="303"/>
      <w:bookmarkEnd w:id="304"/>
      <w:bookmarkEnd w:id="305"/>
      <w:r>
        <w:rPr>
          <w:rFonts w:hint="eastAsia" w:ascii="Times New Roman" w:hAnsi="宋体" w:eastAsia="微软雅黑" w:cs="宋体"/>
          <w:b/>
          <w:kern w:val="2"/>
          <w:sz w:val="36"/>
          <w:szCs w:val="36"/>
          <w:highlight w:val="none"/>
          <w:lang w:val="en-US" w:eastAsia="zh-CN" w:bidi="ar-SA"/>
        </w:rPr>
        <w:t>rformance Summary Table</w:t>
      </w:r>
      <w:bookmarkEnd w:id="306"/>
    </w:p>
    <w:tbl>
      <w:tblPr>
        <w:tblStyle w:val="30"/>
        <w:tblW w:w="809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801"/>
        <w:gridCol w:w="1602"/>
        <w:gridCol w:w="1468"/>
        <w:gridCol w:w="1485"/>
        <w:gridCol w:w="1577"/>
        <w:gridCol w:w="1163"/>
      </w:tblGrid>
      <w:tr w14:paraId="20DE84E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35" w:hRule="atLeast"/>
          <w:jc w:val="center"/>
        </w:trPr>
        <w:tc>
          <w:tcPr>
            <w:tcW w:w="801" w:type="dxa"/>
            <w:tcBorders>
              <w:top w:val="single" w:color="auto" w:sz="4" w:space="0"/>
            </w:tcBorders>
            <w:vAlign w:val="center"/>
          </w:tcPr>
          <w:p w14:paraId="24D4C491">
            <w:pPr>
              <w:spacing w:line="400" w:lineRule="exact"/>
              <w:rPr>
                <w:rFonts w:hint="eastAsia" w:ascii="宋体" w:hAnsi="宋体" w:eastAsia="宋体" w:cs="宋体"/>
                <w:highlight w:val="none"/>
                <w:lang w:eastAsia="zh-CN"/>
              </w:rPr>
            </w:pPr>
            <w:r>
              <w:rPr>
                <w:rFonts w:hint="eastAsia" w:ascii="Times New Roman" w:hAnsi="宋体" w:eastAsia="微软雅黑" w:cs="宋体"/>
                <w:kern w:val="2"/>
                <w:sz w:val="21"/>
                <w:szCs w:val="22"/>
                <w:highlight w:val="none"/>
                <w:lang w:val="en-US" w:eastAsia="zh-CN" w:bidi="ar-SA"/>
              </w:rPr>
              <w:t>a particular year</w:t>
            </w:r>
          </w:p>
        </w:tc>
        <w:tc>
          <w:tcPr>
            <w:tcW w:w="1602" w:type="dxa"/>
            <w:tcBorders>
              <w:top w:val="single" w:color="auto" w:sz="4" w:space="0"/>
            </w:tcBorders>
            <w:vAlign w:val="center"/>
          </w:tcPr>
          <w:p w14:paraId="547BBB46">
            <w:pPr>
              <w:spacing w:line="400" w:lineRule="exact"/>
              <w:jc w:val="center"/>
              <w:rPr>
                <w:rFonts w:hint="eastAsia" w:ascii="宋体" w:hAnsi="宋体" w:eastAsia="宋体" w:cs="宋体"/>
                <w:highlight w:val="none"/>
                <w:lang w:eastAsia="zh-CN"/>
              </w:rPr>
            </w:pPr>
            <w:r>
              <w:rPr>
                <w:rFonts w:hint="eastAsia" w:ascii="Times New Roman" w:hAnsi="宋体" w:eastAsia="微软雅黑" w:cs="宋体"/>
                <w:kern w:val="2"/>
                <w:sz w:val="21"/>
                <w:szCs w:val="22"/>
                <w:highlight w:val="none"/>
                <w:lang w:val="en-US" w:eastAsia="zh-CN" w:bidi="ar-SA"/>
              </w:rPr>
              <w:t>name of user</w:t>
            </w:r>
          </w:p>
        </w:tc>
        <w:tc>
          <w:tcPr>
            <w:tcW w:w="1468" w:type="dxa"/>
            <w:tcBorders>
              <w:top w:val="single" w:color="auto" w:sz="4" w:space="0"/>
            </w:tcBorders>
            <w:vAlign w:val="center"/>
          </w:tcPr>
          <w:p w14:paraId="1FA2C7EA">
            <w:pPr>
              <w:spacing w:line="400" w:lineRule="exact"/>
              <w:jc w:val="center"/>
              <w:rPr>
                <w:rFonts w:hint="eastAsia" w:ascii="宋体" w:hAnsi="宋体" w:eastAsia="宋体" w:cs="宋体"/>
                <w:highlight w:val="none"/>
                <w:lang w:eastAsia="zh-CN"/>
              </w:rPr>
            </w:pPr>
            <w:r>
              <w:rPr>
                <w:rFonts w:hint="eastAsia" w:ascii="Times New Roman" w:hAnsi="宋体" w:eastAsia="微软雅黑" w:cs="宋体"/>
                <w:kern w:val="2"/>
                <w:sz w:val="21"/>
                <w:szCs w:val="22"/>
                <w:highlight w:val="none"/>
                <w:lang w:val="en-US" w:eastAsia="zh-CN" w:bidi="ar-SA"/>
              </w:rPr>
              <w:t>project name</w:t>
            </w:r>
          </w:p>
        </w:tc>
        <w:tc>
          <w:tcPr>
            <w:tcW w:w="1485" w:type="dxa"/>
            <w:tcBorders>
              <w:top w:val="single" w:color="auto" w:sz="4" w:space="0"/>
            </w:tcBorders>
            <w:vAlign w:val="center"/>
          </w:tcPr>
          <w:p w14:paraId="0013F14E">
            <w:pPr>
              <w:spacing w:line="400" w:lineRule="exact"/>
              <w:jc w:val="center"/>
              <w:rPr>
                <w:rFonts w:hint="eastAsia" w:ascii="宋体" w:hAnsi="宋体" w:eastAsia="宋体" w:cs="宋体"/>
                <w:highlight w:val="none"/>
                <w:lang w:eastAsia="zh-CN"/>
              </w:rPr>
            </w:pPr>
            <w:r>
              <w:rPr>
                <w:rFonts w:hint="eastAsia" w:ascii="Times New Roman" w:hAnsi="宋体" w:eastAsia="微软雅黑" w:cs="宋体"/>
                <w:kern w:val="2"/>
                <w:sz w:val="21"/>
                <w:szCs w:val="22"/>
                <w:highlight w:val="none"/>
                <w:lang w:val="en-US" w:eastAsia="zh-CN" w:bidi="ar-SA"/>
              </w:rPr>
              <w:t>Date of contract signing</w:t>
            </w:r>
          </w:p>
        </w:tc>
        <w:tc>
          <w:tcPr>
            <w:tcW w:w="1577" w:type="dxa"/>
            <w:tcBorders>
              <w:top w:val="single" w:color="auto" w:sz="4" w:space="0"/>
            </w:tcBorders>
            <w:vAlign w:val="center"/>
          </w:tcPr>
          <w:p w14:paraId="210D9079">
            <w:pPr>
              <w:spacing w:line="400" w:lineRule="exact"/>
              <w:ind w:firstLine="105" w:firstLineChars="50"/>
              <w:rPr>
                <w:rFonts w:hint="eastAsia" w:ascii="宋体" w:hAnsi="宋体" w:eastAsia="宋体" w:cs="宋体"/>
                <w:highlight w:val="none"/>
                <w:lang w:eastAsia="zh-CN"/>
              </w:rPr>
            </w:pPr>
            <w:r>
              <w:rPr>
                <w:rFonts w:hint="eastAsia" w:ascii="Times New Roman" w:hAnsi="宋体" w:eastAsia="微软雅黑" w:cs="宋体"/>
                <w:kern w:val="2"/>
                <w:sz w:val="21"/>
                <w:szCs w:val="22"/>
                <w:highlight w:val="none"/>
                <w:lang w:val="en-US" w:eastAsia="zh-CN" w:bidi="ar-SA"/>
              </w:rPr>
              <w:t>contract value</w:t>
            </w:r>
          </w:p>
        </w:tc>
        <w:tc>
          <w:tcPr>
            <w:tcW w:w="1163" w:type="dxa"/>
            <w:tcBorders>
              <w:top w:val="single" w:color="auto" w:sz="4" w:space="0"/>
              <w:left w:val="single" w:color="auto" w:sz="4" w:space="0"/>
            </w:tcBorders>
            <w:vAlign w:val="center"/>
          </w:tcPr>
          <w:p w14:paraId="73477FC2">
            <w:pPr>
              <w:spacing w:line="400" w:lineRule="exact"/>
              <w:rPr>
                <w:rFonts w:hint="eastAsia" w:ascii="宋体" w:hAnsi="宋体" w:eastAsia="宋体" w:cs="宋体"/>
                <w:highlight w:val="none"/>
                <w:lang w:eastAsia="zh-CN"/>
              </w:rPr>
            </w:pPr>
            <w:r>
              <w:rPr>
                <w:rFonts w:hint="eastAsia" w:ascii="Times New Roman" w:hAnsi="宋体" w:eastAsia="微软雅黑" w:cs="宋体"/>
                <w:kern w:val="2"/>
                <w:sz w:val="21"/>
                <w:szCs w:val="22"/>
                <w:highlight w:val="none"/>
                <w:lang w:val="en-US" w:eastAsia="zh-CN" w:bidi="ar-SA"/>
              </w:rPr>
              <w:t>remarks</w:t>
            </w:r>
          </w:p>
        </w:tc>
      </w:tr>
      <w:tr w14:paraId="13D24EE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4" w:hRule="atLeast"/>
          <w:jc w:val="center"/>
        </w:trPr>
        <w:tc>
          <w:tcPr>
            <w:tcW w:w="801" w:type="dxa"/>
            <w:vAlign w:val="center"/>
          </w:tcPr>
          <w:p w14:paraId="15C3F87A">
            <w:pPr>
              <w:spacing w:line="400" w:lineRule="exact"/>
              <w:jc w:val="center"/>
              <w:rPr>
                <w:rFonts w:ascii="宋体" w:hAnsi="宋体" w:cs="宋体"/>
                <w:highlight w:val="none"/>
              </w:rPr>
            </w:pPr>
          </w:p>
        </w:tc>
        <w:tc>
          <w:tcPr>
            <w:tcW w:w="1602" w:type="dxa"/>
            <w:vAlign w:val="center"/>
          </w:tcPr>
          <w:p w14:paraId="5615E4D1">
            <w:pPr>
              <w:spacing w:line="400" w:lineRule="exact"/>
              <w:jc w:val="center"/>
              <w:rPr>
                <w:rFonts w:ascii="宋体" w:hAnsi="宋体" w:cs="宋体"/>
                <w:highlight w:val="none"/>
              </w:rPr>
            </w:pPr>
          </w:p>
        </w:tc>
        <w:tc>
          <w:tcPr>
            <w:tcW w:w="1468" w:type="dxa"/>
            <w:vAlign w:val="center"/>
          </w:tcPr>
          <w:p w14:paraId="73B69FCF">
            <w:pPr>
              <w:spacing w:line="400" w:lineRule="exact"/>
              <w:jc w:val="center"/>
              <w:rPr>
                <w:rFonts w:ascii="宋体" w:hAnsi="宋体" w:cs="宋体"/>
                <w:highlight w:val="none"/>
              </w:rPr>
            </w:pPr>
          </w:p>
        </w:tc>
        <w:tc>
          <w:tcPr>
            <w:tcW w:w="1485" w:type="dxa"/>
            <w:vAlign w:val="center"/>
          </w:tcPr>
          <w:p w14:paraId="64C3B458">
            <w:pPr>
              <w:spacing w:line="400" w:lineRule="exact"/>
              <w:jc w:val="center"/>
              <w:rPr>
                <w:rFonts w:ascii="宋体" w:hAnsi="宋体" w:cs="宋体"/>
                <w:highlight w:val="none"/>
              </w:rPr>
            </w:pPr>
          </w:p>
        </w:tc>
        <w:tc>
          <w:tcPr>
            <w:tcW w:w="1577" w:type="dxa"/>
            <w:vAlign w:val="center"/>
          </w:tcPr>
          <w:p w14:paraId="0D959B6D">
            <w:pPr>
              <w:spacing w:line="400" w:lineRule="exact"/>
              <w:jc w:val="center"/>
              <w:rPr>
                <w:rFonts w:ascii="宋体" w:hAnsi="宋体" w:cs="宋体"/>
                <w:highlight w:val="none"/>
              </w:rPr>
            </w:pPr>
          </w:p>
        </w:tc>
        <w:tc>
          <w:tcPr>
            <w:tcW w:w="1163" w:type="dxa"/>
            <w:tcBorders>
              <w:left w:val="single" w:color="auto" w:sz="4" w:space="0"/>
            </w:tcBorders>
            <w:vAlign w:val="center"/>
          </w:tcPr>
          <w:p w14:paraId="02F9875F">
            <w:pPr>
              <w:spacing w:line="400" w:lineRule="exact"/>
              <w:jc w:val="center"/>
              <w:rPr>
                <w:rFonts w:ascii="宋体" w:hAnsi="宋体" w:cs="宋体"/>
                <w:highlight w:val="none"/>
              </w:rPr>
            </w:pPr>
          </w:p>
        </w:tc>
      </w:tr>
      <w:tr w14:paraId="300C0FD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4" w:hRule="atLeast"/>
          <w:jc w:val="center"/>
        </w:trPr>
        <w:tc>
          <w:tcPr>
            <w:tcW w:w="801" w:type="dxa"/>
            <w:vAlign w:val="center"/>
          </w:tcPr>
          <w:p w14:paraId="534E850A">
            <w:pPr>
              <w:spacing w:line="400" w:lineRule="exact"/>
              <w:jc w:val="center"/>
              <w:rPr>
                <w:rFonts w:ascii="宋体" w:hAnsi="宋体" w:cs="宋体"/>
                <w:highlight w:val="none"/>
              </w:rPr>
            </w:pPr>
          </w:p>
        </w:tc>
        <w:tc>
          <w:tcPr>
            <w:tcW w:w="1602" w:type="dxa"/>
            <w:vAlign w:val="center"/>
          </w:tcPr>
          <w:p w14:paraId="6F784600">
            <w:pPr>
              <w:spacing w:line="400" w:lineRule="exact"/>
              <w:jc w:val="center"/>
              <w:rPr>
                <w:rFonts w:ascii="宋体" w:hAnsi="宋体" w:cs="宋体"/>
                <w:highlight w:val="none"/>
              </w:rPr>
            </w:pPr>
          </w:p>
        </w:tc>
        <w:tc>
          <w:tcPr>
            <w:tcW w:w="1468" w:type="dxa"/>
            <w:vAlign w:val="center"/>
          </w:tcPr>
          <w:p w14:paraId="44F0FA54">
            <w:pPr>
              <w:spacing w:line="400" w:lineRule="exact"/>
              <w:jc w:val="center"/>
              <w:rPr>
                <w:rFonts w:ascii="宋体" w:hAnsi="宋体" w:cs="宋体"/>
                <w:highlight w:val="none"/>
              </w:rPr>
            </w:pPr>
          </w:p>
        </w:tc>
        <w:tc>
          <w:tcPr>
            <w:tcW w:w="1485" w:type="dxa"/>
            <w:vAlign w:val="center"/>
          </w:tcPr>
          <w:p w14:paraId="35813FFC">
            <w:pPr>
              <w:spacing w:line="400" w:lineRule="exact"/>
              <w:jc w:val="center"/>
              <w:rPr>
                <w:rFonts w:ascii="宋体" w:hAnsi="宋体" w:cs="宋体"/>
                <w:highlight w:val="none"/>
              </w:rPr>
            </w:pPr>
          </w:p>
        </w:tc>
        <w:tc>
          <w:tcPr>
            <w:tcW w:w="1577" w:type="dxa"/>
            <w:vAlign w:val="center"/>
          </w:tcPr>
          <w:p w14:paraId="285D5D13">
            <w:pPr>
              <w:spacing w:line="400" w:lineRule="exact"/>
              <w:jc w:val="center"/>
              <w:rPr>
                <w:rFonts w:ascii="宋体" w:hAnsi="宋体" w:cs="宋体"/>
                <w:highlight w:val="none"/>
              </w:rPr>
            </w:pPr>
          </w:p>
        </w:tc>
        <w:tc>
          <w:tcPr>
            <w:tcW w:w="1163" w:type="dxa"/>
            <w:tcBorders>
              <w:left w:val="single" w:color="auto" w:sz="4" w:space="0"/>
            </w:tcBorders>
            <w:vAlign w:val="center"/>
          </w:tcPr>
          <w:p w14:paraId="5651AFB6">
            <w:pPr>
              <w:spacing w:line="400" w:lineRule="exact"/>
              <w:jc w:val="center"/>
              <w:rPr>
                <w:rFonts w:ascii="宋体" w:hAnsi="宋体" w:cs="宋体"/>
                <w:highlight w:val="none"/>
              </w:rPr>
            </w:pPr>
          </w:p>
        </w:tc>
      </w:tr>
      <w:tr w14:paraId="58B2F8C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4" w:hRule="atLeast"/>
          <w:jc w:val="center"/>
        </w:trPr>
        <w:tc>
          <w:tcPr>
            <w:tcW w:w="801" w:type="dxa"/>
            <w:vAlign w:val="center"/>
          </w:tcPr>
          <w:p w14:paraId="199B16C2">
            <w:pPr>
              <w:spacing w:line="400" w:lineRule="exact"/>
              <w:jc w:val="center"/>
              <w:rPr>
                <w:rFonts w:ascii="宋体" w:hAnsi="宋体" w:cs="宋体"/>
                <w:highlight w:val="none"/>
              </w:rPr>
            </w:pPr>
          </w:p>
        </w:tc>
        <w:tc>
          <w:tcPr>
            <w:tcW w:w="1602" w:type="dxa"/>
            <w:vAlign w:val="center"/>
          </w:tcPr>
          <w:p w14:paraId="6713C46C">
            <w:pPr>
              <w:spacing w:line="400" w:lineRule="exact"/>
              <w:jc w:val="center"/>
              <w:rPr>
                <w:rFonts w:ascii="宋体" w:hAnsi="宋体" w:cs="宋体"/>
                <w:highlight w:val="none"/>
              </w:rPr>
            </w:pPr>
          </w:p>
        </w:tc>
        <w:tc>
          <w:tcPr>
            <w:tcW w:w="1468" w:type="dxa"/>
            <w:vAlign w:val="center"/>
          </w:tcPr>
          <w:p w14:paraId="4674C75E">
            <w:pPr>
              <w:spacing w:line="400" w:lineRule="exact"/>
              <w:jc w:val="center"/>
              <w:rPr>
                <w:rFonts w:ascii="宋体" w:hAnsi="宋体" w:cs="宋体"/>
                <w:highlight w:val="none"/>
              </w:rPr>
            </w:pPr>
          </w:p>
        </w:tc>
        <w:tc>
          <w:tcPr>
            <w:tcW w:w="1485" w:type="dxa"/>
            <w:vAlign w:val="center"/>
          </w:tcPr>
          <w:p w14:paraId="0890A3C0">
            <w:pPr>
              <w:spacing w:line="400" w:lineRule="exact"/>
              <w:jc w:val="center"/>
              <w:rPr>
                <w:rFonts w:ascii="宋体" w:hAnsi="宋体" w:cs="宋体"/>
                <w:highlight w:val="none"/>
              </w:rPr>
            </w:pPr>
          </w:p>
        </w:tc>
        <w:tc>
          <w:tcPr>
            <w:tcW w:w="1577" w:type="dxa"/>
            <w:vAlign w:val="center"/>
          </w:tcPr>
          <w:p w14:paraId="3EA677CB">
            <w:pPr>
              <w:spacing w:line="400" w:lineRule="exact"/>
              <w:jc w:val="center"/>
              <w:rPr>
                <w:rFonts w:ascii="宋体" w:hAnsi="宋体" w:cs="宋体"/>
                <w:highlight w:val="none"/>
              </w:rPr>
            </w:pPr>
          </w:p>
        </w:tc>
        <w:tc>
          <w:tcPr>
            <w:tcW w:w="1163" w:type="dxa"/>
            <w:tcBorders>
              <w:left w:val="single" w:color="auto" w:sz="4" w:space="0"/>
            </w:tcBorders>
            <w:vAlign w:val="center"/>
          </w:tcPr>
          <w:p w14:paraId="2E9C1743">
            <w:pPr>
              <w:spacing w:line="400" w:lineRule="exact"/>
              <w:jc w:val="center"/>
              <w:rPr>
                <w:rFonts w:ascii="宋体" w:hAnsi="宋体" w:cs="宋体"/>
                <w:highlight w:val="none"/>
              </w:rPr>
            </w:pPr>
          </w:p>
        </w:tc>
      </w:tr>
      <w:tr w14:paraId="646B87C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4" w:hRule="atLeast"/>
          <w:jc w:val="center"/>
        </w:trPr>
        <w:tc>
          <w:tcPr>
            <w:tcW w:w="801" w:type="dxa"/>
            <w:vAlign w:val="center"/>
          </w:tcPr>
          <w:p w14:paraId="137476C3">
            <w:pPr>
              <w:spacing w:line="400" w:lineRule="exact"/>
              <w:jc w:val="center"/>
              <w:rPr>
                <w:rFonts w:ascii="宋体" w:hAnsi="宋体" w:cs="宋体"/>
                <w:highlight w:val="none"/>
              </w:rPr>
            </w:pPr>
          </w:p>
        </w:tc>
        <w:tc>
          <w:tcPr>
            <w:tcW w:w="1602" w:type="dxa"/>
            <w:tcBorders>
              <w:right w:val="single" w:color="auto" w:sz="4" w:space="0"/>
            </w:tcBorders>
            <w:vAlign w:val="center"/>
          </w:tcPr>
          <w:p w14:paraId="280E9AF4">
            <w:pPr>
              <w:spacing w:line="400" w:lineRule="exact"/>
              <w:jc w:val="center"/>
              <w:rPr>
                <w:rFonts w:ascii="宋体" w:hAnsi="宋体" w:cs="宋体"/>
                <w:highlight w:val="none"/>
              </w:rPr>
            </w:pPr>
          </w:p>
        </w:tc>
        <w:tc>
          <w:tcPr>
            <w:tcW w:w="1468" w:type="dxa"/>
            <w:tcBorders>
              <w:left w:val="single" w:color="auto" w:sz="4" w:space="0"/>
            </w:tcBorders>
            <w:vAlign w:val="center"/>
          </w:tcPr>
          <w:p w14:paraId="32F27494">
            <w:pPr>
              <w:spacing w:line="400" w:lineRule="exact"/>
              <w:jc w:val="center"/>
              <w:rPr>
                <w:rFonts w:ascii="宋体" w:hAnsi="宋体" w:cs="宋体"/>
                <w:highlight w:val="none"/>
              </w:rPr>
            </w:pPr>
          </w:p>
        </w:tc>
        <w:tc>
          <w:tcPr>
            <w:tcW w:w="1485" w:type="dxa"/>
            <w:vAlign w:val="center"/>
          </w:tcPr>
          <w:p w14:paraId="3F328D24">
            <w:pPr>
              <w:spacing w:line="400" w:lineRule="exact"/>
              <w:jc w:val="center"/>
              <w:rPr>
                <w:rFonts w:ascii="宋体" w:hAnsi="宋体" w:cs="宋体"/>
                <w:highlight w:val="none"/>
              </w:rPr>
            </w:pPr>
          </w:p>
        </w:tc>
        <w:tc>
          <w:tcPr>
            <w:tcW w:w="1577" w:type="dxa"/>
            <w:vAlign w:val="center"/>
          </w:tcPr>
          <w:p w14:paraId="6D5F934B">
            <w:pPr>
              <w:spacing w:line="400" w:lineRule="exact"/>
              <w:jc w:val="center"/>
              <w:rPr>
                <w:rFonts w:ascii="宋体" w:hAnsi="宋体" w:cs="宋体"/>
                <w:highlight w:val="none"/>
              </w:rPr>
            </w:pPr>
          </w:p>
        </w:tc>
        <w:tc>
          <w:tcPr>
            <w:tcW w:w="1163" w:type="dxa"/>
            <w:tcBorders>
              <w:left w:val="single" w:color="auto" w:sz="4" w:space="0"/>
            </w:tcBorders>
            <w:vAlign w:val="center"/>
          </w:tcPr>
          <w:p w14:paraId="098A8B3A">
            <w:pPr>
              <w:spacing w:line="400" w:lineRule="exact"/>
              <w:jc w:val="center"/>
              <w:rPr>
                <w:rFonts w:ascii="宋体" w:hAnsi="宋体" w:cs="宋体"/>
                <w:highlight w:val="none"/>
              </w:rPr>
            </w:pPr>
          </w:p>
        </w:tc>
      </w:tr>
      <w:tr w14:paraId="1E199D9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4" w:hRule="atLeast"/>
          <w:jc w:val="center"/>
        </w:trPr>
        <w:tc>
          <w:tcPr>
            <w:tcW w:w="801" w:type="dxa"/>
            <w:tcBorders>
              <w:right w:val="single" w:color="auto" w:sz="4" w:space="0"/>
            </w:tcBorders>
            <w:vAlign w:val="center"/>
          </w:tcPr>
          <w:p w14:paraId="09372596">
            <w:pPr>
              <w:spacing w:line="400" w:lineRule="exact"/>
              <w:rPr>
                <w:rFonts w:ascii="宋体" w:hAnsi="宋体" w:cs="宋体"/>
                <w:highlight w:val="none"/>
              </w:rPr>
            </w:pPr>
          </w:p>
        </w:tc>
        <w:tc>
          <w:tcPr>
            <w:tcW w:w="1602" w:type="dxa"/>
            <w:tcBorders>
              <w:left w:val="single" w:color="auto" w:sz="4" w:space="0"/>
              <w:right w:val="single" w:color="auto" w:sz="4" w:space="0"/>
            </w:tcBorders>
            <w:vAlign w:val="center"/>
          </w:tcPr>
          <w:p w14:paraId="1ECF8321">
            <w:pPr>
              <w:spacing w:line="400" w:lineRule="exact"/>
              <w:rPr>
                <w:rFonts w:ascii="宋体" w:hAnsi="宋体" w:cs="宋体"/>
                <w:highlight w:val="none"/>
              </w:rPr>
            </w:pPr>
          </w:p>
        </w:tc>
        <w:tc>
          <w:tcPr>
            <w:tcW w:w="1468" w:type="dxa"/>
            <w:tcBorders>
              <w:left w:val="single" w:color="auto" w:sz="4" w:space="0"/>
              <w:right w:val="single" w:color="auto" w:sz="4" w:space="0"/>
            </w:tcBorders>
            <w:vAlign w:val="center"/>
          </w:tcPr>
          <w:p w14:paraId="11B12E0A">
            <w:pPr>
              <w:spacing w:line="400" w:lineRule="exact"/>
              <w:rPr>
                <w:rFonts w:ascii="宋体" w:hAnsi="宋体" w:cs="宋体"/>
                <w:highlight w:val="none"/>
              </w:rPr>
            </w:pPr>
          </w:p>
        </w:tc>
        <w:tc>
          <w:tcPr>
            <w:tcW w:w="1485" w:type="dxa"/>
            <w:tcBorders>
              <w:left w:val="single" w:color="auto" w:sz="4" w:space="0"/>
              <w:right w:val="single" w:color="auto" w:sz="4" w:space="0"/>
            </w:tcBorders>
            <w:vAlign w:val="center"/>
          </w:tcPr>
          <w:p w14:paraId="34D1E171">
            <w:pPr>
              <w:spacing w:line="400" w:lineRule="exact"/>
              <w:rPr>
                <w:rFonts w:ascii="宋体" w:hAnsi="宋体" w:cs="宋体"/>
                <w:highlight w:val="none"/>
              </w:rPr>
            </w:pPr>
          </w:p>
        </w:tc>
        <w:tc>
          <w:tcPr>
            <w:tcW w:w="1577" w:type="dxa"/>
            <w:tcBorders>
              <w:left w:val="single" w:color="auto" w:sz="4" w:space="0"/>
              <w:right w:val="single" w:color="auto" w:sz="4" w:space="0"/>
            </w:tcBorders>
            <w:vAlign w:val="center"/>
          </w:tcPr>
          <w:p w14:paraId="03BC38B3">
            <w:pPr>
              <w:spacing w:line="400" w:lineRule="exact"/>
              <w:rPr>
                <w:rFonts w:ascii="宋体" w:hAnsi="宋体" w:cs="宋体"/>
                <w:highlight w:val="none"/>
              </w:rPr>
            </w:pPr>
          </w:p>
        </w:tc>
        <w:tc>
          <w:tcPr>
            <w:tcW w:w="1163" w:type="dxa"/>
            <w:tcBorders>
              <w:left w:val="single" w:color="auto" w:sz="4" w:space="0"/>
            </w:tcBorders>
            <w:vAlign w:val="center"/>
          </w:tcPr>
          <w:p w14:paraId="784A6CF6">
            <w:pPr>
              <w:spacing w:line="400" w:lineRule="exact"/>
              <w:rPr>
                <w:rFonts w:ascii="宋体" w:hAnsi="宋体" w:cs="宋体"/>
                <w:highlight w:val="none"/>
              </w:rPr>
            </w:pPr>
          </w:p>
        </w:tc>
      </w:tr>
      <w:tr w14:paraId="71C797B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4" w:hRule="atLeast"/>
          <w:jc w:val="center"/>
        </w:trPr>
        <w:tc>
          <w:tcPr>
            <w:tcW w:w="801" w:type="dxa"/>
            <w:vAlign w:val="center"/>
          </w:tcPr>
          <w:p w14:paraId="00A94914">
            <w:pPr>
              <w:spacing w:line="400" w:lineRule="exact"/>
              <w:rPr>
                <w:rFonts w:ascii="宋体" w:hAnsi="宋体" w:cs="宋体"/>
                <w:highlight w:val="none"/>
              </w:rPr>
            </w:pPr>
          </w:p>
        </w:tc>
        <w:tc>
          <w:tcPr>
            <w:tcW w:w="1602" w:type="dxa"/>
            <w:vAlign w:val="center"/>
          </w:tcPr>
          <w:p w14:paraId="1547D4E1">
            <w:pPr>
              <w:spacing w:line="400" w:lineRule="exact"/>
              <w:rPr>
                <w:rFonts w:ascii="宋体" w:hAnsi="宋体" w:cs="宋体"/>
                <w:highlight w:val="none"/>
              </w:rPr>
            </w:pPr>
          </w:p>
        </w:tc>
        <w:tc>
          <w:tcPr>
            <w:tcW w:w="1468" w:type="dxa"/>
            <w:vAlign w:val="center"/>
          </w:tcPr>
          <w:p w14:paraId="3FD1A955">
            <w:pPr>
              <w:spacing w:line="400" w:lineRule="exact"/>
              <w:rPr>
                <w:rFonts w:ascii="宋体" w:hAnsi="宋体" w:cs="宋体"/>
                <w:highlight w:val="none"/>
              </w:rPr>
            </w:pPr>
          </w:p>
        </w:tc>
        <w:tc>
          <w:tcPr>
            <w:tcW w:w="1485" w:type="dxa"/>
            <w:vAlign w:val="center"/>
          </w:tcPr>
          <w:p w14:paraId="43EDD612">
            <w:pPr>
              <w:spacing w:line="400" w:lineRule="exact"/>
              <w:rPr>
                <w:rFonts w:ascii="宋体" w:hAnsi="宋体" w:cs="宋体"/>
                <w:highlight w:val="none"/>
              </w:rPr>
            </w:pPr>
          </w:p>
        </w:tc>
        <w:tc>
          <w:tcPr>
            <w:tcW w:w="1577" w:type="dxa"/>
            <w:tcBorders>
              <w:right w:val="single" w:color="auto" w:sz="4" w:space="0"/>
            </w:tcBorders>
            <w:vAlign w:val="center"/>
          </w:tcPr>
          <w:p w14:paraId="2FF0B0B5">
            <w:pPr>
              <w:spacing w:line="400" w:lineRule="exact"/>
              <w:rPr>
                <w:rFonts w:ascii="宋体" w:hAnsi="宋体" w:cs="宋体"/>
                <w:highlight w:val="none"/>
              </w:rPr>
            </w:pPr>
          </w:p>
        </w:tc>
        <w:tc>
          <w:tcPr>
            <w:tcW w:w="1163" w:type="dxa"/>
            <w:tcBorders>
              <w:left w:val="single" w:color="auto" w:sz="4" w:space="0"/>
            </w:tcBorders>
            <w:vAlign w:val="center"/>
          </w:tcPr>
          <w:p w14:paraId="466B9EBA">
            <w:pPr>
              <w:spacing w:line="400" w:lineRule="exact"/>
              <w:rPr>
                <w:rFonts w:ascii="宋体" w:hAnsi="宋体" w:cs="宋体"/>
                <w:highlight w:val="none"/>
              </w:rPr>
            </w:pPr>
          </w:p>
        </w:tc>
      </w:tr>
      <w:tr w14:paraId="38B2E33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44" w:hRule="atLeast"/>
          <w:jc w:val="center"/>
        </w:trPr>
        <w:tc>
          <w:tcPr>
            <w:tcW w:w="801" w:type="dxa"/>
            <w:tcBorders>
              <w:bottom w:val="single" w:color="auto" w:sz="4" w:space="0"/>
            </w:tcBorders>
            <w:vAlign w:val="center"/>
          </w:tcPr>
          <w:p w14:paraId="2BD27C75">
            <w:pPr>
              <w:spacing w:line="400" w:lineRule="exact"/>
              <w:jc w:val="center"/>
              <w:rPr>
                <w:rFonts w:ascii="宋体" w:hAnsi="宋体" w:cs="宋体"/>
                <w:highlight w:val="none"/>
              </w:rPr>
            </w:pPr>
          </w:p>
        </w:tc>
        <w:tc>
          <w:tcPr>
            <w:tcW w:w="1602" w:type="dxa"/>
            <w:tcBorders>
              <w:bottom w:val="single" w:color="auto" w:sz="4" w:space="0"/>
            </w:tcBorders>
            <w:vAlign w:val="center"/>
          </w:tcPr>
          <w:p w14:paraId="5A168013">
            <w:pPr>
              <w:spacing w:line="400" w:lineRule="exact"/>
              <w:jc w:val="center"/>
              <w:rPr>
                <w:rFonts w:ascii="宋体" w:hAnsi="宋体" w:cs="宋体"/>
                <w:highlight w:val="none"/>
              </w:rPr>
            </w:pPr>
          </w:p>
        </w:tc>
        <w:tc>
          <w:tcPr>
            <w:tcW w:w="1468" w:type="dxa"/>
            <w:tcBorders>
              <w:bottom w:val="single" w:color="auto" w:sz="4" w:space="0"/>
            </w:tcBorders>
            <w:vAlign w:val="center"/>
          </w:tcPr>
          <w:p w14:paraId="069C893F">
            <w:pPr>
              <w:spacing w:line="400" w:lineRule="exact"/>
              <w:jc w:val="center"/>
              <w:rPr>
                <w:rFonts w:ascii="宋体" w:hAnsi="宋体" w:cs="宋体"/>
                <w:highlight w:val="none"/>
              </w:rPr>
            </w:pPr>
          </w:p>
        </w:tc>
        <w:tc>
          <w:tcPr>
            <w:tcW w:w="1485" w:type="dxa"/>
            <w:tcBorders>
              <w:bottom w:val="single" w:color="auto" w:sz="4" w:space="0"/>
            </w:tcBorders>
            <w:vAlign w:val="center"/>
          </w:tcPr>
          <w:p w14:paraId="45349D68">
            <w:pPr>
              <w:spacing w:line="400" w:lineRule="exact"/>
              <w:jc w:val="center"/>
              <w:rPr>
                <w:rFonts w:ascii="宋体" w:hAnsi="宋体" w:cs="宋体"/>
                <w:highlight w:val="none"/>
              </w:rPr>
            </w:pPr>
          </w:p>
        </w:tc>
        <w:tc>
          <w:tcPr>
            <w:tcW w:w="1577" w:type="dxa"/>
            <w:tcBorders>
              <w:bottom w:val="single" w:color="auto" w:sz="4" w:space="0"/>
              <w:right w:val="single" w:color="auto" w:sz="4" w:space="0"/>
            </w:tcBorders>
            <w:vAlign w:val="center"/>
          </w:tcPr>
          <w:p w14:paraId="4B728CED">
            <w:pPr>
              <w:spacing w:line="400" w:lineRule="exact"/>
              <w:jc w:val="center"/>
              <w:rPr>
                <w:rFonts w:ascii="宋体" w:hAnsi="宋体" w:cs="宋体"/>
                <w:highlight w:val="none"/>
              </w:rPr>
            </w:pPr>
          </w:p>
        </w:tc>
        <w:tc>
          <w:tcPr>
            <w:tcW w:w="1163" w:type="dxa"/>
            <w:tcBorders>
              <w:left w:val="single" w:color="auto" w:sz="4" w:space="0"/>
              <w:bottom w:val="single" w:color="auto" w:sz="4" w:space="0"/>
            </w:tcBorders>
            <w:vAlign w:val="center"/>
          </w:tcPr>
          <w:p w14:paraId="3971E7BC">
            <w:pPr>
              <w:spacing w:line="400" w:lineRule="exact"/>
              <w:jc w:val="center"/>
              <w:rPr>
                <w:rFonts w:ascii="宋体" w:hAnsi="宋体" w:cs="宋体"/>
                <w:highlight w:val="none"/>
              </w:rPr>
            </w:pPr>
          </w:p>
        </w:tc>
      </w:tr>
    </w:tbl>
    <w:p w14:paraId="58CE018A">
      <w:pPr>
        <w:rPr>
          <w:rFonts w:ascii="宋体" w:hAnsi="宋体" w:cs="宋体"/>
          <w:highlight w:val="none"/>
        </w:rPr>
      </w:pPr>
    </w:p>
    <w:p w14:paraId="71E1A932">
      <w:pPr>
        <w:spacing w:line="360" w:lineRule="auto"/>
        <w:ind w:left="360"/>
        <w:jc w:val="left"/>
        <w:rPr>
          <w:rFonts w:hint="default" w:ascii="宋体" w:hAnsi="宋体" w:eastAsia="宋体" w:cs="宋体"/>
          <w:sz w:val="24"/>
          <w:szCs w:val="24"/>
          <w:highlight w:val="none"/>
          <w:lang w:val="en-US" w:eastAsia="zh-CN"/>
        </w:rPr>
      </w:pPr>
      <w:r>
        <w:rPr>
          <w:rFonts w:hint="eastAsia" w:ascii="Times New Roman" w:hAnsi="宋体" w:eastAsia="微软雅黑" w:cs="宋体"/>
          <w:kern w:val="2"/>
          <w:sz w:val="24"/>
          <w:szCs w:val="24"/>
          <w:highlight w:val="none"/>
          <w:lang w:val="en-US" w:eastAsia="zh-CN" w:bidi="ar-SA"/>
        </w:rPr>
        <w:t>The following documents are required as proof materials specified in the tender documents:</w:t>
      </w:r>
    </w:p>
    <w:p w14:paraId="65753672">
      <w:pPr>
        <w:adjustRightInd w:val="0"/>
        <w:snapToGrid w:val="0"/>
        <w:spacing w:line="480" w:lineRule="auto"/>
        <w:jc w:val="left"/>
        <w:rPr>
          <w:rFonts w:ascii="宋体" w:hAnsi="宋体" w:cs="宋体"/>
          <w:sz w:val="24"/>
          <w:szCs w:val="24"/>
          <w:highlight w:val="none"/>
        </w:rPr>
      </w:pPr>
    </w:p>
    <w:p w14:paraId="2B598800">
      <w:pPr>
        <w:adjustRightInd w:val="0"/>
        <w:snapToGrid w:val="0"/>
        <w:spacing w:line="480" w:lineRule="auto"/>
        <w:rPr>
          <w:rFonts w:ascii="宋体" w:hAnsi="宋体" w:cs="宋体"/>
          <w:sz w:val="24"/>
          <w:szCs w:val="24"/>
          <w:highlight w:val="none"/>
        </w:rPr>
      </w:pPr>
    </w:p>
    <w:p w14:paraId="537CBBBD">
      <w:pPr>
        <w:rPr>
          <w:rFonts w:hint="eastAsia" w:ascii="宋体" w:hAnsi="宋体" w:eastAsia="宋体" w:cs="宋体"/>
          <w:b/>
          <w:kern w:val="2"/>
          <w:sz w:val="36"/>
          <w:szCs w:val="36"/>
          <w:highlight w:val="none"/>
          <w:lang w:val="en-US" w:eastAsia="zh-CN" w:bidi="ar-SA"/>
        </w:rPr>
      </w:pPr>
      <w:r>
        <w:rPr>
          <w:rFonts w:hint="eastAsia" w:ascii="宋体" w:hAnsi="宋体" w:eastAsia="宋体" w:cs="宋体"/>
          <w:b/>
          <w:kern w:val="2"/>
          <w:sz w:val="36"/>
          <w:szCs w:val="36"/>
          <w:highlight w:val="none"/>
          <w:lang w:val="en-US" w:eastAsia="zh-CN" w:bidi="ar-SA"/>
        </w:rPr>
        <w:br w:type="page"/>
      </w:r>
    </w:p>
    <w:p w14:paraId="6A76FDD6">
      <w:pPr>
        <w:pStyle w:val="3"/>
        <w:jc w:val="center"/>
        <w:rPr>
          <w:rFonts w:hint="eastAsia" w:ascii="宋体" w:hAnsi="宋体" w:eastAsia="宋体" w:cs="宋体"/>
          <w:sz w:val="36"/>
          <w:szCs w:val="36"/>
          <w:highlight w:val="none"/>
          <w:lang w:eastAsia="zh-CN"/>
        </w:rPr>
      </w:pPr>
      <w:bookmarkStart w:id="307" w:name="_Toc19279"/>
      <w:bookmarkStart w:id="308" w:name="_Toc14875"/>
      <w:r>
        <w:rPr>
          <w:rFonts w:hint="eastAsia" w:ascii="Times New Roman" w:hAnsi="宋体" w:eastAsia="微软雅黑" w:cs="宋体"/>
          <w:b/>
          <w:kern w:val="2"/>
          <w:sz w:val="36"/>
          <w:szCs w:val="36"/>
          <w:highlight w:val="none"/>
          <w:lang w:val="en-US" w:eastAsia="zh-CN" w:bidi="ar-SA"/>
        </w:rPr>
        <w:t>Part</w:t>
      </w:r>
      <w:bookmarkStart w:id="309" w:name="_Toc31275"/>
      <w:r>
        <w:rPr>
          <w:rFonts w:hint="eastAsia" w:ascii="Times New Roman" w:hAnsi="宋体" w:eastAsia="微软雅黑" w:cs="宋体"/>
          <w:b/>
          <w:kern w:val="2"/>
          <w:sz w:val="36"/>
          <w:szCs w:val="36"/>
          <w:highlight w:val="none"/>
          <w:lang w:val="en-US" w:eastAsia="zh-CN" w:bidi="ar-SA"/>
        </w:rPr>
        <w:t xml:space="preserve"> </w:t>
      </w:r>
      <w:bookmarkStart w:id="310" w:name="_Toc7794"/>
      <w:bookmarkStart w:id="311" w:name="_Toc22353"/>
      <w:r>
        <w:rPr>
          <w:rFonts w:hint="eastAsia" w:ascii="Times New Roman" w:hAnsi="宋体" w:eastAsia="微软雅黑" w:cs="宋体"/>
          <w:b/>
          <w:kern w:val="2"/>
          <w:sz w:val="36"/>
          <w:szCs w:val="36"/>
          <w:highlight w:val="none"/>
          <w:lang w:val="en-US" w:eastAsia="zh-CN" w:bidi="ar-SA"/>
        </w:rPr>
        <w:t>Ten: Other Issu</w:t>
      </w:r>
      <w:bookmarkEnd w:id="309"/>
      <w:bookmarkEnd w:id="310"/>
      <w:bookmarkEnd w:id="311"/>
      <w:r>
        <w:rPr>
          <w:rFonts w:hint="eastAsia" w:ascii="Times New Roman" w:hAnsi="宋体" w:eastAsia="微软雅黑" w:cs="宋体"/>
          <w:b/>
          <w:kern w:val="2"/>
          <w:sz w:val="36"/>
          <w:szCs w:val="36"/>
          <w:highlight w:val="none"/>
          <w:lang w:val="en-US" w:eastAsia="zh-CN" w:bidi="ar-SA"/>
        </w:rPr>
        <w:t>es That the Supplier Deems Necessary to State</w:t>
      </w:r>
      <w:bookmarkEnd w:id="307"/>
      <w:bookmarkEnd w:id="308"/>
    </w:p>
    <w:p w14:paraId="20F920EF">
      <w:pPr>
        <w:pStyle w:val="99"/>
        <w:spacing w:line="360" w:lineRule="auto"/>
        <w:rPr>
          <w:rFonts w:hint="default" w:ascii="仿宋" w:hAnsi="仿宋" w:eastAsia="仿宋" w:cs="仿宋"/>
          <w:sz w:val="24"/>
          <w:szCs w:val="24"/>
          <w:highlight w:val="none"/>
          <w:lang w:val="en-US" w:eastAsia="zh-CN"/>
        </w:rPr>
      </w:pPr>
      <w:r>
        <w:rPr>
          <w:rFonts w:hint="eastAsia" w:ascii="Times New Roman" w:hAnsi="仿宋" w:eastAsia="微软雅黑" w:cs="仿宋"/>
          <w:sz w:val="24"/>
          <w:szCs w:val="24"/>
          <w:highlight w:val="none"/>
          <w:lang w:val="en-US" w:eastAsia="zh-CN"/>
        </w:rPr>
        <w:t>1. Energy-saving and environmental protection measures are implemented.</w:t>
      </w:r>
    </w:p>
    <w:p w14:paraId="030E2B86">
      <w:pPr>
        <w:rPr>
          <w:highlight w:val="none"/>
        </w:rPr>
      </w:pPr>
    </w:p>
    <w:p w14:paraId="020B27EE">
      <w:pPr>
        <w:rPr>
          <w:highlight w:val="none"/>
        </w:rPr>
      </w:pPr>
    </w:p>
    <w:p w14:paraId="73215F74">
      <w:pPr>
        <w:pStyle w:val="11"/>
        <w:rPr>
          <w:color w:val="auto"/>
          <w:highlight w:val="none"/>
        </w:rPr>
        <w:sectPr>
          <w:pgSz w:w="11906" w:h="16838"/>
          <w:pgMar w:top="1440" w:right="1803" w:bottom="1440" w:left="1803" w:header="851" w:footer="992" w:gutter="0"/>
          <w:pgNumType w:fmt="decimal"/>
          <w:cols w:space="720" w:num="1"/>
          <w:docGrid w:type="lines" w:linePitch="319" w:charSpace="0"/>
        </w:sectPr>
      </w:pPr>
    </w:p>
    <w:p w14:paraId="224F90F3">
      <w:pPr>
        <w:pStyle w:val="4"/>
        <w:adjustRightInd w:val="0"/>
        <w:spacing w:line="416" w:lineRule="atLeast"/>
        <w:textAlignment w:val="baseline"/>
        <w:rPr>
          <w:rFonts w:hint="eastAsia" w:ascii="宋体" w:hAnsi="宋体" w:eastAsia="宋体" w:cs="宋体"/>
          <w:highlight w:val="none"/>
          <w:lang w:eastAsia="zh-CN"/>
        </w:rPr>
      </w:pPr>
      <w:bookmarkStart w:id="312" w:name="_Toc1641"/>
      <w:bookmarkStart w:id="313" w:name="_Toc20088"/>
      <w:bookmarkStart w:id="314" w:name="_Toc30485"/>
      <w:bookmarkStart w:id="315" w:name="_Toc3008"/>
      <w:bookmarkStart w:id="316" w:name="_Toc18633"/>
      <w:bookmarkStart w:id="317" w:name="_Toc8177"/>
      <w:bookmarkStart w:id="318" w:name="_Toc20374"/>
      <w:bookmarkStart w:id="319" w:name="_Toc11632"/>
      <w:bookmarkStart w:id="320" w:name="_Toc2630"/>
      <w:bookmarkStart w:id="321" w:name="_Toc27136"/>
      <w:bookmarkStart w:id="322" w:name="_Toc10934"/>
      <w:bookmarkStart w:id="323" w:name="_Toc30536"/>
      <w:bookmarkStart w:id="324" w:name="_Toc30870"/>
      <w:bookmarkStart w:id="325" w:name="_Toc15467"/>
      <w:r>
        <w:rPr>
          <w:rFonts w:hint="eastAsia" w:ascii="Times New Roman" w:hAnsi="宋体" w:eastAsia="微软雅黑" w:cs="宋体"/>
          <w:b/>
          <w:kern w:val="2"/>
          <w:sz w:val="28"/>
          <w:szCs w:val="22"/>
          <w:highlight w:val="none"/>
          <w:lang w:val="en-US" w:eastAsia="zh-CN" w:bidi="ar-SA"/>
        </w:rPr>
        <w:t>Appendix 1</w:t>
      </w:r>
      <w:bookmarkEnd w:id="312"/>
      <w:bookmarkEnd w:id="313"/>
      <w:bookmarkEnd w:id="314"/>
      <w:bookmarkEnd w:id="315"/>
      <w:bookmarkEnd w:id="316"/>
      <w:bookmarkEnd w:id="317"/>
      <w:bookmarkEnd w:id="318"/>
      <w:bookmarkEnd w:id="319"/>
      <w:bookmarkEnd w:id="320"/>
      <w:r>
        <w:rPr>
          <w:rFonts w:hint="eastAsia" w:ascii="Times New Roman" w:hAnsi="宋体" w:eastAsia="微软雅黑" w:cs="宋体"/>
          <w:b/>
          <w:kern w:val="2"/>
          <w:sz w:val="28"/>
          <w:szCs w:val="22"/>
          <w:highlight w:val="none"/>
          <w:lang w:val="en-US" w:eastAsia="zh-CN" w:bidi="ar-SA"/>
        </w:rPr>
        <w:t>: Declaration by Small and Medium-sized Enterprises (For Goods)</w:t>
      </w:r>
      <w:bookmarkEnd w:id="321"/>
      <w:bookmarkEnd w:id="322"/>
      <w:bookmarkEnd w:id="323"/>
      <w:bookmarkEnd w:id="324"/>
      <w:bookmarkEnd w:id="325"/>
    </w:p>
    <w:p w14:paraId="578EE20C">
      <w:pPr>
        <w:spacing w:line="360" w:lineRule="auto"/>
        <w:ind w:right="140" w:firstLine="641"/>
        <w:rPr>
          <w:rFonts w:hint="eastAsia" w:ascii="宋体" w:hAnsi="宋体" w:eastAsia="宋体" w:cs="宋体"/>
          <w:sz w:val="24"/>
          <w:szCs w:val="24"/>
          <w:highlight w:val="none"/>
          <w:lang w:eastAsia="zh-CN"/>
        </w:rPr>
      </w:pPr>
      <w:bookmarkStart w:id="326" w:name="_Toc11896"/>
      <w:bookmarkStart w:id="327" w:name="_Toc5814"/>
      <w:bookmarkStart w:id="328" w:name="_Toc10807"/>
      <w:bookmarkStart w:id="329" w:name="_Toc32438"/>
      <w:bookmarkStart w:id="330" w:name="_Toc12531"/>
      <w:bookmarkStart w:id="331" w:name="_Toc21117"/>
      <w:bookmarkStart w:id="332" w:name="_Toc6022"/>
      <w:r>
        <w:rPr>
          <w:rFonts w:hint="eastAsia" w:ascii="Times New Roman" w:hAnsi="宋体" w:eastAsia="微软雅黑" w:cs="宋体"/>
          <w:kern w:val="2"/>
          <w:sz w:val="24"/>
          <w:szCs w:val="24"/>
          <w:highlight w:val="none"/>
          <w:lang w:val="en-US" w:eastAsia="zh-CN" w:bidi="ar-SA"/>
        </w:rPr>
        <w:t>Our company (the consortium) hereby solemnly declares that, in accordance with the provisions of the "Measures for Promoting the Development of Small and Medium-sized Enterprises through Government Procurement" (Cai Ku [2020] No.46), all goods supplied by our company (the consortium) participating in the procurement activity for the project titled [Project Name] organized by [Company Name] were manufactured by small and medium-sized enterprises meeting the policy requirements. The specific details of the relevant enterprises (including small and medium-sized enterprises within the consortium and those having signed subcontract intention agreements) are as follows:</w:t>
      </w:r>
      <w:bookmarkEnd w:id="326"/>
      <w:bookmarkEnd w:id="327"/>
      <w:bookmarkEnd w:id="328"/>
      <w:bookmarkEnd w:id="329"/>
      <w:bookmarkEnd w:id="330"/>
      <w:bookmarkEnd w:id="331"/>
      <w:bookmarkEnd w:id="332"/>
    </w:p>
    <w:p w14:paraId="14AA9D8F">
      <w:pPr>
        <w:pStyle w:val="11"/>
        <w:numPr>
          <w:ilvl w:val="0"/>
          <w:numId w:val="11"/>
        </w:numPr>
        <w:spacing w:line="360" w:lineRule="auto"/>
        <w:ind w:left="0" w:leftChars="0" w:firstLine="0" w:firstLineChars="0"/>
        <w:rPr>
          <w:rFonts w:ascii="宋体" w:hAnsi="宋体" w:cs="宋体"/>
          <w:color w:val="auto"/>
          <w:w w:val="97"/>
          <w:highlight w:val="none"/>
        </w:rPr>
      </w:pPr>
      <w:r>
        <w:rPr>
          <w:rFonts w:hint="eastAsia" w:ascii="Times New Roman" w:hAnsi="宋体" w:eastAsia="微软雅黑" w:cs="宋体"/>
          <w:color w:val="auto"/>
          <w:w w:val="97"/>
          <w:kern w:val="0"/>
          <w:sz w:val="24"/>
          <w:szCs w:val="24"/>
          <w:highlight w:val="none"/>
          <w:u w:val="single"/>
          <w:lang w:val="en-US" w:eastAsia="zh-CN" w:bidi="ar-SA"/>
        </w:rPr>
        <w:t xml:space="preserve">(Subject Name), belonging to the industry specified in the procurement documents                (Subject Name), belonging to the industry specified in the procurement documents            </w:t>
      </w:r>
    </w:p>
    <w:p w14:paraId="593E74C1">
      <w:pPr>
        <w:spacing w:line="360" w:lineRule="auto"/>
        <w:rPr>
          <w:rFonts w:hint="eastAsia" w:ascii="宋体" w:hAnsi="宋体" w:eastAsia="宋体" w:cs="宋体"/>
          <w:w w:val="97"/>
          <w:sz w:val="24"/>
          <w:szCs w:val="24"/>
          <w:highlight w:val="none"/>
          <w:u w:val="single"/>
          <w:lang w:eastAsia="zh-CN"/>
        </w:rPr>
      </w:pPr>
      <w:r>
        <w:rPr>
          <w:rFonts w:hint="eastAsia" w:ascii="Times New Roman" w:hAnsi="宋体" w:eastAsia="微软雅黑" w:cs="宋体"/>
          <w:w w:val="97"/>
          <w:kern w:val="2"/>
          <w:sz w:val="24"/>
          <w:szCs w:val="24"/>
          <w:highlight w:val="none"/>
          <w:u w:val="single"/>
          <w:lang w:val="en-US" w:eastAsia="zh-CN" w:bidi="ar-SA"/>
        </w:rPr>
        <w:t>Industry: Manufacturer: (Company Name); Number of employees: [number]; Annual revenue: [amount] million yuan; Total assets: [amount] million yuan¹; Category: (Medium-sized enterprise, Small enterprise, Micro-enterprise).</w:t>
      </w:r>
    </w:p>
    <w:p w14:paraId="47E05404">
      <w:pPr>
        <w:pStyle w:val="11"/>
        <w:numPr>
          <w:ilvl w:val="0"/>
          <w:numId w:val="11"/>
        </w:numPr>
        <w:spacing w:line="360" w:lineRule="auto"/>
        <w:ind w:left="0" w:leftChars="0" w:firstLine="0" w:firstLineChars="0"/>
        <w:rPr>
          <w:rFonts w:ascii="宋体" w:hAnsi="宋体" w:cs="宋体"/>
          <w:color w:val="auto"/>
          <w:w w:val="97"/>
          <w:highlight w:val="none"/>
        </w:rPr>
      </w:pPr>
      <w:r>
        <w:rPr>
          <w:rFonts w:hint="eastAsia" w:ascii="Times New Roman" w:hAnsi="宋体" w:eastAsia="微软雅黑" w:cs="宋体"/>
          <w:color w:val="auto"/>
          <w:w w:val="97"/>
          <w:kern w:val="0"/>
          <w:sz w:val="24"/>
          <w:szCs w:val="24"/>
          <w:highlight w:val="none"/>
          <w:u w:val="single"/>
          <w:lang w:val="en-US" w:eastAsia="zh-CN" w:bidi="ar-SA"/>
        </w:rPr>
        <w:t xml:space="preserve">(Subject Name), belonging to the industry specified in the procurement documents                (Subject Name), belonging to the industry specified in the procurement documents            </w:t>
      </w:r>
    </w:p>
    <w:p w14:paraId="3BB58904">
      <w:pPr>
        <w:spacing w:line="360" w:lineRule="auto"/>
        <w:rPr>
          <w:rFonts w:hint="eastAsia" w:ascii="宋体" w:hAnsi="宋体" w:eastAsia="宋体" w:cs="宋体"/>
          <w:w w:val="97"/>
          <w:sz w:val="24"/>
          <w:szCs w:val="24"/>
          <w:highlight w:val="none"/>
          <w:u w:val="single"/>
          <w:lang w:eastAsia="zh-CN"/>
        </w:rPr>
      </w:pPr>
      <w:r>
        <w:rPr>
          <w:rFonts w:hint="eastAsia" w:ascii="Times New Roman" w:hAnsi="宋体" w:eastAsia="微软雅黑" w:cs="宋体"/>
          <w:w w:val="97"/>
          <w:kern w:val="2"/>
          <w:sz w:val="24"/>
          <w:szCs w:val="24"/>
          <w:highlight w:val="none"/>
          <w:u w:val="single"/>
          <w:lang w:val="en-US" w:eastAsia="zh-CN" w:bidi="ar-SA"/>
        </w:rPr>
        <w:t>Industry: Manufacturer: (Company Name); Number of employees: [number]; Annual revenue: [amount] million yuan; Total assets: [amount] million yuan¹; Category: (Medium-sized enterprise, Small enterprise, Micro-enterprise).</w:t>
      </w:r>
    </w:p>
    <w:p w14:paraId="2A64F0A0">
      <w:pPr>
        <w:spacing w:line="360" w:lineRule="auto"/>
        <w:ind w:left="64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w:t>
      </w:r>
    </w:p>
    <w:p w14:paraId="7E1AEB25">
      <w:pPr>
        <w:spacing w:line="360" w:lineRule="auto"/>
        <w:ind w:right="160" w:firstLine="646"/>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The aforementioned enterprises are not branches of large corporations; there is no situation where their controlling shareholders are large corporations, nor is there any case where their responsible persons coincide with those of large corporations.</w:t>
      </w:r>
    </w:p>
    <w:p w14:paraId="6A2AD7BA">
      <w:pPr>
        <w:spacing w:line="360" w:lineRule="auto"/>
        <w:rPr>
          <w:rFonts w:ascii="宋体" w:hAnsi="宋体" w:cs="宋体"/>
          <w:sz w:val="24"/>
          <w:szCs w:val="24"/>
          <w:highlight w:val="none"/>
        </w:rPr>
      </w:pPr>
    </w:p>
    <w:p w14:paraId="7384340F">
      <w:pPr>
        <w:spacing w:line="360" w:lineRule="auto"/>
        <w:ind w:right="160" w:firstLine="646"/>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Our company is responsible for the authenticity of the above statement. If any information is false, we will bear corresponding legal liability.</w:t>
      </w:r>
    </w:p>
    <w:p w14:paraId="772ED64D">
      <w:pPr>
        <w:spacing w:line="360" w:lineRule="auto"/>
        <w:rPr>
          <w:rFonts w:ascii="宋体" w:hAnsi="宋体" w:cs="宋体"/>
          <w:sz w:val="24"/>
          <w:szCs w:val="24"/>
          <w:highlight w:val="none"/>
        </w:rPr>
      </w:pPr>
    </w:p>
    <w:p w14:paraId="39FD7D89">
      <w:pPr>
        <w:spacing w:line="360" w:lineRule="auto"/>
        <w:ind w:left="3840" w:right="19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Company Name (Seal):</w:t>
      </w:r>
    </w:p>
    <w:p w14:paraId="6C8153EC">
      <w:pPr>
        <w:spacing w:line="360" w:lineRule="auto"/>
        <w:ind w:left="3840" w:right="19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date ：</w:t>
      </w:r>
    </w:p>
    <w:p w14:paraId="4F780458">
      <w:pPr>
        <w:rPr>
          <w:rFonts w:hint="eastAsia" w:ascii="宋体" w:hAnsi="宋体" w:eastAsia="仿宋"/>
          <w:sz w:val="18"/>
          <w:highlight w:val="none"/>
          <w:lang w:eastAsia="zh-CN"/>
        </w:rPr>
      </w:pPr>
      <w:r>
        <w:rPr>
          <w:rFonts w:ascii="Times New Roman" w:hAnsi="仿宋" w:eastAsia="微软雅黑"/>
          <w:sz w:val="32"/>
          <w:highlight w:val="none"/>
        </w:rPr>
        <w:drawing>
          <wp:anchor distT="0" distB="0" distL="114300" distR="114300" simplePos="0" relativeHeight="251663360" behindDoc="1" locked="0" layoutInCell="0" allowOverlap="1">
            <wp:simplePos x="0" y="0"/>
            <wp:positionH relativeFrom="column">
              <wp:posOffset>0</wp:posOffset>
            </wp:positionH>
            <wp:positionV relativeFrom="paragraph">
              <wp:posOffset>224790</wp:posOffset>
            </wp:positionV>
            <wp:extent cx="1828800" cy="12700"/>
            <wp:effectExtent l="0" t="0" r="0" b="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27"/>
                    <a:stretch>
                      <a:fillRect/>
                    </a:stretch>
                  </pic:blipFill>
                  <pic:spPr>
                    <a:xfrm>
                      <a:off x="0" y="0"/>
                      <a:ext cx="1828800" cy="12700"/>
                    </a:xfrm>
                    <a:prstGeom prst="rect">
                      <a:avLst/>
                    </a:prstGeom>
                    <a:noFill/>
                    <a:ln>
                      <a:noFill/>
                    </a:ln>
                  </pic:spPr>
                </pic:pic>
              </a:graphicData>
            </a:graphic>
          </wp:anchor>
        </w:drawing>
      </w:r>
      <w:r>
        <w:rPr>
          <w:rFonts w:hint="eastAsia" w:ascii="Times New Roman" w:hAnsi="宋体" w:eastAsia="微软雅黑" w:cs="Times New Roman"/>
          <w:kern w:val="2"/>
          <w:sz w:val="18"/>
          <w:szCs w:val="22"/>
          <w:highlight w:val="none"/>
          <w:lang w:val="en-US" w:eastAsia="zh-CN" w:bidi="ar-SA"/>
        </w:rPr>
        <w:t>1. The fields for employees, operating revenue, and total assets should be filled with data from the previous year; newly established enterprises without such data may omit these entries.</w:t>
      </w:r>
    </w:p>
    <w:p w14:paraId="4F01A6D2">
      <w:pPr>
        <w:pStyle w:val="3"/>
        <w:keepNext w:val="0"/>
        <w:keepLines w:val="0"/>
        <w:widowControl/>
        <w:shd w:val="clear" w:color="auto" w:fill="FFFFFF"/>
        <w:spacing w:before="450" w:after="300" w:line="540" w:lineRule="atLeast"/>
        <w:jc w:val="both"/>
        <w:textAlignment w:val="baseline"/>
        <w:rPr>
          <w:rFonts w:ascii="微软雅黑" w:hAnsi="微软雅黑" w:eastAsia="微软雅黑" w:cs="微软雅黑"/>
          <w:color w:val="383940"/>
          <w:sz w:val="39"/>
          <w:szCs w:val="39"/>
          <w:highlight w:val="none"/>
          <w:shd w:val="clear" w:color="auto" w:fill="FFFFFF"/>
        </w:rPr>
        <w:sectPr>
          <w:footerReference r:id="rId20" w:type="default"/>
          <w:pgSz w:w="11906" w:h="16838"/>
          <w:pgMar w:top="1440" w:right="1803" w:bottom="1440" w:left="1803" w:header="851" w:footer="992" w:gutter="0"/>
          <w:pgNumType w:fmt="decimal"/>
          <w:cols w:space="720" w:num="1"/>
          <w:docGrid w:type="lines" w:linePitch="319" w:charSpace="0"/>
        </w:sectPr>
      </w:pPr>
    </w:p>
    <w:p w14:paraId="49A4429F">
      <w:pPr>
        <w:keepNext w:val="0"/>
        <w:keepLines w:val="0"/>
        <w:widowControl/>
        <w:shd w:val="clear" w:color="auto" w:fill="FFFFFF"/>
        <w:spacing w:before="450" w:after="300" w:line="540" w:lineRule="atLeast"/>
        <w:jc w:val="center"/>
        <w:textAlignment w:val="baseline"/>
        <w:outlineLvl w:val="9"/>
        <w:rPr>
          <w:rFonts w:hint="eastAsia" w:ascii="微软雅黑" w:hAnsi="微软雅黑" w:eastAsia="微软雅黑" w:cs="微软雅黑"/>
          <w:color w:val="383940"/>
          <w:sz w:val="39"/>
          <w:szCs w:val="39"/>
          <w:highlight w:val="none"/>
          <w:lang w:eastAsia="zh-CN"/>
        </w:rPr>
      </w:pPr>
      <w:bookmarkStart w:id="333" w:name="_Toc1971"/>
      <w:bookmarkStart w:id="334" w:name="_Toc23305"/>
      <w:bookmarkStart w:id="335" w:name="_Toc7189"/>
      <w:bookmarkStart w:id="336" w:name="_Toc29052"/>
      <w:r>
        <w:rPr>
          <w:rFonts w:hint="eastAsia" w:ascii="Times New Roman" w:hAnsi="微软雅黑" w:eastAsia="微软雅黑" w:cs="微软雅黑"/>
          <w:color w:val="383940"/>
          <w:kern w:val="2"/>
          <w:sz w:val="39"/>
          <w:szCs w:val="39"/>
          <w:highlight w:val="none"/>
          <w:shd w:val="clear" w:color="auto" w:fill="FFFFFF"/>
          <w:lang w:val="en-US" w:eastAsia="zh-CN" w:bidi="ar-SA"/>
        </w:rPr>
        <w:t>Notice on the Issuance of Regulations Regarding the Classification Standards for Small and Medium-sized Enterprises</w:t>
      </w:r>
      <w:bookmarkEnd w:id="333"/>
      <w:bookmarkEnd w:id="334"/>
      <w:bookmarkEnd w:id="335"/>
      <w:bookmarkEnd w:id="336"/>
    </w:p>
    <w:p w14:paraId="1D92F37E">
      <w:pPr>
        <w:pStyle w:val="25"/>
        <w:shd w:val="clear" w:color="auto" w:fill="FFFFFF"/>
        <w:rPr>
          <w:rFonts w:hint="eastAsia" w:eastAsia="宋体"/>
          <w:color w:val="000000"/>
          <w:highlight w:val="none"/>
          <w:shd w:val="clear" w:color="auto" w:fill="FFFFFF"/>
          <w:lang w:eastAsia="zh-CN"/>
        </w:rPr>
      </w:pPr>
      <w:r>
        <w:rPr>
          <w:rFonts w:hint="eastAsia" w:ascii="Times New Roman" w:hAnsi="宋体" w:eastAsia="微软雅黑" w:cs="宋体"/>
          <w:color w:val="000000"/>
          <w:kern w:val="0"/>
          <w:sz w:val="24"/>
          <w:szCs w:val="24"/>
          <w:highlight w:val="none"/>
          <w:shd w:val="clear" w:color="auto" w:fill="FFFFFF"/>
          <w:lang w:val="en-US" w:eastAsia="zh-CN" w:bidi="ar-SA"/>
        </w:rPr>
        <w:t>To the people's governments of all provinces, autonomous regions, and municipalities directly under the central government; to all ministries, commissions, directly affiliated institutions, and relevant units of the State Council:</w:t>
      </w:r>
    </w:p>
    <w:p w14:paraId="77BAF6E9">
      <w:pPr>
        <w:pStyle w:val="25"/>
        <w:shd w:val="clear" w:color="auto" w:fill="FFFFFF"/>
        <w:rPr>
          <w:rFonts w:hint="eastAsia" w:eastAsia="宋体"/>
          <w:color w:val="000000"/>
          <w:highlight w:val="none"/>
          <w:shd w:val="clear" w:color="auto" w:fill="FFFFFF"/>
          <w:lang w:eastAsia="zh-CN"/>
        </w:rPr>
      </w:pPr>
      <w:r>
        <w:rPr>
          <w:rFonts w:hint="eastAsia" w:ascii="Times New Roman" w:hAnsi="宋体" w:eastAsia="微软雅黑" w:cs="宋体"/>
          <w:color w:val="000000"/>
          <w:kern w:val="0"/>
          <w:sz w:val="24"/>
          <w:szCs w:val="24"/>
          <w:highlight w:val="none"/>
          <w:shd w:val="clear" w:color="auto" w:fill="FFFFFF"/>
          <w:lang w:val="en-US" w:eastAsia="zh-CN" w:bidi="ar-SA"/>
        </w:rPr>
        <w:t>To implement the Law of the People's Republic of China on Promoting Small and Medium-sized Enterprises and the State Council's Several Opinions on Further Promoting the Development of Small and Medium-sized Enterprises (Guo Fa [2009] No.36), the Ministry of Industry and Information Technology, the National Bureau of Statistics, the National Development and Reform Commission, and the Ministry of Finance have jointly formulated the Provisions on Classification Standards for Small and Medium-sized Enterprises. With the approval of the State Council, these provisions are hereby issued for your compliance and implementation.</w:t>
      </w:r>
    </w:p>
    <w:p w14:paraId="1EA33DF4">
      <w:pPr>
        <w:pStyle w:val="25"/>
        <w:shd w:val="clear" w:color="auto" w:fill="FFFFFF"/>
        <w:rPr>
          <w:rFonts w:hint="eastAsia" w:eastAsia="宋体"/>
          <w:color w:val="000000"/>
          <w:highlight w:val="none"/>
          <w:shd w:val="clear" w:color="auto" w:fill="FFFFFF"/>
          <w:lang w:eastAsia="zh-CN"/>
        </w:rPr>
      </w:pPr>
      <w:r>
        <w:rPr>
          <w:rFonts w:hint="eastAsia" w:ascii="Times New Roman" w:hAnsi="宋体" w:eastAsia="微软雅黑" w:cs="宋体"/>
          <w:color w:val="000000"/>
          <w:kern w:val="0"/>
          <w:sz w:val="24"/>
          <w:szCs w:val="24"/>
          <w:highlight w:val="none"/>
          <w:shd w:val="clear" w:color="auto" w:fill="FFFFFF"/>
          <w:lang w:val="en-US" w:eastAsia="zh-CN" w:bidi="ar-SA"/>
        </w:rPr>
        <w:t>Ministry of Industry and Information Technology; National Bureau of Statistics</w:t>
      </w:r>
    </w:p>
    <w:p w14:paraId="13428D76">
      <w:pPr>
        <w:pStyle w:val="25"/>
        <w:shd w:val="clear" w:color="auto" w:fill="FFFFFF"/>
        <w:rPr>
          <w:rFonts w:hint="eastAsia" w:eastAsia="宋体"/>
          <w:color w:val="000000"/>
          <w:highlight w:val="none"/>
          <w:shd w:val="clear" w:color="auto" w:fill="FFFFFF"/>
          <w:lang w:eastAsia="zh-CN"/>
        </w:rPr>
      </w:pPr>
      <w:r>
        <w:rPr>
          <w:rFonts w:hint="eastAsia" w:ascii="Times New Roman" w:hAnsi="宋体" w:eastAsia="微软雅黑" w:cs="宋体"/>
          <w:color w:val="000000"/>
          <w:kern w:val="0"/>
          <w:sz w:val="24"/>
          <w:szCs w:val="24"/>
          <w:highlight w:val="none"/>
          <w:shd w:val="clear" w:color="auto" w:fill="FFFFFF"/>
          <w:lang w:val="en-US" w:eastAsia="zh-CN" w:bidi="ar-SA"/>
        </w:rPr>
        <w:t>National Development and Reform Commission, Ministry of Finance</w:t>
      </w:r>
    </w:p>
    <w:p w14:paraId="392FA891">
      <w:pPr>
        <w:pStyle w:val="25"/>
        <w:shd w:val="clear" w:color="auto" w:fill="FFFFFF"/>
        <w:rPr>
          <w:rFonts w:hint="eastAsia" w:eastAsia="宋体"/>
          <w:color w:val="000000"/>
          <w:highlight w:val="none"/>
          <w:lang w:eastAsia="zh-CN"/>
        </w:rPr>
      </w:pPr>
      <w:r>
        <w:rPr>
          <w:rFonts w:hint="eastAsia" w:ascii="Times New Roman" w:hAnsi="宋体" w:eastAsia="微软雅黑" w:cs="宋体"/>
          <w:color w:val="000000"/>
          <w:kern w:val="0"/>
          <w:sz w:val="24"/>
          <w:szCs w:val="24"/>
          <w:highlight w:val="none"/>
          <w:shd w:val="clear" w:color="auto" w:fill="FFFFFF"/>
          <w:lang w:val="en-US" w:eastAsia="zh-CN" w:bidi="ar-SA"/>
        </w:rPr>
        <w:t>June 18,2011</w:t>
      </w:r>
    </w:p>
    <w:p w14:paraId="4A619A04">
      <w:pPr>
        <w:pStyle w:val="25"/>
        <w:shd w:val="clear" w:color="auto" w:fill="FFFFFF"/>
        <w:rPr>
          <w:rFonts w:hint="eastAsia" w:eastAsia="宋体"/>
          <w:color w:val="000000"/>
          <w:highlight w:val="none"/>
          <w:lang w:eastAsia="zh-CN"/>
        </w:rPr>
      </w:pPr>
      <w:r>
        <w:rPr>
          <w:rFonts w:hint="eastAsia" w:ascii="Times New Roman" w:hAnsi="宋体" w:eastAsia="微软雅黑" w:cs="宋体"/>
          <w:color w:val="000000"/>
          <w:kern w:val="0"/>
          <w:sz w:val="24"/>
          <w:szCs w:val="24"/>
          <w:highlight w:val="none"/>
          <w:shd w:val="clear" w:color="auto" w:fill="FFFFFF"/>
          <w:lang w:val="en-US" w:eastAsia="zh-CN" w:bidi="ar-SA"/>
        </w:rPr>
        <w:t> </w:t>
      </w:r>
    </w:p>
    <w:p w14:paraId="5989313A">
      <w:pPr>
        <w:pStyle w:val="25"/>
        <w:shd w:val="clear" w:color="auto" w:fill="FFFFFF"/>
        <w:jc w:val="center"/>
        <w:rPr>
          <w:rStyle w:val="33"/>
          <w:rFonts w:hint="eastAsia" w:eastAsia="宋体"/>
          <w:color w:val="000000"/>
          <w:sz w:val="36"/>
          <w:szCs w:val="36"/>
          <w:highlight w:val="none"/>
          <w:shd w:val="clear" w:color="auto" w:fill="FFFFFF"/>
          <w:lang w:eastAsia="zh-CN"/>
        </w:rPr>
      </w:pPr>
      <w:r>
        <w:rPr>
          <w:rFonts w:hint="eastAsia" w:ascii="Times New Roman" w:hAnsi="宋体" w:eastAsia="微软雅黑" w:cs="宋体"/>
          <w:b/>
          <w:color w:val="000000"/>
          <w:kern w:val="0"/>
          <w:sz w:val="36"/>
          <w:szCs w:val="36"/>
          <w:highlight w:val="none"/>
          <w:shd w:val="clear" w:color="auto" w:fill="FFFFFF"/>
          <w:lang w:val="en-US" w:eastAsia="zh-CN" w:bidi="ar-SA"/>
        </w:rPr>
        <w:t>Standards for classifying small and medium-sized enterprises</w:t>
      </w:r>
    </w:p>
    <w:p w14:paraId="5F3C79B3">
      <w:pPr>
        <w:rPr>
          <w:rFonts w:hint="eastAsia" w:ascii="宋体" w:hAnsi="宋体" w:eastAsia="宋体" w:cs="宋体"/>
          <w:color w:val="000000"/>
          <w:sz w:val="24"/>
          <w:szCs w:val="24"/>
          <w:highlight w:val="none"/>
          <w:shd w:val="clear" w:color="auto" w:fill="FFFFFF"/>
          <w:lang w:eastAsia="zh-CN"/>
        </w:rPr>
      </w:pPr>
      <w:r>
        <w:rPr>
          <w:rFonts w:hint="eastAsia" w:ascii="Times New Roman" w:hAnsi="宋体" w:eastAsia="微软雅黑" w:cs="宋体"/>
          <w:color w:val="000000"/>
          <w:kern w:val="2"/>
          <w:sz w:val="24"/>
          <w:szCs w:val="24"/>
          <w:highlight w:val="none"/>
          <w:shd w:val="clear" w:color="auto" w:fill="FFFFFF"/>
          <w:lang w:val="en-US" w:eastAsia="zh-CN" w:bidi="ar-SA"/>
        </w:rPr>
        <w:t>1. These provisions are formulated in accordance with the Law of the People's Republic of China on Promoting Small and Medium-sized Enterprises and the State Council's Several Opinions on Further Promoting the Development of Small and Medium-sized Enterprises (Guo Fa [2009] No.36).</w:t>
      </w:r>
    </w:p>
    <w:p w14:paraId="5DFA4AA0">
      <w:pPr>
        <w:rPr>
          <w:rFonts w:hint="eastAsia" w:ascii="宋体" w:hAnsi="宋体" w:eastAsia="宋体" w:cs="宋体"/>
          <w:color w:val="000000"/>
          <w:sz w:val="24"/>
          <w:szCs w:val="24"/>
          <w:highlight w:val="none"/>
          <w:shd w:val="clear" w:color="auto" w:fill="FFFFFF"/>
          <w:lang w:eastAsia="zh-CN"/>
        </w:rPr>
      </w:pPr>
      <w:r>
        <w:rPr>
          <w:rFonts w:hint="eastAsia" w:ascii="Times New Roman" w:hAnsi="宋体" w:eastAsia="微软雅黑" w:cs="宋体"/>
          <w:color w:val="000000"/>
          <w:kern w:val="2"/>
          <w:sz w:val="24"/>
          <w:szCs w:val="24"/>
          <w:highlight w:val="none"/>
          <w:shd w:val="clear" w:color="auto" w:fill="FFFFFF"/>
          <w:lang w:val="en-US" w:eastAsia="zh-CN" w:bidi="ar-SA"/>
        </w:rPr>
        <w:t>2. Small and medium-sized enterprises are classified into three categories: medium-sized, small, and micro-enterprises, with specific criteria determined based on indicators such as employee headcount, operating revenue, total assets, and industry-specific characteristics.</w:t>
      </w:r>
    </w:p>
    <w:p w14:paraId="193B92F4">
      <w:pPr>
        <w:rPr>
          <w:rFonts w:hint="eastAsia" w:ascii="宋体" w:hAnsi="宋体" w:eastAsia="宋体" w:cs="宋体"/>
          <w:color w:val="000000"/>
          <w:sz w:val="24"/>
          <w:szCs w:val="24"/>
          <w:highlight w:val="none"/>
          <w:shd w:val="clear" w:color="auto" w:fill="FFFFFF"/>
          <w:lang w:eastAsia="zh-CN"/>
        </w:rPr>
      </w:pPr>
      <w:r>
        <w:rPr>
          <w:rFonts w:hint="eastAsia" w:ascii="Times New Roman" w:hAnsi="宋体" w:eastAsia="微软雅黑" w:cs="宋体"/>
          <w:color w:val="000000"/>
          <w:kern w:val="2"/>
          <w:sz w:val="24"/>
          <w:szCs w:val="24"/>
          <w:highlight w:val="none"/>
          <w:shd w:val="clear" w:color="auto" w:fill="FFFFFF"/>
          <w:lang w:val="en-US" w:eastAsia="zh-CN" w:bidi="ar-SA"/>
        </w:rPr>
        <w:t>III. The industries covered by these provisions include: agriculture, forestry, animal husbandry and fishery; industry (including mining, manufacturing, and the production and supply of electricity, heat, gas, and water); construction; wholesale; retail; transportation (excluding railway transportation); warehousing; postal services; accommodation; catering; information transmission (including telecommunications, internet, and related services); software and information technology services; real estate development and operation; property management; leasing and business services; and other unspecified industries (including scientific research and technical services; water conservancy, environmental and public facility management; residential services, repair and other services; social work; cultural, sports and entertainment industries, etc.).</w:t>
      </w:r>
    </w:p>
    <w:p w14:paraId="58282922">
      <w:pPr>
        <w:rPr>
          <w:rFonts w:hint="eastAsia" w:ascii="宋体" w:hAnsi="宋体" w:eastAsia="宋体" w:cs="宋体"/>
          <w:color w:val="000000"/>
          <w:sz w:val="24"/>
          <w:szCs w:val="24"/>
          <w:highlight w:val="none"/>
          <w:shd w:val="clear" w:color="auto" w:fill="FFFFFF"/>
          <w:lang w:eastAsia="zh-CN"/>
        </w:rPr>
      </w:pPr>
      <w:r>
        <w:rPr>
          <w:rFonts w:hint="eastAsia" w:ascii="Times New Roman" w:hAnsi="宋体" w:eastAsia="微软雅黑" w:cs="宋体"/>
          <w:color w:val="000000"/>
          <w:kern w:val="2"/>
          <w:sz w:val="24"/>
          <w:szCs w:val="24"/>
          <w:highlight w:val="none"/>
          <w:shd w:val="clear" w:color="auto" w:fill="FFFFFF"/>
          <w:lang w:val="en-US" w:eastAsia="zh-CN" w:bidi="ar-SA"/>
        </w:rPr>
        <w:t>IV. The classification standards for each industry are as follows:</w:t>
      </w:r>
    </w:p>
    <w:p w14:paraId="3F18465B">
      <w:pPr>
        <w:rPr>
          <w:rFonts w:hint="eastAsia" w:ascii="宋体" w:hAnsi="宋体" w:eastAsia="宋体" w:cs="宋体"/>
          <w:color w:val="000000"/>
          <w:sz w:val="24"/>
          <w:szCs w:val="24"/>
          <w:highlight w:val="none"/>
          <w:shd w:val="clear" w:color="auto" w:fill="FFFFFF"/>
          <w:lang w:eastAsia="zh-CN"/>
        </w:rPr>
      </w:pPr>
      <w:r>
        <w:rPr>
          <w:rFonts w:hint="eastAsia" w:ascii="Times New Roman" w:hAnsi="宋体" w:eastAsia="微软雅黑" w:cs="宋体"/>
          <w:color w:val="000000"/>
          <w:kern w:val="2"/>
          <w:sz w:val="24"/>
          <w:szCs w:val="24"/>
          <w:highlight w:val="none"/>
          <w:shd w:val="clear" w:color="auto" w:fill="FFFFFF"/>
          <w:lang w:val="en-US" w:eastAsia="zh-CN" w:bidi="ar-SA"/>
        </w:rPr>
        <w:t>(1) Agriculture, Forestry, Animal Husbandry, and Fisheries. Enterprises with operating revenue below 200 million yuan are classified as small, medium, or micro enterprises. Specifically, those with operating revenue of 5 million yuan or above are designated as medium-sized enterprises; those with 500,000 yuan or above as small enterprises; and those with less than 500,000 yuan as micro enterprises.</w:t>
      </w:r>
    </w:p>
    <w:p w14:paraId="7514C0D6">
      <w:pPr>
        <w:rPr>
          <w:rFonts w:hint="eastAsia" w:ascii="宋体" w:hAnsi="宋体" w:eastAsia="宋体" w:cs="宋体"/>
          <w:color w:val="000000"/>
          <w:sz w:val="24"/>
          <w:szCs w:val="24"/>
          <w:highlight w:val="none"/>
          <w:shd w:val="clear" w:color="auto" w:fill="FFFFFF"/>
          <w:lang w:eastAsia="zh-CN"/>
        </w:rPr>
      </w:pPr>
      <w:r>
        <w:rPr>
          <w:rFonts w:hint="eastAsia" w:ascii="Times New Roman" w:hAnsi="宋体" w:eastAsia="微软雅黑" w:cs="宋体"/>
          <w:color w:val="000000"/>
          <w:kern w:val="2"/>
          <w:sz w:val="24"/>
          <w:szCs w:val="24"/>
          <w:highlight w:val="none"/>
          <w:shd w:val="clear" w:color="auto" w:fill="FFFFFF"/>
          <w:lang w:val="en-US" w:eastAsia="zh-CN" w:bidi="ar-SA"/>
        </w:rPr>
        <w:t>(2) Industry. Enterprises with fewer than 1,000 employees or annual revenue below 400 million yuan are classified as small, medium, and micro enterprises. Specifically: those with 300 or more employees and annual revenue of 20 million yuan or above are medium-sized enterprises; those with 20 or more employees and annual revenue of 3 million yuan or above are small enterprises; and those with fewer than 20 employees or annual revenue below 3 million yuan are micro enterprises.</w:t>
      </w:r>
    </w:p>
    <w:p w14:paraId="456D2990">
      <w:pPr>
        <w:rPr>
          <w:rFonts w:hint="eastAsia" w:ascii="宋体" w:hAnsi="宋体" w:eastAsia="宋体" w:cs="宋体"/>
          <w:color w:val="000000"/>
          <w:sz w:val="24"/>
          <w:szCs w:val="24"/>
          <w:highlight w:val="none"/>
          <w:shd w:val="clear" w:color="auto" w:fill="FFFFFF"/>
          <w:lang w:eastAsia="zh-CN"/>
        </w:rPr>
      </w:pPr>
      <w:r>
        <w:rPr>
          <w:rFonts w:hint="eastAsia" w:ascii="Times New Roman" w:hAnsi="宋体" w:eastAsia="微软雅黑" w:cs="宋体"/>
          <w:color w:val="000000"/>
          <w:kern w:val="2"/>
          <w:sz w:val="24"/>
          <w:szCs w:val="24"/>
          <w:highlight w:val="none"/>
          <w:shd w:val="clear" w:color="auto" w:fill="FFFFFF"/>
          <w:lang w:val="en-US" w:eastAsia="zh-CN" w:bidi="ar-SA"/>
        </w:rPr>
        <w:t>(3) Construction Industry. Enterprises with operating revenue below RMB 800 million or total assets below RMB 800 million are classified as small, medium, and micro enterprises. Specifically: those with operating revenue of RMB 60 million or above and total assets of RMB 50 million or above are medium-sized enterprises; those with operating revenue of RMB 3 million or above and total assets of RMB 3 million or above are small enterprises; and those with operating revenue below RMB 3 million or total assets below RMB 3 million are micro enterprises.</w:t>
      </w:r>
    </w:p>
    <w:p w14:paraId="76886B5F">
      <w:pPr>
        <w:rPr>
          <w:rFonts w:hint="eastAsia" w:ascii="宋体" w:hAnsi="宋体" w:eastAsia="宋体" w:cs="宋体"/>
          <w:color w:val="000000"/>
          <w:sz w:val="24"/>
          <w:szCs w:val="24"/>
          <w:highlight w:val="none"/>
          <w:shd w:val="clear" w:color="auto" w:fill="FFFFFF"/>
          <w:lang w:eastAsia="zh-CN"/>
        </w:rPr>
      </w:pPr>
      <w:r>
        <w:rPr>
          <w:rFonts w:hint="eastAsia" w:ascii="Times New Roman" w:hAnsi="宋体" w:eastAsia="微软雅黑" w:cs="宋体"/>
          <w:color w:val="000000"/>
          <w:kern w:val="2"/>
          <w:sz w:val="24"/>
          <w:szCs w:val="24"/>
          <w:highlight w:val="none"/>
          <w:shd w:val="clear" w:color="auto" w:fill="FFFFFF"/>
          <w:lang w:val="en-US" w:eastAsia="zh-CN" w:bidi="ar-SA"/>
        </w:rPr>
        <w:t>(4) Wholesale Industry. Enterprises with fewer than 200 employees or annual revenue below RMB 400 million are classified as small, medium, and micro enterprises. Specifically: those with 20 or more employees and annual revenue of RMB 50 million or above are medium-sized enterprises; those with 5 or more employees and annual revenue of RMB 10 million or above are small enterprises; those with fewer than 5 employees or annual revenue below RMB 10 million are micro enterprises.</w:t>
      </w:r>
    </w:p>
    <w:p w14:paraId="5EB63402">
      <w:pPr>
        <w:rPr>
          <w:rFonts w:hint="eastAsia" w:ascii="宋体" w:hAnsi="宋体" w:eastAsia="宋体" w:cs="宋体"/>
          <w:color w:val="000000"/>
          <w:sz w:val="24"/>
          <w:szCs w:val="24"/>
          <w:highlight w:val="none"/>
          <w:shd w:val="clear" w:color="auto" w:fill="FFFFFF"/>
          <w:lang w:eastAsia="zh-CN"/>
        </w:rPr>
      </w:pPr>
      <w:r>
        <w:rPr>
          <w:rFonts w:hint="eastAsia" w:ascii="Times New Roman" w:hAnsi="宋体" w:eastAsia="微软雅黑" w:cs="宋体"/>
          <w:color w:val="000000"/>
          <w:kern w:val="2"/>
          <w:sz w:val="24"/>
          <w:szCs w:val="24"/>
          <w:highlight w:val="none"/>
          <w:shd w:val="clear" w:color="auto" w:fill="FFFFFF"/>
          <w:lang w:val="en-US" w:eastAsia="zh-CN" w:bidi="ar-SA"/>
        </w:rPr>
        <w:t>(5) Retail Industry. Enterprises with fewer than 300 employees or annual revenue below 200 million yuan are classified as small, medium, and micro enterprises. Specifically: those with 50 or more employees and annual revenue of 5 million yuan or above are medium-sized enterprises; those with 10 or more employees and annual revenue of 1 million yuan or above are small enterprises; those with fewer than 10 employees or annual revenue below 1 million yuan are micro enterprises.</w:t>
      </w:r>
    </w:p>
    <w:p w14:paraId="452B0771">
      <w:pPr>
        <w:rPr>
          <w:rFonts w:hint="eastAsia" w:ascii="宋体" w:hAnsi="宋体" w:eastAsia="宋体" w:cs="宋体"/>
          <w:color w:val="000000"/>
          <w:sz w:val="24"/>
          <w:szCs w:val="24"/>
          <w:highlight w:val="none"/>
          <w:shd w:val="clear" w:color="auto" w:fill="FFFFFF"/>
          <w:lang w:eastAsia="zh-CN"/>
        </w:rPr>
      </w:pPr>
      <w:r>
        <w:rPr>
          <w:rFonts w:hint="eastAsia" w:ascii="Times New Roman" w:hAnsi="宋体" w:eastAsia="微软雅黑" w:cs="宋体"/>
          <w:color w:val="000000"/>
          <w:kern w:val="2"/>
          <w:sz w:val="24"/>
          <w:szCs w:val="24"/>
          <w:highlight w:val="none"/>
          <w:shd w:val="clear" w:color="auto" w:fill="FFFFFF"/>
          <w:lang w:val="en-US" w:eastAsia="zh-CN" w:bidi="ar-SA"/>
        </w:rPr>
        <w:t>(6) Transportation Industry. Enterprises with fewer than 1,000 employees or annual revenue below 300 million yuan are classified as small, medium, and micro enterprises. Specifically: those with 300 or more employees and annual revenue of 30 million yuan or above are medium-sized enterprises; those with 20 or more employees and annual revenue of 2 million yuan or above are small enterprises; those with fewer than 20 employees or annual revenue below 2 million yuan are micro enterprises.</w:t>
      </w:r>
    </w:p>
    <w:p w14:paraId="6A05C9BB">
      <w:pPr>
        <w:rPr>
          <w:rFonts w:hint="eastAsia" w:ascii="宋体" w:hAnsi="宋体" w:eastAsia="宋体" w:cs="宋体"/>
          <w:color w:val="000000"/>
          <w:sz w:val="24"/>
          <w:szCs w:val="24"/>
          <w:highlight w:val="none"/>
          <w:shd w:val="clear" w:color="auto" w:fill="FFFFFF"/>
          <w:lang w:eastAsia="zh-CN"/>
        </w:rPr>
      </w:pPr>
      <w:r>
        <w:rPr>
          <w:rFonts w:hint="eastAsia" w:ascii="Times New Roman" w:hAnsi="宋体" w:eastAsia="微软雅黑" w:cs="宋体"/>
          <w:color w:val="000000"/>
          <w:kern w:val="2"/>
          <w:sz w:val="24"/>
          <w:szCs w:val="24"/>
          <w:highlight w:val="none"/>
          <w:shd w:val="clear" w:color="auto" w:fill="FFFFFF"/>
          <w:lang w:val="en-US" w:eastAsia="zh-CN" w:bidi="ar-SA"/>
        </w:rPr>
        <w:t>(7) Storage Industry. Enterprises with fewer than 200 employees or annual revenue below 300 million yuan are classified as small, medium, and micro enterprises. Specifically: those with 100 or more employees and annual revenue of 10 million yuan or above are medium-sized enterprises; those with 20 or more employees and annual revenue of 1 million yuan or above are small enterprises; those with fewer than 20 employees or annual revenue below 1 million yuan are micro enterprises.</w:t>
      </w:r>
    </w:p>
    <w:p w14:paraId="09C6B7CA">
      <w:pPr>
        <w:rPr>
          <w:rFonts w:hint="eastAsia" w:ascii="宋体" w:hAnsi="宋体" w:eastAsia="宋体" w:cs="宋体"/>
          <w:color w:val="000000"/>
          <w:sz w:val="24"/>
          <w:szCs w:val="24"/>
          <w:highlight w:val="none"/>
          <w:shd w:val="clear" w:color="auto" w:fill="FFFFFF"/>
          <w:lang w:eastAsia="zh-CN"/>
        </w:rPr>
      </w:pPr>
      <w:r>
        <w:rPr>
          <w:rFonts w:hint="eastAsia" w:ascii="Times New Roman" w:hAnsi="宋体" w:eastAsia="微软雅黑" w:cs="宋体"/>
          <w:color w:val="000000"/>
          <w:kern w:val="2"/>
          <w:sz w:val="24"/>
          <w:szCs w:val="24"/>
          <w:highlight w:val="none"/>
          <w:shd w:val="clear" w:color="auto" w:fill="FFFFFF"/>
          <w:lang w:val="en-US" w:eastAsia="zh-CN" w:bidi="ar-SA"/>
        </w:rPr>
        <w:t>(8) Postal Industry. Enterprises with fewer than 1,000 employees or annual operating revenue below 300 million yuan are classified as small, medium, and micro enterprises. Specifically: those with 300 or more employees and annual operating revenue of 20 million yuan or above are medium-sized enterprises; those with 20 or more employees and annual operating revenue of 1 million yuan or above are small enterprises; those with fewer than 20 employees or annual operating revenue below 1 million yuan are micro enterprises.</w:t>
      </w:r>
    </w:p>
    <w:p w14:paraId="19CD7A03">
      <w:pPr>
        <w:rPr>
          <w:rFonts w:hint="eastAsia" w:ascii="宋体" w:hAnsi="宋体" w:eastAsia="宋体" w:cs="宋体"/>
          <w:color w:val="000000"/>
          <w:sz w:val="24"/>
          <w:szCs w:val="24"/>
          <w:highlight w:val="none"/>
          <w:shd w:val="clear" w:color="auto" w:fill="FFFFFF"/>
          <w:lang w:eastAsia="zh-CN"/>
        </w:rPr>
      </w:pPr>
      <w:r>
        <w:rPr>
          <w:rFonts w:hint="eastAsia" w:ascii="Times New Roman" w:hAnsi="宋体" w:eastAsia="微软雅黑" w:cs="宋体"/>
          <w:color w:val="000000"/>
          <w:kern w:val="2"/>
          <w:sz w:val="24"/>
          <w:szCs w:val="24"/>
          <w:highlight w:val="none"/>
          <w:shd w:val="clear" w:color="auto" w:fill="FFFFFF"/>
          <w:lang w:val="en-US" w:eastAsia="zh-CN" w:bidi="ar-SA"/>
        </w:rPr>
        <w:t>(9) Accommodation Industry. Enterprises with fewer than 300 employees or annual revenue below RMB 100 million are classified as small, medium, and micro enterprises. Specifically: those with 100 or more employees and annual revenue of RMB 20 million or above are medium-sized enterprises; those with 10 or more employees and annual revenue of RMB 1 million or above are small enterprises; those with fewer than 10 employees or annual revenue below RMB 1 million are micro enterprises.</w:t>
      </w:r>
    </w:p>
    <w:p w14:paraId="2A40A530">
      <w:pPr>
        <w:rPr>
          <w:rFonts w:hint="eastAsia" w:ascii="宋体" w:hAnsi="宋体" w:eastAsia="宋体" w:cs="宋体"/>
          <w:color w:val="000000"/>
          <w:sz w:val="24"/>
          <w:szCs w:val="24"/>
          <w:highlight w:val="none"/>
          <w:shd w:val="clear" w:color="auto" w:fill="FFFFFF"/>
          <w:lang w:eastAsia="zh-CN"/>
        </w:rPr>
      </w:pPr>
      <w:r>
        <w:rPr>
          <w:rFonts w:hint="eastAsia" w:ascii="Times New Roman" w:hAnsi="宋体" w:eastAsia="微软雅黑" w:cs="宋体"/>
          <w:color w:val="000000"/>
          <w:kern w:val="2"/>
          <w:sz w:val="24"/>
          <w:szCs w:val="24"/>
          <w:highlight w:val="none"/>
          <w:shd w:val="clear" w:color="auto" w:fill="FFFFFF"/>
          <w:lang w:val="en-US" w:eastAsia="zh-CN" w:bidi="ar-SA"/>
        </w:rPr>
        <w:t>(10) Catering Industry. Enterprises with fewer than 300 employees or annual revenue below RMB 100 million are classified as small, medium, and micro enterprises. Specifically: those with 100 or more employees and annual revenue of RMB 20 million or above are medium-sized enterprises; those with 10 or more employees and annual revenue of RMB 1 million or above are small enterprises; and those with fewer than 10 employees or annual revenue below RMB 1 million are micro enterprises.</w:t>
      </w:r>
    </w:p>
    <w:p w14:paraId="23FF50B1">
      <w:pPr>
        <w:rPr>
          <w:rFonts w:hint="eastAsia" w:ascii="宋体" w:hAnsi="宋体" w:eastAsia="宋体" w:cs="宋体"/>
          <w:color w:val="000000"/>
          <w:sz w:val="24"/>
          <w:szCs w:val="24"/>
          <w:highlight w:val="none"/>
          <w:shd w:val="clear" w:color="auto" w:fill="FFFFFF"/>
          <w:lang w:eastAsia="zh-CN"/>
        </w:rPr>
      </w:pPr>
      <w:r>
        <w:rPr>
          <w:rFonts w:hint="eastAsia" w:ascii="Times New Roman" w:hAnsi="宋体" w:eastAsia="微软雅黑" w:cs="宋体"/>
          <w:color w:val="000000"/>
          <w:kern w:val="2"/>
          <w:sz w:val="24"/>
          <w:szCs w:val="24"/>
          <w:highlight w:val="none"/>
          <w:shd w:val="clear" w:color="auto" w:fill="FFFFFF"/>
          <w:lang w:val="en-US" w:eastAsia="zh-CN" w:bidi="ar-SA"/>
        </w:rPr>
        <w:t>(11) Information Transmission Industry. Enterprises with fewer than 2,000 employees or annual revenue below RMB 100 million are classified as small, medium, and micro enterprises. Specifically: those with 100 or more employees and annual revenue of RMB 10 million or above are medium-sized enterprises; those with 10 or more employees and annual revenue of RMB 1 million or above are small enterprises; and those with fewer than 10 employees or annual revenue below RMB 1 million are micro enterprises.</w:t>
      </w:r>
    </w:p>
    <w:p w14:paraId="01328B5E">
      <w:pPr>
        <w:rPr>
          <w:rFonts w:hint="eastAsia" w:ascii="宋体" w:hAnsi="宋体" w:eastAsia="宋体" w:cs="宋体"/>
          <w:color w:val="000000"/>
          <w:sz w:val="24"/>
          <w:szCs w:val="24"/>
          <w:highlight w:val="none"/>
          <w:shd w:val="clear" w:color="auto" w:fill="FFFFFF"/>
          <w:lang w:eastAsia="zh-CN"/>
        </w:rPr>
      </w:pPr>
      <w:r>
        <w:rPr>
          <w:rFonts w:hint="eastAsia" w:ascii="Times New Roman" w:hAnsi="宋体" w:eastAsia="微软雅黑" w:cs="宋体"/>
          <w:color w:val="000000"/>
          <w:kern w:val="2"/>
          <w:sz w:val="24"/>
          <w:szCs w:val="24"/>
          <w:highlight w:val="none"/>
          <w:shd w:val="clear" w:color="auto" w:fill="FFFFFF"/>
          <w:lang w:val="en-US" w:eastAsia="zh-CN" w:bidi="ar-SA"/>
        </w:rPr>
        <w:t>(12) Software and Information Technology Services Industry. Enterprises with fewer than 300 employees or annual revenue below RMB 100 million are classified as small, medium, or micro enterprises. Specifically: those with 100 or more employees and annual revenue of RMB 10 million or above are designated as medium-sized enterprises; those with 10 or more employees and annual revenue of RMB 500,000 or above are classified as small enterprises; and those with fewer than 10 employees or annual revenue below RMB 500,000 are categorized as micro enterprises.</w:t>
      </w:r>
    </w:p>
    <w:p w14:paraId="440B39FE">
      <w:pPr>
        <w:rPr>
          <w:rFonts w:hint="eastAsia" w:ascii="宋体" w:hAnsi="宋体" w:eastAsia="宋体" w:cs="宋体"/>
          <w:color w:val="000000"/>
          <w:sz w:val="24"/>
          <w:szCs w:val="24"/>
          <w:highlight w:val="none"/>
          <w:shd w:val="clear" w:color="auto" w:fill="FFFFFF"/>
          <w:lang w:eastAsia="zh-CN"/>
        </w:rPr>
      </w:pPr>
      <w:r>
        <w:rPr>
          <w:rFonts w:hint="eastAsia" w:ascii="Times New Roman" w:hAnsi="宋体" w:eastAsia="微软雅黑" w:cs="宋体"/>
          <w:color w:val="000000"/>
          <w:kern w:val="2"/>
          <w:sz w:val="24"/>
          <w:szCs w:val="24"/>
          <w:highlight w:val="none"/>
          <w:shd w:val="clear" w:color="auto" w:fill="FFFFFF"/>
          <w:lang w:val="en-US" w:eastAsia="zh-CN" w:bidi="ar-SA"/>
        </w:rPr>
        <w:t>(13) Real estate development and operation. Enterprises with operating revenue below 200 million yuan or total assets below 100 million yuan are classified as small, medium, and micro enterprises. Specifically: those with operating revenue of 10 million yuan or above and total assets of 50 million yuan or above are medium-sized enterprises; those with operating revenue of 1 million yuan or above and total assets of 20 million yuan or above are small enterprises; those with operating revenue below 1 million yuan or total assets below 20 million yuan are micro enterprises.</w:t>
      </w:r>
    </w:p>
    <w:p w14:paraId="46485E74">
      <w:pPr>
        <w:rPr>
          <w:rFonts w:hint="eastAsia" w:ascii="宋体" w:hAnsi="宋体" w:eastAsia="宋体" w:cs="宋体"/>
          <w:color w:val="000000"/>
          <w:sz w:val="24"/>
          <w:szCs w:val="24"/>
          <w:highlight w:val="none"/>
          <w:shd w:val="clear" w:color="auto" w:fill="FFFFFF"/>
          <w:lang w:eastAsia="zh-CN"/>
        </w:rPr>
      </w:pPr>
      <w:r>
        <w:rPr>
          <w:rFonts w:hint="eastAsia" w:ascii="Times New Roman" w:hAnsi="宋体" w:eastAsia="微软雅黑" w:cs="宋体"/>
          <w:color w:val="000000"/>
          <w:kern w:val="2"/>
          <w:sz w:val="24"/>
          <w:szCs w:val="24"/>
          <w:highlight w:val="none"/>
          <w:shd w:val="clear" w:color="auto" w:fill="FFFFFF"/>
          <w:lang w:val="en-US" w:eastAsia="zh-CN" w:bidi="ar-SA"/>
        </w:rPr>
        <w:t>(14) Property Management. Enterprises with fewer than 1,000 employees or annual revenue below 50 million yuan are classified as small, medium, and micro enterprises. Specifically: those with 300 or more employees and annual revenue of 10 million yuan or above are medium-sized enterprises; those with 100 or more employees and annual revenue of 5 million yuan or above are small enterprises; and those with fewer than 100 employees or annual revenue below 5 million yuan are micro enterprises.</w:t>
      </w:r>
    </w:p>
    <w:p w14:paraId="716F28E6">
      <w:pPr>
        <w:rPr>
          <w:rFonts w:hint="eastAsia" w:ascii="宋体" w:hAnsi="宋体" w:eastAsia="宋体" w:cs="宋体"/>
          <w:color w:val="000000"/>
          <w:sz w:val="24"/>
          <w:szCs w:val="24"/>
          <w:highlight w:val="none"/>
          <w:shd w:val="clear" w:color="auto" w:fill="FFFFFF"/>
          <w:lang w:eastAsia="zh-CN"/>
        </w:rPr>
      </w:pPr>
      <w:r>
        <w:rPr>
          <w:rFonts w:hint="eastAsia" w:ascii="Times New Roman" w:hAnsi="宋体" w:eastAsia="微软雅黑" w:cs="宋体"/>
          <w:color w:val="000000"/>
          <w:kern w:val="2"/>
          <w:sz w:val="24"/>
          <w:szCs w:val="24"/>
          <w:highlight w:val="none"/>
          <w:shd w:val="clear" w:color="auto" w:fill="FFFFFF"/>
          <w:lang w:val="en-US" w:eastAsia="zh-CN" w:bidi="ar-SA"/>
        </w:rPr>
        <w:t>(15) Leasing and business services sector. Enterprises with fewer than 300 employees or total assets below RMB 120 million are classified as small, medium, and micro enterprises. Specifically: those with 100 or more employees and total assets of RMB 80 million or above are medium-sized enterprises; those with 10 or more employees and total assets of RMB 1 million or above are small enterprises; those with fewer than 10 employees or total assets below RMB 1 million are micro enterprises.</w:t>
      </w:r>
    </w:p>
    <w:p w14:paraId="6D5C2E08">
      <w:pPr>
        <w:rPr>
          <w:rFonts w:hint="eastAsia" w:ascii="宋体" w:hAnsi="宋体" w:eastAsia="宋体" w:cs="宋体"/>
          <w:color w:val="000000"/>
          <w:sz w:val="24"/>
          <w:szCs w:val="24"/>
          <w:highlight w:val="none"/>
          <w:shd w:val="clear" w:color="auto" w:fill="FFFFFF"/>
          <w:lang w:eastAsia="zh-CN"/>
        </w:rPr>
      </w:pPr>
      <w:r>
        <w:rPr>
          <w:rFonts w:hint="eastAsia" w:ascii="Times New Roman" w:hAnsi="宋体" w:eastAsia="微软雅黑" w:cs="宋体"/>
          <w:color w:val="000000"/>
          <w:kern w:val="2"/>
          <w:sz w:val="24"/>
          <w:szCs w:val="24"/>
          <w:highlight w:val="none"/>
          <w:shd w:val="clear" w:color="auto" w:fill="FFFFFF"/>
          <w:lang w:val="en-US" w:eastAsia="zh-CN" w:bidi="ar-SA"/>
        </w:rPr>
        <w:t>(16) Other industries not specified. Enterprises with fewer than 300 employees are classified as small, medium, or micro enterprises: those with 100 or more employees are medium-sized enterprises; those with 10 or more employees are small enterprises; and those with fewer than 10 employees are micro enterprises.</w:t>
      </w:r>
    </w:p>
    <w:p w14:paraId="3EAE33E1">
      <w:pPr>
        <w:rPr>
          <w:rFonts w:hint="eastAsia" w:ascii="宋体" w:hAnsi="宋体" w:eastAsia="宋体" w:cs="宋体"/>
          <w:color w:val="000000"/>
          <w:sz w:val="24"/>
          <w:szCs w:val="24"/>
          <w:highlight w:val="none"/>
          <w:shd w:val="clear" w:color="auto" w:fill="FFFFFF"/>
          <w:lang w:eastAsia="zh-CN"/>
        </w:rPr>
      </w:pPr>
      <w:r>
        <w:rPr>
          <w:rFonts w:hint="eastAsia" w:ascii="Times New Roman" w:hAnsi="宋体" w:eastAsia="微软雅黑" w:cs="宋体"/>
          <w:color w:val="000000"/>
          <w:kern w:val="2"/>
          <w:sz w:val="24"/>
          <w:szCs w:val="24"/>
          <w:highlight w:val="none"/>
          <w:shd w:val="clear" w:color="auto" w:fill="FFFFFF"/>
          <w:lang w:val="en-US" w:eastAsia="zh-CN" w:bidi="ar-SA"/>
        </w:rPr>
        <w:t>V. The classification of enterprise types is based on statistical data from statistical authorities.</w:t>
      </w:r>
    </w:p>
    <w:p w14:paraId="4489380D">
      <w:pPr>
        <w:rPr>
          <w:rFonts w:hint="eastAsia" w:ascii="宋体" w:hAnsi="宋体" w:eastAsia="宋体" w:cs="宋体"/>
          <w:color w:val="000000"/>
          <w:sz w:val="24"/>
          <w:szCs w:val="24"/>
          <w:highlight w:val="none"/>
          <w:shd w:val="clear" w:color="auto" w:fill="FFFFFF"/>
          <w:lang w:eastAsia="zh-CN"/>
        </w:rPr>
      </w:pPr>
      <w:r>
        <w:rPr>
          <w:rFonts w:hint="eastAsia" w:ascii="Times New Roman" w:hAnsi="宋体" w:eastAsia="微软雅黑" w:cs="宋体"/>
          <w:color w:val="000000"/>
          <w:kern w:val="2"/>
          <w:sz w:val="24"/>
          <w:szCs w:val="24"/>
          <w:highlight w:val="none"/>
          <w:shd w:val="clear" w:color="auto" w:fill="FFFFFF"/>
          <w:lang w:val="en-US" w:eastAsia="zh-CN" w:bidi="ar-SA"/>
        </w:rPr>
        <w:t>VI. These provisions apply to enterprises of all ownership types and organizational forms legally established within the territory of the People's Republic of China. Individual businesses and industries not covered by these provisions shall be classified in accordance with these provisions.</w:t>
      </w:r>
    </w:p>
    <w:p w14:paraId="3CB6B0DE">
      <w:pPr>
        <w:rPr>
          <w:rFonts w:hint="eastAsia" w:ascii="宋体" w:hAnsi="宋体" w:eastAsia="宋体" w:cs="宋体"/>
          <w:color w:val="000000"/>
          <w:sz w:val="24"/>
          <w:szCs w:val="24"/>
          <w:highlight w:val="none"/>
          <w:shd w:val="clear" w:color="auto" w:fill="FFFFFF"/>
          <w:lang w:eastAsia="zh-CN"/>
        </w:rPr>
      </w:pPr>
      <w:r>
        <w:rPr>
          <w:rFonts w:hint="eastAsia" w:ascii="Times New Roman" w:hAnsi="宋体" w:eastAsia="微软雅黑" w:cs="宋体"/>
          <w:color w:val="000000"/>
          <w:kern w:val="2"/>
          <w:sz w:val="24"/>
          <w:szCs w:val="24"/>
          <w:highlight w:val="none"/>
          <w:shd w:val="clear" w:color="auto" w:fill="FFFFFF"/>
          <w:lang w:val="en-US" w:eastAsia="zh-CN" w:bidi="ar-SA"/>
        </w:rPr>
        <w:t>7. The upper limit of the medium-sized enterprise standard stipulated in these provisions shall serve as the lower limit for the large enterprise standard. The national statistical authorities shall establish statistical classifications for enterprises of all sizes based on this criterion. Relevant departments under the State Council shall conduct corresponding data analyses accordingly and must not formulate enterprise classification standards that conflict with these provisions.</w:t>
      </w:r>
    </w:p>
    <w:p w14:paraId="6C49170B">
      <w:pPr>
        <w:rPr>
          <w:rFonts w:hint="eastAsia" w:ascii="宋体" w:hAnsi="宋体" w:eastAsia="宋体" w:cs="宋体"/>
          <w:color w:val="000000"/>
          <w:sz w:val="24"/>
          <w:szCs w:val="24"/>
          <w:highlight w:val="none"/>
          <w:shd w:val="clear" w:color="auto" w:fill="FFFFFF"/>
          <w:lang w:eastAsia="zh-CN"/>
        </w:rPr>
      </w:pPr>
      <w:r>
        <w:rPr>
          <w:rFonts w:hint="eastAsia" w:ascii="Times New Roman" w:hAnsi="宋体" w:eastAsia="微软雅黑" w:cs="宋体"/>
          <w:color w:val="000000"/>
          <w:kern w:val="2"/>
          <w:sz w:val="24"/>
          <w:szCs w:val="24"/>
          <w:highlight w:val="none"/>
          <w:shd w:val="clear" w:color="auto" w:fill="FFFFFF"/>
          <w:lang w:val="en-US" w:eastAsia="zh-CN" w:bidi="ar-SA"/>
        </w:rPr>
        <w:t>8. These provisions shall be revised from time to time by the Ministry of Industry and Information Technology and the National Bureau of Statistics in conjunction with relevant departments, taking into account revisions to the National Economic Industry Classification and changes in enterprise development.</w:t>
      </w:r>
    </w:p>
    <w:p w14:paraId="1E381771">
      <w:pPr>
        <w:rPr>
          <w:rFonts w:hint="eastAsia" w:ascii="宋体" w:hAnsi="宋体" w:eastAsia="宋体" w:cs="宋体"/>
          <w:color w:val="000000"/>
          <w:sz w:val="24"/>
          <w:szCs w:val="24"/>
          <w:highlight w:val="none"/>
          <w:shd w:val="clear" w:color="auto" w:fill="FFFFFF"/>
          <w:lang w:eastAsia="zh-CN"/>
        </w:rPr>
      </w:pPr>
      <w:r>
        <w:rPr>
          <w:rFonts w:hint="eastAsia" w:ascii="Times New Roman" w:hAnsi="宋体" w:eastAsia="微软雅黑" w:cs="宋体"/>
          <w:color w:val="000000"/>
          <w:kern w:val="2"/>
          <w:sz w:val="24"/>
          <w:szCs w:val="24"/>
          <w:highlight w:val="none"/>
          <w:shd w:val="clear" w:color="auto" w:fill="FFFFFF"/>
          <w:lang w:val="en-US" w:eastAsia="zh-CN" w:bidi="ar-SA"/>
        </w:rPr>
        <w:t>IX. These provisions shall be interpreted by the Ministry of Industry and Information Technology, the National Bureau of Statistics, in conjunction with relevant departments.</w:t>
      </w:r>
    </w:p>
    <w:p w14:paraId="73EE013A">
      <w:pPr>
        <w:rPr>
          <w:rFonts w:hint="eastAsia" w:eastAsia="宋体"/>
          <w:highlight w:val="none"/>
          <w:lang w:eastAsia="zh-CN"/>
        </w:rPr>
        <w:sectPr>
          <w:pgSz w:w="11906" w:h="16838"/>
          <w:pgMar w:top="1440" w:right="1803" w:bottom="1440" w:left="1803" w:header="851" w:footer="992" w:gutter="0"/>
          <w:pgNumType w:fmt="decimal"/>
          <w:cols w:space="720" w:num="1"/>
          <w:docGrid w:type="lines" w:linePitch="319" w:charSpace="0"/>
        </w:sectPr>
      </w:pPr>
      <w:r>
        <w:rPr>
          <w:rFonts w:hint="eastAsia" w:ascii="Times New Roman" w:hAnsi="宋体" w:eastAsia="微软雅黑" w:cs="宋体"/>
          <w:color w:val="000000"/>
          <w:kern w:val="2"/>
          <w:sz w:val="24"/>
          <w:szCs w:val="24"/>
          <w:highlight w:val="none"/>
          <w:shd w:val="clear" w:color="auto" w:fill="FFFFFF"/>
          <w:lang w:val="en-US" w:eastAsia="zh-CN" w:bidi="ar-SA"/>
        </w:rPr>
        <w:t>10. These Provisions shall take effect from the date of promulgation, and the Interim Provisions on Standards for Small and Medium-sized Enterprises issued in 2003 by the former State Economic and Trade Commission, the former State Planning Commission, the Ministry of Finance, and the National Bureau of Statistics shall be simultaneously repealed.</w:t>
      </w:r>
    </w:p>
    <w:p w14:paraId="32E6DFBB">
      <w:pPr>
        <w:pStyle w:val="4"/>
        <w:rPr>
          <w:rFonts w:hint="eastAsia" w:ascii="宋体" w:hAnsi="宋体" w:eastAsia="宋体" w:cs="宋体"/>
          <w:highlight w:val="none"/>
          <w:lang w:eastAsia="zh-CN"/>
        </w:rPr>
      </w:pPr>
      <w:bookmarkStart w:id="337" w:name="_Toc4938"/>
      <w:bookmarkStart w:id="338" w:name="_Toc21327"/>
      <w:r>
        <w:rPr>
          <w:rFonts w:hint="eastAsia" w:ascii="Times New Roman" w:hAnsi="宋体" w:eastAsia="微软雅黑" w:cs="宋体"/>
          <w:b/>
          <w:kern w:val="2"/>
          <w:sz w:val="28"/>
          <w:szCs w:val="22"/>
          <w:highlight w:val="none"/>
          <w:lang w:val="en-US" w:eastAsia="zh-CN" w:bidi="ar-SA"/>
        </w:rPr>
        <w:t>Appendix II: Declaration of Welfare Institutions for Persons with Disabilities</w:t>
      </w:r>
      <w:bookmarkEnd w:id="337"/>
      <w:bookmarkEnd w:id="338"/>
    </w:p>
    <w:p w14:paraId="7C41C919">
      <w:pPr>
        <w:spacing w:line="588" w:lineRule="exact"/>
        <w:ind w:firstLine="504" w:firstLineChars="200"/>
        <w:rPr>
          <w:rFonts w:hint="eastAsia" w:ascii="宋体" w:hAnsi="宋体" w:eastAsia="宋体" w:cs="宋体"/>
          <w:spacing w:val="6"/>
          <w:sz w:val="24"/>
          <w:highlight w:val="none"/>
          <w:lang w:eastAsia="zh-CN"/>
        </w:rPr>
      </w:pPr>
      <w:r>
        <w:rPr>
          <w:rFonts w:hint="eastAsia" w:ascii="Times New Roman" w:hAnsi="宋体" w:eastAsia="微软雅黑" w:cs="宋体"/>
          <w:spacing w:val="6"/>
          <w:kern w:val="2"/>
          <w:sz w:val="24"/>
          <w:szCs w:val="22"/>
          <w:highlight w:val="none"/>
          <w:lang w:val="en-US" w:eastAsia="zh-CN" w:bidi="ar-SA"/>
        </w:rPr>
        <w:t>According to the provisions of the "Notice on Promoting Government Procurement Policies for Employment of Persons with Disabilities" jointly issued by three departments (Cai Ku [2017] No.141), suppliers shall make a declaration on their own and assume responsibility for its authenticity. Any falsification will result in corresponding legal liabilities.</w:t>
      </w:r>
    </w:p>
    <w:p w14:paraId="556F02AA">
      <w:pPr>
        <w:rPr>
          <w:rFonts w:ascii="宋体" w:hAnsi="宋体" w:cs="宋体"/>
          <w:highlight w:val="none"/>
        </w:rPr>
      </w:pPr>
    </w:p>
    <w:p w14:paraId="57D7A920">
      <w:pPr>
        <w:pStyle w:val="4"/>
        <w:rPr>
          <w:rFonts w:hint="eastAsia" w:ascii="宋体" w:hAnsi="宋体" w:eastAsia="宋体" w:cs="宋体"/>
          <w:highlight w:val="none"/>
          <w:lang w:eastAsia="zh-CN"/>
        </w:rPr>
      </w:pPr>
      <w:bookmarkStart w:id="339" w:name="_Toc3053"/>
      <w:bookmarkStart w:id="340" w:name="_Toc2723"/>
      <w:bookmarkStart w:id="341" w:name="_Toc26509"/>
      <w:bookmarkStart w:id="342" w:name="_Toc23159"/>
      <w:r>
        <w:rPr>
          <w:rFonts w:hint="eastAsia" w:ascii="Times New Roman" w:hAnsi="宋体" w:eastAsia="微软雅黑" w:cs="宋体"/>
          <w:b/>
          <w:kern w:val="2"/>
          <w:sz w:val="28"/>
          <w:szCs w:val="22"/>
          <w:highlight w:val="none"/>
          <w:lang w:val="en-US" w:eastAsia="zh-CN" w:bidi="ar-SA"/>
        </w:rPr>
        <w:t>Appendix III: Certification Documents for Prison-Operated Enterprises</w:t>
      </w:r>
      <w:bookmarkEnd w:id="339"/>
      <w:bookmarkEnd w:id="340"/>
      <w:bookmarkEnd w:id="341"/>
      <w:bookmarkEnd w:id="342"/>
    </w:p>
    <w:p w14:paraId="7DBA45A7">
      <w:pPr>
        <w:rPr>
          <w:rFonts w:ascii="宋体" w:hAnsi="宋体" w:cs="宋体"/>
          <w:highlight w:val="none"/>
        </w:rPr>
      </w:pPr>
    </w:p>
    <w:p w14:paraId="79758299">
      <w:pPr>
        <w:snapToGrid w:val="0"/>
        <w:spacing w:line="360" w:lineRule="auto"/>
        <w:ind w:firstLine="480" w:firstLineChars="200"/>
        <w:jc w:val="left"/>
        <w:rPr>
          <w:rFonts w:hint="eastAsia" w:ascii="宋体" w:hAnsi="宋体" w:eastAsia="宋体" w:cs="宋体"/>
          <w:b/>
          <w:bCs/>
          <w:spacing w:val="48"/>
          <w:sz w:val="72"/>
          <w:szCs w:val="72"/>
          <w:highlight w:val="none"/>
          <w:lang w:eastAsia="zh-CN"/>
        </w:rPr>
      </w:pPr>
      <w:r>
        <w:rPr>
          <w:rFonts w:hint="eastAsia" w:ascii="Times New Roman" w:hAnsi="宋体" w:eastAsia="微软雅黑" w:cs="宋体"/>
          <w:kern w:val="2"/>
          <w:sz w:val="24"/>
          <w:szCs w:val="24"/>
          <w:highlight w:val="none"/>
          <w:lang w:val="en-US" w:eastAsia="zh-CN" w:bidi="ar-SA"/>
        </w:rPr>
        <w:t>Note: According to the provisions of the Notice on Issues Concerning Government Procurement Support for Prison Enterprises Development (Cai Ku [2014] No.68), prison enterprises participating in government procurement activities must submit certification documents issued by provincial-level or higher prison administration bureaus or drug rehabilitation administration bureaus (including the Xinjiang Production and Construction Corps) confirming their status as prison enterprises.</w:t>
      </w:r>
    </w:p>
    <w:p w14:paraId="3A2E5B18">
      <w:pPr>
        <w:pStyle w:val="4"/>
        <w:adjustRightInd w:val="0"/>
        <w:spacing w:line="416" w:lineRule="atLeast"/>
        <w:textAlignment w:val="baseline"/>
        <w:rPr>
          <w:rFonts w:hint="eastAsia" w:ascii="宋体" w:hAnsi="宋体" w:eastAsia="宋体" w:cs="宋体"/>
          <w:highlight w:val="none"/>
          <w:lang w:eastAsia="zh-CN"/>
        </w:rPr>
      </w:pPr>
      <w:bookmarkStart w:id="343" w:name="_Toc19198"/>
      <w:bookmarkStart w:id="344" w:name="_Toc3267"/>
      <w:bookmarkStart w:id="345" w:name="_Toc563"/>
      <w:bookmarkStart w:id="346" w:name="_Toc13122"/>
      <w:bookmarkStart w:id="347" w:name="_Toc11969"/>
      <w:bookmarkStart w:id="348" w:name="_Toc2126"/>
      <w:bookmarkStart w:id="349" w:name="_Toc13303"/>
      <w:bookmarkStart w:id="350" w:name="_Toc28193"/>
      <w:r>
        <w:rPr>
          <w:rFonts w:hint="eastAsia" w:ascii="Times New Roman" w:hAnsi="宋体" w:eastAsia="微软雅黑" w:cs="宋体"/>
          <w:b/>
          <w:kern w:val="2"/>
          <w:sz w:val="28"/>
          <w:szCs w:val="22"/>
          <w:highlight w:val="none"/>
          <w:lang w:val="en-US" w:eastAsia="zh-CN" w:bidi="ar-SA"/>
        </w:rPr>
        <w:t>Appendix IV: Supporting documents for "Energy-Efficient Products" and "Environmental Label Products"</w:t>
      </w:r>
      <w:bookmarkEnd w:id="343"/>
      <w:bookmarkEnd w:id="344"/>
      <w:bookmarkEnd w:id="345"/>
      <w:bookmarkEnd w:id="346"/>
      <w:bookmarkEnd w:id="347"/>
      <w:bookmarkEnd w:id="348"/>
      <w:bookmarkEnd w:id="349"/>
      <w:bookmarkEnd w:id="350"/>
    </w:p>
    <w:p w14:paraId="4CB8F4B0">
      <w:pPr>
        <w:widowControl/>
        <w:spacing w:line="360" w:lineRule="auto"/>
        <w:ind w:firstLine="504" w:firstLineChars="200"/>
        <w:rPr>
          <w:rFonts w:hint="eastAsia" w:ascii="宋体" w:hAnsi="宋体" w:eastAsia="宋体" w:cs="宋体"/>
          <w:spacing w:val="6"/>
          <w:sz w:val="24"/>
          <w:szCs w:val="24"/>
          <w:highlight w:val="none"/>
          <w:lang w:eastAsia="zh-CN"/>
        </w:rPr>
      </w:pPr>
      <w:r>
        <w:rPr>
          <w:rFonts w:hint="eastAsia" w:ascii="Times New Roman" w:hAnsi="宋体" w:eastAsia="微软雅黑" w:cs="宋体"/>
          <w:spacing w:val="6"/>
          <w:kern w:val="2"/>
          <w:sz w:val="24"/>
          <w:szCs w:val="24"/>
          <w:highlight w:val="none"/>
          <w:lang w:val="en-US" w:eastAsia="zh-CN" w:bidi="ar-SA"/>
        </w:rPr>
        <w:t>1. Products supplied by suppliers must be classified as "energy-saving products" or "environmental labeling products." They shall provide valid certification certificates issued by nationally designated certification bodies for these product categories.</w:t>
      </w:r>
    </w:p>
    <w:p w14:paraId="6DAFBE20">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2. Applications not submitted in accordance with the above requirements will not be considered during the evaluation process.</w:t>
      </w:r>
    </w:p>
    <w:p w14:paraId="40E7AE71">
      <w:pPr>
        <w:snapToGrid w:val="0"/>
        <w:spacing w:line="360" w:lineRule="auto"/>
        <w:ind w:firstLine="480" w:firstLineChars="200"/>
        <w:rPr>
          <w:rFonts w:ascii="宋体" w:hAnsi="宋体" w:cs="宋体"/>
          <w:sz w:val="24"/>
          <w:szCs w:val="24"/>
          <w:highlight w:val="none"/>
        </w:rPr>
      </w:pPr>
    </w:p>
    <w:p w14:paraId="5DD1961C">
      <w:pPr>
        <w:spacing w:line="588" w:lineRule="exact"/>
        <w:ind w:firstLine="504" w:firstLineChars="200"/>
        <w:rPr>
          <w:rFonts w:ascii="宋体" w:hAnsi="宋体" w:cs="宋体"/>
          <w:spacing w:val="6"/>
          <w:sz w:val="24"/>
          <w:szCs w:val="24"/>
          <w:highlight w:val="none"/>
        </w:rPr>
      </w:pPr>
    </w:p>
    <w:p w14:paraId="22BF3D25">
      <w:pPr>
        <w:pStyle w:val="3"/>
        <w:adjustRightInd w:val="0"/>
        <w:spacing w:line="416" w:lineRule="atLeast"/>
        <w:textAlignment w:val="baseline"/>
        <w:rPr>
          <w:rFonts w:ascii="宋体" w:hAnsi="宋体" w:cs="宋体"/>
          <w:highlight w:val="none"/>
        </w:rPr>
        <w:sectPr>
          <w:pgSz w:w="11906" w:h="16838"/>
          <w:pgMar w:top="1440" w:right="1803" w:bottom="1440" w:left="1803" w:header="851" w:footer="992" w:gutter="0"/>
          <w:pgNumType w:fmt="decimal"/>
          <w:cols w:space="720" w:num="1"/>
          <w:docGrid w:type="lines" w:linePitch="319" w:charSpace="0"/>
        </w:sectPr>
      </w:pPr>
    </w:p>
    <w:p w14:paraId="35CE2058">
      <w:pPr>
        <w:pStyle w:val="4"/>
        <w:rPr>
          <w:rFonts w:hint="eastAsia" w:ascii="仿宋" w:hAnsi="仿宋" w:eastAsia="仿宋" w:cs="仿宋"/>
          <w:i w:val="0"/>
          <w:iCs w:val="0"/>
          <w:caps w:val="0"/>
          <w:color w:val="000000"/>
          <w:spacing w:val="0"/>
          <w:sz w:val="36"/>
          <w:szCs w:val="36"/>
          <w:highlight w:val="none"/>
          <w:lang w:eastAsia="zh-CN"/>
        </w:rPr>
      </w:pPr>
      <w:bookmarkStart w:id="351" w:name="_Toc24855"/>
      <w:bookmarkStart w:id="352" w:name="_Toc29632"/>
      <w:bookmarkStart w:id="353" w:name="_Toc23799"/>
      <w:bookmarkStart w:id="354" w:name="_Toc19997"/>
      <w:bookmarkStart w:id="355" w:name="_Toc4414"/>
      <w:bookmarkStart w:id="356" w:name="_Toc10027"/>
      <w:bookmarkStart w:id="357" w:name="_Toc11924"/>
      <w:bookmarkStart w:id="358" w:name="_Toc26351"/>
      <w:bookmarkStart w:id="359" w:name="_Toc5338"/>
      <w:r>
        <w:rPr>
          <w:rFonts w:hint="eastAsia" w:ascii="Times New Roman" w:hAnsi="仿宋" w:eastAsia="微软雅黑" w:cs="仿宋"/>
          <w:b/>
          <w:i w:val="0"/>
          <w:iCs w:val="0"/>
          <w:caps w:val="0"/>
          <w:color w:val="000000"/>
          <w:spacing w:val="0"/>
          <w:kern w:val="2"/>
          <w:sz w:val="28"/>
          <w:szCs w:val="28"/>
          <w:highlight w:val="none"/>
          <w:shd w:val="clear" w:fill="FFFFFF"/>
          <w:vertAlign w:val="baseline"/>
          <w:lang w:val="en-US" w:eastAsia="zh-CN" w:bidi="ar-SA"/>
        </w:rPr>
        <w:t>Appendix 5: Letter of Declaration Regarding Compliance with National Product Standards</w:t>
      </w:r>
      <w:bookmarkEnd w:id="351"/>
      <w:bookmarkEnd w:id="352"/>
      <w:bookmarkEnd w:id="353"/>
      <w:bookmarkEnd w:id="354"/>
      <w:bookmarkEnd w:id="355"/>
      <w:bookmarkEnd w:id="356"/>
      <w:bookmarkEnd w:id="357"/>
      <w:bookmarkEnd w:id="358"/>
      <w:bookmarkEnd w:id="359"/>
    </w:p>
    <w:p w14:paraId="15417C1F">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 </w:t>
      </w:r>
    </w:p>
    <w:p w14:paraId="46E0C7C6">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Our company (organization) hereby solemnly declares that, in accordance with the provisions of the "Notice of the General Office of the State Council on Implementing Domestic Product Standards and Related Policies in Government Procurement" (Guoban Fa [2025] No.34), the following products supplied by our company (organization) are classified as domestic products. The details are as follows:</w:t>
      </w:r>
    </w:p>
    <w:p w14:paraId="33B8CEB0">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1. (Product Name 1) 1 is manufactured by (Factory Name) 2 at the facility located at (Production Site). The proportion of component costs for (Product Name 1) produced within China is ≥ (specified ratio) 3. The (key components) 4 of (Product Name 1) are manufactured within China. The (key processes) 5 of (Product Name 1) are completed within China.</w:t>
      </w:r>
    </w:p>
    <w:p w14:paraId="60E119B7">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2. (Product Name 2) is manufactured by (Factory Name) at the facility located at (Production Site). The proportion of component costs for (Product Name 2) produced within China is ≥ (specified ratio). The (key components) of (Product Name 2) are manufactured within China, and the (key processes) of (Product Name 2) are completed within China.</w:t>
      </w:r>
    </w:p>
    <w:p w14:paraId="6A6ED63C">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w:t>
      </w:r>
    </w:p>
    <w:p w14:paraId="1258DEA8">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Our company (organization) assumes responsibility for the authenticity of the aforementioned statements. Should any information be found to be false, we hereby agree to bear corresponding legal liability.</w:t>
      </w:r>
    </w:p>
    <w:p w14:paraId="4CBD43F4">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 </w:t>
      </w:r>
    </w:p>
    <w:p w14:paraId="0CC8E1C0">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right"/>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Company (Unit) Name (Seal):</w:t>
      </w:r>
    </w:p>
    <w:p w14:paraId="10EA1E2B">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right"/>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Date: Year Month Day</w:t>
      </w:r>
    </w:p>
    <w:p w14:paraId="79E2EBEC">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__________________</w:t>
      </w:r>
    </w:p>
    <w:p w14:paraId="2D005CEA">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lang w:eastAsia="zh-CN"/>
        </w:rPr>
      </w:pPr>
      <w:r>
        <w:rPr>
          <w:rFonts w:hint="eastAsia" w:ascii="Times New Roman" w:hAnsi="仿宋" w:eastAsia="微软雅黑" w:cs="仿宋"/>
          <w:i w:val="0"/>
          <w:iCs w:val="0"/>
          <w:caps w:val="0"/>
          <w:color w:val="000000"/>
          <w:spacing w:val="0"/>
          <w:kern w:val="0"/>
          <w:sz w:val="21"/>
          <w:szCs w:val="21"/>
          <w:highlight w:val="none"/>
          <w:shd w:val="clear" w:fill="FFFFFF"/>
          <w:vertAlign w:val="baseline"/>
          <w:lang w:val="en-US" w:eastAsia="zh-CN" w:bidi="ar-SA"/>
        </w:rPr>
        <w:t>1. If the product has a model number, please enter it in the "Product Name" field as well.</w:t>
      </w:r>
    </w:p>
    <w:p w14:paraId="5240A861">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lang w:eastAsia="zh-CN"/>
        </w:rPr>
      </w:pPr>
      <w:r>
        <w:rPr>
          <w:rFonts w:hint="eastAsia" w:ascii="Times New Roman" w:hAnsi="仿宋" w:eastAsia="微软雅黑" w:cs="仿宋"/>
          <w:i w:val="0"/>
          <w:iCs w:val="0"/>
          <w:caps w:val="0"/>
          <w:color w:val="000000"/>
          <w:spacing w:val="0"/>
          <w:kern w:val="0"/>
          <w:sz w:val="21"/>
          <w:szCs w:val="21"/>
          <w:highlight w:val="none"/>
          <w:shd w:val="clear" w:fill="FFFFFF"/>
          <w:vertAlign w:val="baseline"/>
          <w:lang w:val="en-US" w:eastAsia="zh-CN" w:bidi="ar-SA"/>
        </w:rPr>
        <w:t>2. The manufacturer's name and address must match the information specified in its business license.</w:t>
      </w:r>
    </w:p>
    <w:p w14:paraId="477CF07B">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lang w:eastAsia="zh-CN"/>
        </w:rPr>
      </w:pPr>
      <w:r>
        <w:rPr>
          <w:rFonts w:hint="eastAsia" w:ascii="Times New Roman" w:hAnsi="仿宋" w:eastAsia="微软雅黑" w:cs="仿宋"/>
          <w:i w:val="0"/>
          <w:iCs w:val="0"/>
          <w:caps w:val="0"/>
          <w:color w:val="000000"/>
          <w:spacing w:val="0"/>
          <w:kern w:val="0"/>
          <w:sz w:val="21"/>
          <w:szCs w:val="21"/>
          <w:highlight w:val="none"/>
          <w:shd w:val="clear" w:fill="FFFFFF"/>
          <w:vertAlign w:val="baseline"/>
          <w:lang w:val="en-US" w:eastAsia="zh-CN" w:bidi="ar-SA"/>
        </w:rPr>
        <w:t>3. Prior to the implementation of the relevant requirements regarding the proportion of component costs produced within China for this product, the "規定比例" field may be left blank; the same applies below.</w:t>
      </w:r>
    </w:p>
    <w:p w14:paraId="5D6C684C">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lang w:eastAsia="zh-CN"/>
        </w:rPr>
      </w:pPr>
      <w:r>
        <w:rPr>
          <w:rFonts w:hint="eastAsia" w:ascii="Times New Roman" w:hAnsi="仿宋" w:eastAsia="微软雅黑" w:cs="仿宋"/>
          <w:i w:val="0"/>
          <w:iCs w:val="0"/>
          <w:caps w:val="0"/>
          <w:color w:val="000000"/>
          <w:spacing w:val="0"/>
          <w:kern w:val="0"/>
          <w:sz w:val="21"/>
          <w:szCs w:val="21"/>
          <w:highlight w:val="none"/>
          <w:shd w:val="clear" w:fill="FFFFFF"/>
          <w:vertAlign w:val="baseline"/>
          <w:lang w:val="en-US" w:eastAsia="zh-CN" w:bidi="ar-SA"/>
        </w:rPr>
        <w:t>4. For key components of this product, the "Key Components" field may be left blank prior to implementation; the same applies below.</w:t>
      </w:r>
    </w:p>
    <w:p w14:paraId="348AA257">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lang w:eastAsia="zh-CN"/>
        </w:rPr>
      </w:pPr>
      <w:r>
        <w:rPr>
          <w:rFonts w:hint="eastAsia" w:ascii="Times New Roman" w:hAnsi="仿宋" w:eastAsia="微软雅黑" w:cs="仿宋"/>
          <w:i w:val="0"/>
          <w:iCs w:val="0"/>
          <w:caps w:val="0"/>
          <w:color w:val="000000"/>
          <w:spacing w:val="0"/>
          <w:kern w:val="0"/>
          <w:sz w:val="21"/>
          <w:szCs w:val="21"/>
          <w:highlight w:val="none"/>
          <w:shd w:val="clear" w:fill="FFFFFF"/>
          <w:vertAlign w:val="baseline"/>
          <w:lang w:val="en-US" w:eastAsia="zh-CN" w:bidi="ar-SA"/>
        </w:rPr>
        <w:t>5. Before implementing the key process requirements for this product, the "Key Process" field may be left blank; the same applies below.</w:t>
      </w:r>
    </w:p>
    <w:p w14:paraId="4CC6AE08">
      <w:pPr>
        <w:rPr>
          <w:rFonts w:hint="default"/>
          <w:highlight w:val="none"/>
          <w:lang w:val="en-US" w:eastAsia="zh-CN"/>
        </w:rPr>
      </w:pPr>
    </w:p>
    <w:p w14:paraId="74C61CDD">
      <w:pPr>
        <w:keepNext w:val="0"/>
        <w:keepLines w:val="0"/>
        <w:widowControl/>
        <w:suppressLineNumbers w:val="0"/>
        <w:pBdr>
          <w:top w:val="single" w:color="FF0000" w:sz="18" w:space="30"/>
          <w:left w:val="none" w:color="auto" w:sz="0" w:space="0"/>
          <w:bottom w:val="none" w:color="auto" w:sz="0" w:space="0"/>
          <w:right w:val="none" w:color="auto" w:sz="0" w:space="0"/>
        </w:pBdr>
        <w:shd w:val="clear" w:fill="FFFFFF"/>
        <w:spacing w:before="0" w:beforeAutospacing="1" w:after="0" w:afterAutospacing="1" w:line="420" w:lineRule="atLeast"/>
        <w:ind w:left="0" w:right="0" w:firstLine="0"/>
        <w:jc w:val="center"/>
        <w:textAlignment w:val="baseline"/>
        <w:rPr>
          <w:rFonts w:ascii="华文中宋" w:hAnsi="华文中宋" w:eastAsia="华文中宋" w:cs="华文中宋"/>
          <w:i w:val="0"/>
          <w:iCs w:val="0"/>
          <w:caps w:val="0"/>
          <w:color w:val="000000"/>
          <w:spacing w:val="0"/>
          <w:sz w:val="30"/>
          <w:szCs w:val="30"/>
          <w:highlight w:val="none"/>
        </w:rPr>
      </w:pPr>
      <w:r>
        <w:rPr>
          <w:rFonts w:hint="eastAsia" w:ascii="宋体" w:hAnsi="宋体" w:cs="宋体"/>
          <w:highlight w:val="none"/>
        </w:rPr>
        <w:br w:type="page"/>
      </w:r>
    </w:p>
    <w:p w14:paraId="1F5C3822">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0"/>
        <w:jc w:val="center"/>
        <w:textAlignment w:val="baseline"/>
        <w:rPr>
          <w:rFonts w:hint="eastAsia" w:ascii="仿宋" w:hAnsi="仿宋" w:eastAsia="华文中宋" w:cs="仿宋"/>
          <w:i w:val="0"/>
          <w:iCs w:val="0"/>
          <w:caps w:val="0"/>
          <w:color w:val="000000"/>
          <w:spacing w:val="0"/>
          <w:sz w:val="24"/>
          <w:szCs w:val="24"/>
          <w:highlight w:val="none"/>
          <w:u w:val="none"/>
          <w:shd w:val="clear" w:fill="FFFFFF"/>
          <w:vertAlign w:val="baseline"/>
          <w:lang w:eastAsia="zh-CN"/>
        </w:rPr>
      </w:pPr>
      <w:r>
        <w:rPr>
          <w:rFonts w:hint="eastAsia" w:ascii="Times New Roman" w:hAnsi="华文中宋" w:eastAsia="微软雅黑" w:cs="华文中宋"/>
          <w:i w:val="0"/>
          <w:iCs w:val="0"/>
          <w:caps w:val="0"/>
          <w:color w:val="000000"/>
          <w:spacing w:val="0"/>
          <w:kern w:val="0"/>
          <w:sz w:val="30"/>
          <w:szCs w:val="30"/>
          <w:highlight w:val="none"/>
          <w:shd w:val="clear" w:fill="FFFFFF"/>
          <w:lang w:val="en-US" w:eastAsia="zh-CN" w:bidi="ar-SA"/>
        </w:rPr>
        <w:t>Notice of the General Office of the State Council on Implementing Domestic Product Standards and Related Policies in Government Procurement</w:t>
      </w:r>
    </w:p>
    <w:p w14:paraId="7A5BFEDA">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0"/>
        <w:jc w:val="left"/>
        <w:textAlignment w:val="baseline"/>
        <w:rPr>
          <w:rFonts w:hint="eastAsia" w:eastAsia="仿宋"/>
          <w:sz w:val="28"/>
          <w:szCs w:val="28"/>
          <w:highlight w:val="none"/>
          <w:lang w:eastAsia="zh-CN"/>
        </w:rPr>
      </w:pPr>
      <w:r>
        <w:rPr>
          <w:rFonts w:hint="eastAsia" w:ascii="Times New Roman" w:hAnsi="仿宋" w:eastAsia="微软雅黑" w:cs="仿宋"/>
          <w:i w:val="0"/>
          <w:iCs w:val="0"/>
          <w:caps w:val="0"/>
          <w:color w:val="000000"/>
          <w:spacing w:val="0"/>
          <w:kern w:val="0"/>
          <w:sz w:val="24"/>
          <w:szCs w:val="24"/>
          <w:highlight w:val="none"/>
          <w:u w:val="none"/>
          <w:shd w:val="clear" w:fill="FFFFFF"/>
          <w:vertAlign w:val="baseline"/>
          <w:lang w:val="en-US" w:eastAsia="zh-CN" w:bidi="ar-SA"/>
        </w:rPr>
        <w:t>To the people's governments of all provinces, autonomous regions, and municipalities directly under the central government; to all ministries, commissions, and directly affiliated institutions of the State Council:</w:t>
      </w:r>
    </w:p>
    <w:p w14:paraId="7DD71593">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420"/>
        <w:textAlignment w:val="baseline"/>
        <w:rPr>
          <w:rFonts w:hint="eastAsia" w:eastAsia="仿宋"/>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u w:val="none"/>
          <w:shd w:val="clear" w:fill="FFFFFF"/>
          <w:vertAlign w:val="baseline"/>
          <w:lang w:val="en-US" w:eastAsia="zh-CN" w:bidi="ar-SA"/>
        </w:rPr>
        <w:t>To establish a unified, open, competitive, and orderly government procurement market system, improve the government procurement framework, and ensure equal participation of all types of business entities in procurement activities, in accordance with the Government Procurement Law of the People's Republic of China, the Foreign Investment Law of the People's Republic of China, and other relevant laws and regulations, and with the approval of the State Council, the following notice is issued regarding the implementation of domestic product standards and related policies in government procurement:</w:t>
      </w:r>
    </w:p>
    <w:p w14:paraId="7CC7882D">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ascii="仿宋" w:hAnsi="仿宋" w:eastAsia="仿宋" w:cs="仿宋"/>
          <w:i w:val="0"/>
          <w:iCs w:val="0"/>
          <w:caps w:val="0"/>
          <w:color w:val="000000"/>
          <w:spacing w:val="0"/>
          <w:sz w:val="28"/>
          <w:szCs w:val="28"/>
          <w:highlight w:val="none"/>
        </w:rPr>
      </w:pPr>
    </w:p>
    <w:p w14:paraId="31F2C176">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b/>
          <w:i w:val="0"/>
          <w:iCs w:val="0"/>
          <w:caps w:val="0"/>
          <w:color w:val="000000"/>
          <w:spacing w:val="0"/>
          <w:kern w:val="0"/>
          <w:sz w:val="28"/>
          <w:szCs w:val="28"/>
          <w:highlight w:val="none"/>
          <w:shd w:val="clear" w:fill="FFFFFF"/>
          <w:vertAlign w:val="baseline"/>
          <w:lang w:val="en-US" w:eastAsia="zh-CN" w:bidi="ar-SA"/>
        </w:rPr>
        <w:t>I. Standards for Domestic Products</w:t>
      </w:r>
    </w:p>
    <w:p w14:paraId="12A46A4D">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Domestic products must meet the following requirements:</w:t>
      </w:r>
    </w:p>
    <w:p w14:paraId="65F37A7E">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楷体" w:cs="仿宋"/>
          <w:i w:val="0"/>
          <w:iCs w:val="0"/>
          <w:caps w:val="0"/>
          <w:color w:val="000000"/>
          <w:spacing w:val="0"/>
          <w:sz w:val="28"/>
          <w:szCs w:val="28"/>
          <w:highlight w:val="none"/>
          <w:lang w:eastAsia="zh-CN"/>
        </w:rPr>
      </w:pPr>
      <w:r>
        <w:rPr>
          <w:rFonts w:hint="eastAsia" w:ascii="Times New Roman" w:hAnsi="楷体" w:eastAsia="微软雅黑" w:cs="楷体"/>
          <w:i w:val="0"/>
          <w:iCs w:val="0"/>
          <w:caps w:val="0"/>
          <w:color w:val="000000"/>
          <w:spacing w:val="0"/>
          <w:kern w:val="0"/>
          <w:sz w:val="28"/>
          <w:szCs w:val="28"/>
          <w:highlight w:val="none"/>
          <w:shd w:val="clear" w:fill="FFFFFF"/>
          <w:vertAlign w:val="baseline"/>
          <w:lang w:val="en-US" w:eastAsia="zh-CN" w:bidi="ar-SA"/>
        </w:rPr>
        <w:t>(1) Production within China</w:t>
      </w:r>
    </w:p>
    <w:p w14:paraId="5F3B1BA6">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The product shall be manufactured within China, meaning that the transformation from raw materials and components to the final product is completed within the territory of the People's Republic of China.</w:t>
      </w:r>
    </w:p>
    <w:p w14:paraId="15E384CB">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Property modification refers to the creation of a new product that is entirely distinct from the raw materials or components through processes such as manufacturing, processing, or assembly, and possesses a new name and characteristics (usage). Property modification does not include the following minor operations:</w:t>
      </w:r>
    </w:p>
    <w:p w14:paraId="076268F8">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1. Operations performed to ensure that a product maintains a specific state during transportation or storage;</w:t>
      </w:r>
    </w:p>
    <w:p w14:paraId="11C5E951">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2. Packaging or display intended for product transportation or sale;</w:t>
      </w:r>
    </w:p>
    <w:p w14:paraId="586E4E25">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3. Affix or print the brand, logo, identification mark, and other distinguishing marks on the product or its packaging;</w:t>
      </w:r>
    </w:p>
    <w:p w14:paraId="36DDF44D">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4. Simple painting, polishing, and packaging;</w:t>
      </w:r>
    </w:p>
    <w:p w14:paraId="509C339F">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5. Other circumstances that do not constitute changes in attributes.</w:t>
      </w:r>
    </w:p>
    <w:p w14:paraId="175D920C">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楷体" w:cs="仿宋"/>
          <w:i w:val="0"/>
          <w:iCs w:val="0"/>
          <w:caps w:val="0"/>
          <w:color w:val="000000"/>
          <w:spacing w:val="0"/>
          <w:sz w:val="28"/>
          <w:szCs w:val="28"/>
          <w:highlight w:val="none"/>
          <w:lang w:eastAsia="zh-CN"/>
        </w:rPr>
      </w:pPr>
      <w:r>
        <w:rPr>
          <w:rFonts w:hint="eastAsia" w:ascii="Times New Roman" w:hAnsi="楷体" w:eastAsia="微软雅黑" w:cs="楷体"/>
          <w:i w:val="0"/>
          <w:iCs w:val="0"/>
          <w:caps w:val="0"/>
          <w:color w:val="000000"/>
          <w:spacing w:val="0"/>
          <w:kern w:val="0"/>
          <w:sz w:val="28"/>
          <w:szCs w:val="28"/>
          <w:highlight w:val="none"/>
          <w:shd w:val="clear" w:fill="FFFFFF"/>
          <w:vertAlign w:val="baseline"/>
          <w:lang w:val="en-US" w:eastAsia="zh-CN" w:bidi="ar-SA"/>
        </w:rPr>
        <w:t>(2) The cost proportion of components produced within China reaches the specified ratio.</w:t>
      </w:r>
    </w:p>
    <w:p w14:paraId="23EC027D">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The proportion of component costs incurred during production within China shall meet the specified ratio, calculated according to the following formula:</w:t>
      </w:r>
    </w:p>
    <w:p w14:paraId="2E583688">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center"/>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drawing>
          <wp:inline distT="0" distB="0" distL="114300" distR="114300">
            <wp:extent cx="4829175" cy="762000"/>
            <wp:effectExtent l="0" t="0" r="9525" b="0"/>
            <wp:docPr id="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IMG_256"/>
                    <pic:cNvPicPr>
                      <a:picLocks noChangeAspect="1"/>
                    </pic:cNvPicPr>
                  </pic:nvPicPr>
                  <pic:blipFill>
                    <a:blip r:embed="rId28"/>
                    <a:stretch>
                      <a:fillRect/>
                    </a:stretch>
                  </pic:blipFill>
                  <pic:spPr>
                    <a:xfrm>
                      <a:off x="0" y="0"/>
                      <a:ext cx="4829175" cy="762000"/>
                    </a:xfrm>
                    <a:prstGeom prst="rect">
                      <a:avLst/>
                    </a:prstGeom>
                    <a:noFill/>
                    <a:ln w="9525">
                      <a:noFill/>
                    </a:ln>
                  </pic:spPr>
                </pic:pic>
              </a:graphicData>
            </a:graphic>
          </wp:inline>
        </w:drawing>
      </w:r>
    </w:p>
    <w:p w14:paraId="14A5EC88">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The Ministry of Finance, in conjunction with relevant industry authorities, shall determine the required proportion of component costs produced within China for each product category. Prior to the implementation of these requirements regarding the proportion of component costs produced within China for specific products, products meeting the conditions specified in Item (1) of Article 1 of this Notice shall be treated as domestic products in government procurement activities.</w:t>
      </w:r>
    </w:p>
    <w:p w14:paraId="39B5D972">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楷体" w:cs="仿宋"/>
          <w:i w:val="0"/>
          <w:iCs w:val="0"/>
          <w:caps w:val="0"/>
          <w:color w:val="000000"/>
          <w:spacing w:val="0"/>
          <w:sz w:val="28"/>
          <w:szCs w:val="28"/>
          <w:highlight w:val="none"/>
          <w:lang w:eastAsia="zh-CN"/>
        </w:rPr>
      </w:pPr>
      <w:r>
        <w:rPr>
          <w:rFonts w:hint="eastAsia" w:ascii="Times New Roman" w:hAnsi="楷体" w:eastAsia="微软雅黑" w:cs="楷体"/>
          <w:i w:val="0"/>
          <w:iCs w:val="0"/>
          <w:caps w:val="0"/>
          <w:color w:val="000000"/>
          <w:spacing w:val="0"/>
          <w:kern w:val="0"/>
          <w:sz w:val="28"/>
          <w:szCs w:val="28"/>
          <w:highlight w:val="none"/>
          <w:shd w:val="clear" w:fill="FFFFFF"/>
          <w:vertAlign w:val="baseline"/>
          <w:lang w:val="en-US" w:eastAsia="zh-CN" w:bidi="ar-SA"/>
        </w:rPr>
        <w:t>(3) The key components and critical processes of specific products comply with relevant requirements.</w:t>
      </w:r>
    </w:p>
    <w:p w14:paraId="465C1F4F">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For specific products, in addition to meeting the conditions specified in Items (1) and (2) of Article 1 of this Notice, they shall also comply with the requirements determined by the Ministry of Finance in conjunction with relevant industry authorities regarding the production and completion of their key components and critical processes within China.</w:t>
      </w:r>
    </w:p>
    <w:p w14:paraId="5B5D9654">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The Ministry of Finance, in conjunction with relevant industry authorities, shall, within five years from the effective date of this notice and after fully soliciting opinions from domestic and foreign-funded enterprises, industry associations, chambers of commerce, and other stakeholders, adopt differentiated approaches and proceed prudently to establish, for each product category, the required proportion of component costs produced within China, as well as specific requirements for key components and critical manufacturing processes of particular products. Depending on the development status of different industries, a transition period of 3 to 5 years shall be set when issuing detailed product-specific requirements, thereby gradually establishing a standard system for domestically produced goods in government procurement and a dynamic adjustment mechanism.</w:t>
      </w:r>
    </w:p>
    <w:p w14:paraId="3BFAFBB1">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b/>
          <w:i w:val="0"/>
          <w:iCs w:val="0"/>
          <w:caps w:val="0"/>
          <w:color w:val="000000"/>
          <w:spacing w:val="0"/>
          <w:kern w:val="0"/>
          <w:sz w:val="28"/>
          <w:szCs w:val="28"/>
          <w:highlight w:val="none"/>
          <w:shd w:val="clear" w:fill="FFFFFF"/>
          <w:vertAlign w:val="baseline"/>
          <w:lang w:val="en-US" w:eastAsia="zh-CN" w:bidi="ar-SA"/>
        </w:rPr>
        <w:t>II. Scope of Application of Domestic Product Standards</w:t>
      </w:r>
    </w:p>
    <w:p w14:paraId="057E5B2B">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National product standards apply to goods, including those involved in government procurement of goods and services. Goods subject to these standards specifically refer to product categories listed in the Government Procurement Item Classification Catalog, excluding housing and structures, cultural relics and exhibits, books and archives, special animals and plants, agricultural, forestry, livestock, and fishery products, minerals and ores, electricity, urban gas, steam and hot water, water, food, beverages, tobacco raw materials, and intangible assets.</w:t>
      </w:r>
    </w:p>
    <w:p w14:paraId="1A10BFC9">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b/>
          <w:i w:val="0"/>
          <w:iCs w:val="0"/>
          <w:caps w:val="0"/>
          <w:color w:val="000000"/>
          <w:spacing w:val="0"/>
          <w:kern w:val="0"/>
          <w:sz w:val="28"/>
          <w:szCs w:val="28"/>
          <w:highlight w:val="none"/>
          <w:shd w:val="clear" w:fill="FFFFFF"/>
          <w:vertAlign w:val="baseline"/>
          <w:lang w:val="en-US" w:eastAsia="zh-CN" w:bidi="ar-SA"/>
        </w:rPr>
        <w:t>III. Support Policies for Domestic Products</w:t>
      </w:r>
    </w:p>
    <w:p w14:paraId="67196C3E">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In government procurement activities where both domestic and foreign products compete, domestic products shall be granted price evaluation preferences in accordance with the law: a 20% discount shall be applied to their bid prices, and these discounted prices shall be used for evaluation purposes.</w:t>
      </w:r>
    </w:p>
    <w:p w14:paraId="2649C0ED">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When a procurement item or procurement package contains multiple products, if the total cost of products supplied by a supplier that comply with national product standards accounts for more than 80% of the total product costs provided by that supplier, a price evaluation discount shall be granted to all products supplied by the supplier in accordance with the law; specifically, a 20% price reduction shall be applied to the total quotation for all such products, and the discounted price shall be used for the evaluation.</w:t>
      </w:r>
    </w:p>
    <w:p w14:paraId="3319A3E9">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b/>
          <w:i w:val="0"/>
          <w:iCs w:val="0"/>
          <w:caps w:val="0"/>
          <w:color w:val="000000"/>
          <w:spacing w:val="0"/>
          <w:kern w:val="0"/>
          <w:sz w:val="28"/>
          <w:szCs w:val="28"/>
          <w:highlight w:val="none"/>
          <w:shd w:val="clear" w:fill="FFFFFF"/>
          <w:vertAlign w:val="baseline"/>
          <w:lang w:val="en-US" w:eastAsia="zh-CN" w:bidi="ar-SA"/>
        </w:rPr>
        <w:t>IV. Requirements for Policy Implementation</w:t>
      </w:r>
    </w:p>
    <w:p w14:paraId="0AF12D34">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(1) Rules for calculating the component costs of products manufactured within China. The component costs of products manufactured within China shall be calculated in accordance with the "Basic Rules for Calculating Component Costs of Products Manufactured within China" (see Annex 1).</w:t>
      </w:r>
    </w:p>
    <w:p w14:paraId="501CC4C7">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(2) Relevant supporting documents. The procuring entity and the procurement agency shall explicitly require suppliers to provide either a "Statement Letter on Compliance with Domestic Product Standards" (see Annex 2 for format, hereinafter referred to as the "Statement Letter") or other relevant supporting documents specified by the Ministry of Finance in conjunction with relevant authorities in the procurement documents. If a supplier provides a compliant Statement Letter or the required supporting documents, the product shall be deemed a domestic product, and the procuring entity or procurement agency shall not further require additional documentation. If a supplier submits a false Statement Letter or fraudulent supporting documents to secure a bid or contract award, corresponding liabilities shall be pursued in accordance with laws and regulations such as the Government Procurement Law of the People's Republic of China.</w:t>
      </w:r>
    </w:p>
    <w:p w14:paraId="3D8CBCDF">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The procuring entity and the procurement agency shall simultaneously publish the Declaration Letter or relevant supporting documents provided by the winning supplier in accordance with the bid award or transaction outcome.</w:t>
      </w:r>
    </w:p>
    <w:p w14:paraId="62885B60">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(3) Equal Treatment for All Types of Business Entities. State-owned enterprises, private enterprises, foreign-funded enterprises, and other business entities shall enjoy equal access to government procurement support policies for domestic products. Procurement entities and procurement agencies shall treat all types of business entities equally in terms of publishing procurement information, determining supplier qualification criteria, conducting qualification reviews, and establishing evaluation standards, thereby ensuring fair competition among all entities. All regions and departments shall enhance coordination and must not introduce policy measures that violate the provisions of this notice; they shall not designate specific brands or restrict brand registration locations or owners in procurement activities, nor shall they impose discriminatory treatment on suppliers based on ownership structure, organizational form, equity composition, investor nationality, or any other unreasonable conditions.</w:t>
      </w:r>
    </w:p>
    <w:p w14:paraId="5C84A8ED">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(4) Where international treaties or agreements concluded or to which the People's Republic of China is a party contain separate provisions regarding domestic product policies in government procurement, such provisions shall prevail.</w:t>
      </w:r>
    </w:p>
    <w:p w14:paraId="35268100">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b/>
          <w:i w:val="0"/>
          <w:iCs w:val="0"/>
          <w:caps w:val="0"/>
          <w:color w:val="000000"/>
          <w:spacing w:val="0"/>
          <w:kern w:val="0"/>
          <w:sz w:val="28"/>
          <w:szCs w:val="28"/>
          <w:highlight w:val="none"/>
          <w:shd w:val="clear" w:fill="FFFFFF"/>
          <w:vertAlign w:val="baseline"/>
          <w:lang w:val="en-US" w:eastAsia="zh-CN" w:bidi="ar-SA"/>
        </w:rPr>
        <w:t>V. Dispute Resolution</w:t>
      </w:r>
    </w:p>
    <w:p w14:paraId="597A59B0">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In handling government procurement complaints and conducting supervision and inspections, the financial department shall address matters involving disputes over domestic product standards in accordance with relevant laws and regulations on government procurement; when necessary, relevant departments or professional institutions shall verify such matters. All relevant departments, professional institutions, and their staff are obligated to maintain confidentiality regarding any trade secrets learned during the processing of government procurement complaints or supervision activities.</w:t>
      </w:r>
    </w:p>
    <w:p w14:paraId="620899E7">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(1) In the handling of government procurement complaints and supervision inspections, where there is a dispute regarding whether a product or component was manufactured within China, the following principles shall apply:</w:t>
      </w:r>
    </w:p>
    <w:p w14:paraId="6CDF1AFE">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1. For assembled products or components, relevant suppliers and manufacturers shall provide procurement contracts, purchase records, manufacturing, processing, assembly records, and other supporting documents for the products or components. If such supporting documents can prove that the products or components were manufactured within China, they shall be deemed to have been produced within China.</w:t>
      </w:r>
    </w:p>
    <w:p w14:paraId="721C42EB">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2. For products or components directly manufactured or processed from raw materials, such as steel, ceramic products, and glass, the relevant suppliers and manufacturers shall provide information such as the production facility address legally indicated on the packaging of the products or components. If the production facility is located within the territory of the People's Republic of China, the relevant products or components shall be deemed to have been produced in China.</w:t>
      </w:r>
    </w:p>
    <w:p w14:paraId="12876A1D">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(2) During the handling of government procurement complaints and supervision inspections, if there is a dispute regarding whether the proportion of component costs produced within China or the proportion of domestic product costs in a procurement item or package meets the prescribed ratio, the relevant suppliers and manufacturers shall provide accounting data for the components or products, procurement contracts, purchase records, etc. The financial authorities shall determine this in accordance with the rules for calculating component costs produced within China.</w:t>
      </w:r>
    </w:p>
    <w:p w14:paraId="4740DE9C">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(3) In the handling of government procurement complaints and supervision inspections, where there is a dispute regarding whether the key components of specific products are manufactured within China, the matter shall be handled in accordance with the principles stipulated in Item (1) of Article 5 of this Notice; where there is a dispute regarding whether the critical manufacturing processes of specific products are completed within China, the relevant suppliers and manufacturers shall provide documentation such as records proving that the critical processes are carried out within China.</w:t>
      </w:r>
    </w:p>
    <w:p w14:paraId="11416EA1">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During the handling of government procurement complaints and supervision inspections, if relevant suppliers or manufacturers fail to provide the required supporting documents as specified above, or if the submitted materials are insufficient to demonstrate compliance with domestic product standards, they shall not be eligible for government procurement support policies applicable to domestic products. Where such non-compliance affects or may affect procurement outcomes, the finance authorities shall address the matter in accordance with applicable government procurement laws and regulations.</w:t>
      </w:r>
    </w:p>
    <w:p w14:paraId="0798058E">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This notice shall come into effect on January 1, 2026.</w:t>
      </w:r>
    </w:p>
    <w:p w14:paraId="3EED5366">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 </w:t>
      </w:r>
    </w:p>
    <w:p w14:paraId="07301795">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Appendix: 1. Basic Rules for Cost Accounting of Components Manufactured in China</w:t>
      </w:r>
    </w:p>
    <w:p w14:paraId="115CABF4">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2. Letter of declaration confirming compliance with national product standards</w:t>
      </w:r>
    </w:p>
    <w:p w14:paraId="5082C405">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right"/>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General Office of the State Council</w:t>
      </w:r>
    </w:p>
    <w:p w14:paraId="7B4FDBE5">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right"/>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September 28,2025</w:t>
      </w:r>
    </w:p>
    <w:p w14:paraId="17E596C0">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(Publicly released)</w:t>
      </w:r>
    </w:p>
    <w:p w14:paraId="382E2D32">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 </w:t>
      </w:r>
    </w:p>
    <w:p w14:paraId="568B0CCA">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 </w:t>
      </w:r>
    </w:p>
    <w:p w14:paraId="089D000E">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Style w:val="33"/>
          <w:rFonts w:hint="eastAsia" w:ascii="仿宋" w:hAnsi="仿宋" w:eastAsia="仿宋" w:cs="仿宋"/>
          <w:i w:val="0"/>
          <w:iCs w:val="0"/>
          <w:caps w:val="0"/>
          <w:color w:val="000000"/>
          <w:spacing w:val="0"/>
          <w:sz w:val="28"/>
          <w:szCs w:val="28"/>
          <w:highlight w:val="none"/>
          <w:shd w:val="clear" w:fill="FFFFFF"/>
          <w:vertAlign w:val="baseline"/>
        </w:rPr>
        <w:sectPr>
          <w:pgSz w:w="11906" w:h="16838"/>
          <w:pgMar w:top="1440" w:right="1803" w:bottom="1440" w:left="1803" w:header="851" w:footer="992" w:gutter="0"/>
          <w:pgNumType w:fmt="decimal"/>
          <w:cols w:space="720" w:num="1"/>
          <w:docGrid w:type="lines" w:linePitch="319" w:charSpace="0"/>
        </w:sectPr>
      </w:pPr>
    </w:p>
    <w:p w14:paraId="69A1458F">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b/>
          <w:i w:val="0"/>
          <w:iCs w:val="0"/>
          <w:caps w:val="0"/>
          <w:color w:val="000000"/>
          <w:spacing w:val="0"/>
          <w:kern w:val="0"/>
          <w:sz w:val="28"/>
          <w:szCs w:val="28"/>
          <w:highlight w:val="none"/>
          <w:shd w:val="clear" w:fill="FFFFFF"/>
          <w:vertAlign w:val="baseline"/>
          <w:lang w:val="en-US" w:eastAsia="zh-CN" w:bidi="ar-SA"/>
        </w:rPr>
        <w:t>Attachment 1</w:t>
      </w:r>
    </w:p>
    <w:p w14:paraId="05E8E01F">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 </w:t>
      </w:r>
    </w:p>
    <w:p w14:paraId="4FCC6AAC">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center"/>
        <w:textAlignment w:val="baseline"/>
        <w:rPr>
          <w:rFonts w:hint="eastAsia" w:ascii="仿宋" w:hAnsi="仿宋" w:eastAsia="仿宋" w:cs="仿宋"/>
          <w:i w:val="0"/>
          <w:iCs w:val="0"/>
          <w:caps w:val="0"/>
          <w:color w:val="000000"/>
          <w:spacing w:val="0"/>
          <w:sz w:val="36"/>
          <w:szCs w:val="36"/>
          <w:highlight w:val="none"/>
          <w:lang w:eastAsia="zh-CN"/>
        </w:rPr>
      </w:pPr>
      <w:r>
        <w:rPr>
          <w:rFonts w:hint="eastAsia" w:ascii="Times New Roman" w:hAnsi="仿宋" w:eastAsia="微软雅黑" w:cs="仿宋"/>
          <w:b/>
          <w:i w:val="0"/>
          <w:iCs w:val="0"/>
          <w:caps w:val="0"/>
          <w:color w:val="000000"/>
          <w:spacing w:val="0"/>
          <w:kern w:val="0"/>
          <w:sz w:val="36"/>
          <w:szCs w:val="36"/>
          <w:highlight w:val="none"/>
          <w:shd w:val="clear" w:fill="FFFFFF"/>
          <w:vertAlign w:val="baseline"/>
          <w:lang w:val="en-US" w:eastAsia="zh-CN" w:bidi="ar-SA"/>
        </w:rPr>
        <w:t>Basic Rules for Cost Accounting of Components Manufactured within China</w:t>
      </w:r>
    </w:p>
    <w:p w14:paraId="7A897F49">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 </w:t>
      </w:r>
    </w:p>
    <w:p w14:paraId="65106E59">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The component costs of products manufactured within China are generally calculated based on the relevant costs of their secondary components. If cost calculation using the primary components of a product can meet the requirements for determining the component costs of domestically produced products in China, then the relevant costs of the primary components may be used for calculation.</w:t>
      </w:r>
    </w:p>
    <w:p w14:paraId="73CFE42F">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1. The primary components of a product are those that directly constitute the product itself. Secondary components are those that directly form part of the primary components. Primary components cannot be further decomposed and are considered secondary components.</w:t>
      </w:r>
    </w:p>
    <w:p w14:paraId="6FF946F4">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2. For secondary components manufactured within China, their entire cost shall be included in the component cost of those produced within China; for secondary components not manufactured within China, their cost shall not be included in the component cost of those produced within China.</w:t>
      </w:r>
    </w:p>
    <w:p w14:paraId="50F53437">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III. The total product cost and component costs are calculated based on relevant accounting data, procurement contracts, purchase records, etc.</w:t>
      </w:r>
    </w:p>
    <w:p w14:paraId="4D35EE38">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IV. Other matters requiring further clarification of cost accounting rules shall be separately stipulated by the Ministry of Finance in conjunction with relevant departments.</w:t>
      </w:r>
    </w:p>
    <w:p w14:paraId="7F8718DD">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 </w:t>
      </w:r>
    </w:p>
    <w:p w14:paraId="5937F232">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 </w:t>
      </w:r>
    </w:p>
    <w:p w14:paraId="02196D46">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b/>
          <w:i w:val="0"/>
          <w:iCs w:val="0"/>
          <w:caps w:val="0"/>
          <w:color w:val="000000"/>
          <w:spacing w:val="0"/>
          <w:kern w:val="0"/>
          <w:sz w:val="28"/>
          <w:szCs w:val="28"/>
          <w:highlight w:val="none"/>
          <w:shd w:val="clear" w:fill="FFFFFF"/>
          <w:vertAlign w:val="baseline"/>
          <w:lang w:val="en-US" w:eastAsia="zh-CN" w:bidi="ar-SA"/>
        </w:rPr>
        <w:t>Appendix 2</w:t>
      </w:r>
    </w:p>
    <w:p w14:paraId="39888A00">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 </w:t>
      </w:r>
    </w:p>
    <w:p w14:paraId="4656F749">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center"/>
        <w:textAlignment w:val="baseline"/>
        <w:rPr>
          <w:rFonts w:hint="eastAsia" w:ascii="仿宋" w:hAnsi="仿宋" w:eastAsia="仿宋" w:cs="仿宋"/>
          <w:i w:val="0"/>
          <w:iCs w:val="0"/>
          <w:caps w:val="0"/>
          <w:color w:val="000000"/>
          <w:spacing w:val="0"/>
          <w:sz w:val="36"/>
          <w:szCs w:val="36"/>
          <w:highlight w:val="none"/>
          <w:lang w:eastAsia="zh-CN"/>
        </w:rPr>
      </w:pPr>
      <w:r>
        <w:rPr>
          <w:rFonts w:hint="eastAsia" w:ascii="Times New Roman" w:hAnsi="仿宋" w:eastAsia="微软雅黑" w:cs="仿宋"/>
          <w:b/>
          <w:i w:val="0"/>
          <w:iCs w:val="0"/>
          <w:caps w:val="0"/>
          <w:color w:val="000000"/>
          <w:spacing w:val="0"/>
          <w:kern w:val="0"/>
          <w:sz w:val="36"/>
          <w:szCs w:val="36"/>
          <w:highlight w:val="none"/>
          <w:shd w:val="clear" w:fill="FFFFFF"/>
          <w:vertAlign w:val="baseline"/>
          <w:lang w:val="en-US" w:eastAsia="zh-CN" w:bidi="ar-SA"/>
        </w:rPr>
        <w:t>Letter of declaration regarding compliance with national product standards</w:t>
      </w:r>
    </w:p>
    <w:p w14:paraId="04DD7944">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 </w:t>
      </w:r>
    </w:p>
    <w:p w14:paraId="12D82A0F">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Our company (organization) hereby solemnly declares that, in accordance with the provisions of the "Notice of the General Office of the State Council on Implementing Domestic Product Standards and Related Policies in Government Procurement" (Guoban Fa [2025] No.34), the following products supplied by our company (organization) are classified as domestic products. The details are as follows:</w:t>
      </w:r>
    </w:p>
    <w:p w14:paraId="19888FD3">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1. (Product Name 1) 1 is manufactured by (Factory Name) 2 at the facility located at (Production Site). The proportion of component costs for (Product Name 1) produced within China is ≥ (specified ratio) 3. The (key components) 4 of (Product Name 1) are manufactured within China. The (key processes) 5 of (Product Name 1) are completed within China.</w:t>
      </w:r>
    </w:p>
    <w:p w14:paraId="20FF2747">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2. (Product Name 2) is manufactured by (Factory Name) at the facility located at (Production Site). The proportion of component costs for (Product Name 2) produced within China is ≥ (specified ratio). The (key components) of (Product Name 2) are manufactured within China, and the (key processes) of (Product Name 2) are completed within China.</w:t>
      </w:r>
    </w:p>
    <w:p w14:paraId="61CE414D">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w:t>
      </w:r>
    </w:p>
    <w:p w14:paraId="3022080C">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Our company (organization) assumes responsibility for the authenticity of the aforementioned statements. Should any information be found to be false, we hereby agree to bear corresponding legal liability.</w:t>
      </w:r>
    </w:p>
    <w:p w14:paraId="08E5C184">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 </w:t>
      </w:r>
    </w:p>
    <w:p w14:paraId="2FFFA21E">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right"/>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Company (Unit) Name (Seal):</w:t>
      </w:r>
    </w:p>
    <w:p w14:paraId="4373D194">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right"/>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Date: Year Month Day</w:t>
      </w:r>
    </w:p>
    <w:p w14:paraId="4050DD95">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Fonts w:hint="eastAsia" w:ascii="仿宋" w:hAnsi="仿宋" w:eastAsia="仿宋" w:cs="仿宋"/>
          <w:i w:val="0"/>
          <w:iCs w:val="0"/>
          <w:caps w:val="0"/>
          <w:color w:val="000000"/>
          <w:spacing w:val="0"/>
          <w:sz w:val="28"/>
          <w:szCs w:val="28"/>
          <w:highlight w:val="none"/>
          <w:lang w:eastAsia="zh-CN"/>
        </w:rPr>
      </w:pPr>
      <w:r>
        <w:rPr>
          <w:rFonts w:hint="eastAsia" w:ascii="Times New Roman" w:hAnsi="仿宋" w:eastAsia="微软雅黑" w:cs="仿宋"/>
          <w:i w:val="0"/>
          <w:iCs w:val="0"/>
          <w:caps w:val="0"/>
          <w:color w:val="000000"/>
          <w:spacing w:val="0"/>
          <w:kern w:val="0"/>
          <w:sz w:val="28"/>
          <w:szCs w:val="28"/>
          <w:highlight w:val="none"/>
          <w:shd w:val="clear" w:fill="FFFFFF"/>
          <w:vertAlign w:val="baseline"/>
          <w:lang w:val="en-US" w:eastAsia="zh-CN" w:bidi="ar-SA"/>
        </w:rPr>
        <w:t>__________________</w:t>
      </w:r>
    </w:p>
    <w:p w14:paraId="724220D8">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lang w:eastAsia="zh-CN"/>
        </w:rPr>
      </w:pPr>
      <w:r>
        <w:rPr>
          <w:rFonts w:hint="eastAsia" w:ascii="Times New Roman" w:hAnsi="仿宋" w:eastAsia="微软雅黑" w:cs="仿宋"/>
          <w:i w:val="0"/>
          <w:iCs w:val="0"/>
          <w:caps w:val="0"/>
          <w:color w:val="000000"/>
          <w:spacing w:val="0"/>
          <w:kern w:val="0"/>
          <w:sz w:val="21"/>
          <w:szCs w:val="21"/>
          <w:highlight w:val="none"/>
          <w:shd w:val="clear" w:fill="FFFFFF"/>
          <w:vertAlign w:val="baseline"/>
          <w:lang w:val="en-US" w:eastAsia="zh-CN" w:bidi="ar-SA"/>
        </w:rPr>
        <w:t>1. If the product has a model number, please enter it in the "Product Name" field as well.</w:t>
      </w:r>
    </w:p>
    <w:p w14:paraId="39F002F5">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lang w:eastAsia="zh-CN"/>
        </w:rPr>
      </w:pPr>
      <w:r>
        <w:rPr>
          <w:rFonts w:hint="eastAsia" w:ascii="Times New Roman" w:hAnsi="仿宋" w:eastAsia="微软雅黑" w:cs="仿宋"/>
          <w:i w:val="0"/>
          <w:iCs w:val="0"/>
          <w:caps w:val="0"/>
          <w:color w:val="000000"/>
          <w:spacing w:val="0"/>
          <w:kern w:val="0"/>
          <w:sz w:val="21"/>
          <w:szCs w:val="21"/>
          <w:highlight w:val="none"/>
          <w:shd w:val="clear" w:fill="FFFFFF"/>
          <w:vertAlign w:val="baseline"/>
          <w:lang w:val="en-US" w:eastAsia="zh-CN" w:bidi="ar-SA"/>
        </w:rPr>
        <w:t>2. The manufacturer's name and address must match the information specified in its business license.</w:t>
      </w:r>
    </w:p>
    <w:p w14:paraId="6720BECE">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lang w:eastAsia="zh-CN"/>
        </w:rPr>
      </w:pPr>
      <w:r>
        <w:rPr>
          <w:rFonts w:hint="eastAsia" w:ascii="Times New Roman" w:hAnsi="仿宋" w:eastAsia="微软雅黑" w:cs="仿宋"/>
          <w:i w:val="0"/>
          <w:iCs w:val="0"/>
          <w:caps w:val="0"/>
          <w:color w:val="000000"/>
          <w:spacing w:val="0"/>
          <w:kern w:val="0"/>
          <w:sz w:val="21"/>
          <w:szCs w:val="21"/>
          <w:highlight w:val="none"/>
          <w:shd w:val="clear" w:fill="FFFFFF"/>
          <w:vertAlign w:val="baseline"/>
          <w:lang w:val="en-US" w:eastAsia="zh-CN" w:bidi="ar-SA"/>
        </w:rPr>
        <w:t>3. Prior to the implementation of the relevant requirements regarding the proportion of component costs produced within China for this product, the "規定比例" field may be left blank; the same applies below.</w:t>
      </w:r>
    </w:p>
    <w:p w14:paraId="72FB979B">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lang w:eastAsia="zh-CN"/>
        </w:rPr>
      </w:pPr>
      <w:r>
        <w:rPr>
          <w:rFonts w:hint="eastAsia" w:ascii="Times New Roman" w:hAnsi="仿宋" w:eastAsia="微软雅黑" w:cs="仿宋"/>
          <w:i w:val="0"/>
          <w:iCs w:val="0"/>
          <w:caps w:val="0"/>
          <w:color w:val="000000"/>
          <w:spacing w:val="0"/>
          <w:kern w:val="0"/>
          <w:sz w:val="21"/>
          <w:szCs w:val="21"/>
          <w:highlight w:val="none"/>
          <w:shd w:val="clear" w:fill="FFFFFF"/>
          <w:vertAlign w:val="baseline"/>
          <w:lang w:val="en-US" w:eastAsia="zh-CN" w:bidi="ar-SA"/>
        </w:rPr>
        <w:t>4. For key components of this product, the "Key Components" field may be left blank prior to implementation; the same applies below.</w:t>
      </w:r>
    </w:p>
    <w:p w14:paraId="7399B602">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lang w:eastAsia="zh-CN"/>
        </w:rPr>
      </w:pPr>
      <w:r>
        <w:rPr>
          <w:rFonts w:hint="eastAsia" w:ascii="Times New Roman" w:hAnsi="仿宋" w:eastAsia="微软雅黑" w:cs="仿宋"/>
          <w:i w:val="0"/>
          <w:iCs w:val="0"/>
          <w:caps w:val="0"/>
          <w:color w:val="000000"/>
          <w:spacing w:val="0"/>
          <w:kern w:val="0"/>
          <w:sz w:val="21"/>
          <w:szCs w:val="21"/>
          <w:highlight w:val="none"/>
          <w:shd w:val="clear" w:fill="FFFFFF"/>
          <w:vertAlign w:val="baseline"/>
          <w:lang w:val="en-US" w:eastAsia="zh-CN" w:bidi="ar-SA"/>
        </w:rPr>
        <w:t>5. Before implementing the key process requirements for this product, the "Key Process" field may be left blank; the same applies below.</w:t>
      </w:r>
    </w:p>
    <w:p w14:paraId="3AD49F57">
      <w:pPr>
        <w:rPr>
          <w:rFonts w:hint="eastAsia" w:ascii="宋体" w:hAnsi="宋体" w:cs="宋体"/>
          <w:highlight w:val="none"/>
        </w:rPr>
      </w:pPr>
    </w:p>
    <w:p w14:paraId="45D244ED">
      <w:pPr>
        <w:rPr>
          <w:rFonts w:hint="eastAsia" w:ascii="宋体" w:hAnsi="宋体" w:cs="宋体"/>
          <w:highlight w:val="none"/>
        </w:rPr>
      </w:pPr>
      <w:r>
        <w:rPr>
          <w:rFonts w:hint="eastAsia" w:ascii="宋体" w:hAnsi="宋体" w:cs="宋体"/>
          <w:highlight w:val="none"/>
        </w:rPr>
        <w:br w:type="page"/>
      </w:r>
    </w:p>
    <w:p w14:paraId="1E57D314">
      <w:pPr>
        <w:pStyle w:val="4"/>
        <w:rPr>
          <w:rFonts w:hint="eastAsia" w:ascii="宋体" w:hAnsi="宋体" w:eastAsia="宋体" w:cs="宋体"/>
          <w:highlight w:val="none"/>
          <w:lang w:eastAsia="zh-CN"/>
        </w:rPr>
      </w:pPr>
      <w:r>
        <w:rPr>
          <w:rFonts w:hint="eastAsia" w:ascii="Times New Roman" w:hAnsi="宋体" w:eastAsia="微软雅黑" w:cs="宋体"/>
          <w:b/>
          <w:kern w:val="2"/>
          <w:sz w:val="28"/>
          <w:szCs w:val="22"/>
          <w:highlight w:val="none"/>
          <w:lang w:val="en-US" w:eastAsia="zh-CN" w:bidi="ar-SA"/>
        </w:rPr>
        <w:t>Appendix VI: Template for a Question Letter</w:t>
      </w:r>
    </w:p>
    <w:p w14:paraId="4C52CABE">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1. Questioning the supplier's basic information</w:t>
      </w:r>
    </w:p>
    <w:p w14:paraId="0EEBA35F">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 xml:space="preserve">Question the supplier:                                        </w:t>
      </w:r>
    </w:p>
    <w:p w14:paraId="1C11BE36">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 xml:space="preserve">Address: Postal Code:                          Address: Postal Code:                                                   </w:t>
      </w:r>
    </w:p>
    <w:p w14:paraId="28A31777">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 xml:space="preserve">Contact: Phone Number:                      Contact: Phone Number:                              </w:t>
      </w:r>
    </w:p>
    <w:p w14:paraId="5C6B8750">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 xml:space="preserve">authorized representative ：                                          </w:t>
      </w:r>
    </w:p>
    <w:p w14:paraId="026245FD">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 xml:space="preserve">contact number ：                                            </w:t>
      </w:r>
    </w:p>
    <w:p w14:paraId="2DE159F4">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 xml:space="preserve">Address: Postal Code:                         Address: Postal Code:                                                </w:t>
      </w:r>
    </w:p>
    <w:p w14:paraId="445150A4">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II. Basic Information About the Project in Question</w:t>
      </w:r>
    </w:p>
    <w:p w14:paraId="4AEF9407">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 xml:space="preserve">Question Project Name: Package Number:            Question Project Name: Package Number:                          </w:t>
      </w:r>
    </w:p>
    <w:p w14:paraId="37673753">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 xml:space="preserve">Question Number:                    </w:t>
      </w:r>
    </w:p>
    <w:p w14:paraId="45561861">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 xml:space="preserve">Procurement Entity Name:                                         </w:t>
      </w:r>
    </w:p>
    <w:p w14:paraId="69824D81">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 xml:space="preserve">procurement document acquisition date:                                           </w:t>
      </w:r>
    </w:p>
    <w:p w14:paraId="664DF570">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III. Specific Details of the Issues in Question</w:t>
      </w:r>
    </w:p>
    <w:p w14:paraId="5B865150">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 xml:space="preserve">Question 1:                                         </w:t>
      </w:r>
    </w:p>
    <w:p w14:paraId="7531C328">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 xml:space="preserve">Factual Basis:                                          </w:t>
      </w:r>
    </w:p>
    <w:p w14:paraId="5BD63BCB">
      <w:pPr>
        <w:widowControl/>
        <w:spacing w:line="360" w:lineRule="auto"/>
        <w:ind w:left="420" w:leftChars="200"/>
        <w:rPr>
          <w:rFonts w:ascii="宋体" w:hAnsi="宋体" w:cs="宋体"/>
          <w:sz w:val="24"/>
          <w:szCs w:val="24"/>
          <w:highlight w:val="none"/>
        </w:rPr>
      </w:pPr>
    </w:p>
    <w:p w14:paraId="59A9BEB8">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 xml:space="preserve">Legal Basis:                                          </w:t>
      </w:r>
    </w:p>
    <w:p w14:paraId="698B575F">
      <w:pPr>
        <w:widowControl/>
        <w:spacing w:line="360" w:lineRule="auto"/>
        <w:ind w:left="420" w:leftChars="200"/>
        <w:rPr>
          <w:rFonts w:ascii="宋体" w:hAnsi="宋体" w:cs="宋体"/>
          <w:sz w:val="24"/>
          <w:szCs w:val="24"/>
          <w:highlight w:val="none"/>
        </w:rPr>
      </w:pPr>
    </w:p>
    <w:p w14:paraId="31E1E250">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Question 2</w:t>
      </w:r>
    </w:p>
    <w:p w14:paraId="5F4AF70A">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w:t>
      </w:r>
    </w:p>
    <w:p w14:paraId="22F72590">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IV. Requests for clarification related to the matters in question</w:t>
      </w:r>
    </w:p>
    <w:p w14:paraId="4CADA395">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 xml:space="preserve">ask ：                                               </w:t>
      </w:r>
    </w:p>
    <w:p w14:paraId="219800D4">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 xml:space="preserve">Signature (Seal): Official Seal:                   Signature (Seal): Official Seal:                      </w:t>
      </w:r>
    </w:p>
    <w:p w14:paraId="394B8501">
      <w:pPr>
        <w:widowControl/>
        <w:spacing w:line="360" w:lineRule="auto"/>
        <w:ind w:left="420" w:leftChars="200"/>
        <w:rPr>
          <w:rFonts w:hint="eastAsia" w:ascii="宋体" w:hAnsi="宋体" w:eastAsia="宋体" w:cs="宋体"/>
          <w:highlight w:val="none"/>
          <w:lang w:eastAsia="zh-CN"/>
        </w:rPr>
      </w:pPr>
      <w:r>
        <w:rPr>
          <w:rFonts w:hint="eastAsia" w:ascii="Times New Roman" w:hAnsi="宋体" w:eastAsia="微软雅黑" w:cs="宋体"/>
          <w:kern w:val="2"/>
          <w:sz w:val="24"/>
          <w:szCs w:val="24"/>
          <w:highlight w:val="none"/>
          <w:lang w:val="en-US" w:eastAsia="zh-CN" w:bidi="ar-SA"/>
        </w:rPr>
        <w:t>date ：</w:t>
      </w:r>
    </w:p>
    <w:p w14:paraId="4EBD779B">
      <w:pPr>
        <w:widowControl/>
        <w:spacing w:line="360" w:lineRule="auto"/>
        <w:rPr>
          <w:rFonts w:ascii="宋体" w:hAnsi="宋体" w:cs="宋体"/>
          <w:sz w:val="24"/>
          <w:szCs w:val="24"/>
          <w:highlight w:val="none"/>
        </w:rPr>
        <w:sectPr>
          <w:pgSz w:w="11906" w:h="16838"/>
          <w:pgMar w:top="1440" w:right="1803" w:bottom="1440" w:left="1803" w:header="851" w:footer="992" w:gutter="0"/>
          <w:pgNumType w:fmt="decimal"/>
          <w:cols w:space="720" w:num="1"/>
          <w:docGrid w:type="lines" w:linePitch="319" w:charSpace="0"/>
        </w:sectPr>
      </w:pPr>
    </w:p>
    <w:p w14:paraId="33AFE8CE">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Instructions for preparing a request for clarification letter:</w:t>
      </w:r>
    </w:p>
    <w:p w14:paraId="5CCDB7E7">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1. When raising objections, suppliers shall submit a formal objection letter along with necessary supporting documents.</w:t>
      </w:r>
    </w:p>
    <w:p w14:paraId="0256573F">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2. If a questioning supplier appoints an agent to raise objections, the objection letter shall specify the relevant details of the "authorized representative" as required and submit an authorization letter signed by the questioning supplier as an attachment. The authorization letter must include the agent's name or title, scope of authority, specific powers, duration, and other relevant information.</w:t>
      </w:r>
    </w:p>
    <w:p w14:paraId="047EEC64">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3. If a supplier raises objections regarding a specific subcontract of the project, the objection letter must specify the exact subcontract number.</w:t>
      </w:r>
    </w:p>
    <w:p w14:paraId="764B751E">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4. The issues raised in the inquiry letter must be specific and clear, supported by necessary factual and legal grounds.</w:t>
      </w:r>
    </w:p>
    <w:p w14:paraId="20EF45E5">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5. The requests raised in the objection letter must be relevant to the subject of the objection.</w:t>
      </w:r>
    </w:p>
    <w:p w14:paraId="5DF000DB">
      <w:pPr>
        <w:widowControl/>
        <w:spacing w:line="360" w:lineRule="auto"/>
        <w:ind w:left="420" w:leftChars="200"/>
        <w:rPr>
          <w:rFonts w:hint="eastAsia" w:ascii="宋体" w:hAnsi="宋体" w:eastAsia="宋体" w:cs="宋体"/>
          <w:sz w:val="24"/>
          <w:szCs w:val="24"/>
          <w:highlight w:val="none"/>
          <w:lang w:eastAsia="zh-CN"/>
        </w:rPr>
      </w:pPr>
      <w:r>
        <w:rPr>
          <w:rFonts w:hint="eastAsia" w:ascii="Times New Roman" w:hAnsi="宋体" w:eastAsia="微软雅黑" w:cs="宋体"/>
          <w:kern w:val="2"/>
          <w:sz w:val="24"/>
          <w:szCs w:val="24"/>
          <w:highlight w:val="none"/>
          <w:lang w:val="en-US" w:eastAsia="zh-CN" w:bidi="ar-SA"/>
        </w:rPr>
        <w:t>6. If the supplier being challenged is a natural person, the challenge letter must be signed by the individual; if the supplier is a legal entity or other organization, the letter must be signed or sealed by the legal representative, principal officer, or authorized representative, and bear the official seal.</w:t>
      </w:r>
    </w:p>
    <w:p w14:paraId="68038AB4">
      <w:pPr>
        <w:jc w:val="left"/>
        <w:rPr>
          <w:rFonts w:ascii="宋体" w:hAnsi="宋体" w:cs="宋体"/>
          <w:b/>
          <w:bCs/>
          <w:spacing w:val="48"/>
          <w:sz w:val="72"/>
          <w:szCs w:val="72"/>
          <w:highlight w:val="none"/>
        </w:rPr>
      </w:pPr>
    </w:p>
    <w:p w14:paraId="472C8ABA">
      <w:pPr>
        <w:rPr>
          <w:rFonts w:ascii="宋体" w:hAnsi="宋体" w:cs="宋体"/>
          <w:highlight w:val="none"/>
        </w:rPr>
      </w:pPr>
    </w:p>
    <w:p w14:paraId="637E297E">
      <w:pPr>
        <w:jc w:val="left"/>
        <w:rPr>
          <w:rFonts w:ascii="宋体" w:hAnsi="宋体" w:cs="宋体"/>
          <w:b/>
          <w:bCs/>
          <w:spacing w:val="48"/>
          <w:sz w:val="72"/>
          <w:szCs w:val="72"/>
          <w:highlight w:val="none"/>
        </w:rPr>
      </w:pPr>
    </w:p>
    <w:p w14:paraId="02A2F2E9">
      <w:pPr>
        <w:rPr>
          <w:rFonts w:ascii="宋体" w:hAnsi="宋体" w:cs="宋体"/>
          <w:highlight w:val="none"/>
        </w:rPr>
      </w:pPr>
    </w:p>
    <w:p w14:paraId="07C5CE0A">
      <w:pPr>
        <w:rPr>
          <w:rFonts w:ascii="宋体" w:hAnsi="宋体" w:cs="宋体"/>
          <w:b/>
          <w:bCs/>
          <w:spacing w:val="48"/>
          <w:sz w:val="72"/>
          <w:szCs w:val="72"/>
          <w:highlight w:val="none"/>
        </w:rPr>
      </w:pPr>
    </w:p>
    <w:p w14:paraId="1962B977">
      <w:pPr>
        <w:rPr>
          <w:rFonts w:ascii="宋体" w:hAnsi="宋体" w:cs="宋体"/>
          <w:highlight w:val="none"/>
        </w:rPr>
      </w:pPr>
    </w:p>
    <w:p w14:paraId="34A4F7D8">
      <w:pPr>
        <w:jc w:val="left"/>
        <w:rPr>
          <w:rFonts w:ascii="宋体" w:hAnsi="宋体" w:cs="宋体"/>
          <w:b/>
          <w:spacing w:val="48"/>
          <w:sz w:val="72"/>
          <w:szCs w:val="72"/>
          <w:highlight w:val="none"/>
        </w:rPr>
        <w:sectPr>
          <w:headerReference r:id="rId21" w:type="default"/>
          <w:footerReference r:id="rId22" w:type="default"/>
          <w:pgSz w:w="11906" w:h="16838"/>
          <w:pgMar w:top="1440" w:right="1803" w:bottom="1440" w:left="1803" w:header="851" w:footer="992" w:gutter="0"/>
          <w:pgNumType w:fmt="decimal"/>
          <w:cols w:space="720" w:num="1"/>
          <w:docGrid w:type="lines" w:linePitch="319" w:charSpace="0"/>
        </w:sectPr>
      </w:pPr>
    </w:p>
    <w:p w14:paraId="2D50B698">
      <w:pPr>
        <w:ind w:firstLine="819" w:firstLineChars="100"/>
        <w:jc w:val="left"/>
        <w:rPr>
          <w:rFonts w:ascii="宋体" w:hAnsi="宋体" w:cs="宋体"/>
          <w:b/>
          <w:spacing w:val="48"/>
          <w:sz w:val="72"/>
          <w:szCs w:val="72"/>
          <w:highlight w:val="none"/>
        </w:rPr>
      </w:pPr>
    </w:p>
    <w:p w14:paraId="12C7D32C">
      <w:pPr>
        <w:ind w:firstLine="816" w:firstLineChars="100"/>
        <w:jc w:val="left"/>
        <w:rPr>
          <w:rFonts w:hint="eastAsia" w:ascii="宋体" w:hAnsi="宋体" w:eastAsia="宋体" w:cs="宋体"/>
          <w:b/>
          <w:spacing w:val="48"/>
          <w:sz w:val="72"/>
          <w:szCs w:val="72"/>
          <w:highlight w:val="none"/>
          <w:lang w:eastAsia="zh-CN"/>
        </w:rPr>
      </w:pPr>
      <w:bookmarkStart w:id="360" w:name="_Toc25994"/>
      <w:r>
        <w:rPr>
          <w:rFonts w:hint="eastAsia" w:ascii="Times New Roman" w:hAnsi="宋体" w:eastAsia="微软雅黑" w:cs="宋体"/>
          <w:b/>
          <w:spacing w:val="48"/>
          <w:kern w:val="2"/>
          <w:sz w:val="72"/>
          <w:szCs w:val="72"/>
          <w:highlight w:val="none"/>
          <w:lang w:val="en-US" w:eastAsia="zh-CN" w:bidi="ar-SA"/>
        </w:rPr>
        <w:t>Fairness and Justice</w:t>
      </w:r>
      <w:bookmarkEnd w:id="360"/>
    </w:p>
    <w:p w14:paraId="723C7170">
      <w:pPr>
        <w:jc w:val="left"/>
        <w:rPr>
          <w:rFonts w:ascii="宋体" w:hAnsi="宋体" w:cs="宋体"/>
          <w:b/>
          <w:spacing w:val="48"/>
          <w:sz w:val="72"/>
          <w:szCs w:val="72"/>
          <w:highlight w:val="none"/>
        </w:rPr>
      </w:pPr>
    </w:p>
    <w:p w14:paraId="2A81D20F">
      <w:pPr>
        <w:rPr>
          <w:rFonts w:ascii="宋体" w:hAnsi="宋体" w:cs="宋体"/>
          <w:spacing w:val="48"/>
          <w:sz w:val="72"/>
          <w:szCs w:val="72"/>
          <w:highlight w:val="none"/>
        </w:rPr>
      </w:pPr>
    </w:p>
    <w:p w14:paraId="0828352A">
      <w:pPr>
        <w:rPr>
          <w:rFonts w:ascii="宋体" w:hAnsi="宋体" w:cs="宋体"/>
          <w:highlight w:val="none"/>
        </w:rPr>
      </w:pPr>
    </w:p>
    <w:p w14:paraId="51F0B6AA">
      <w:pPr>
        <w:ind w:firstLine="816" w:firstLineChars="100"/>
        <w:rPr>
          <w:rFonts w:hint="eastAsia" w:ascii="宋体" w:hAnsi="宋体" w:eastAsia="宋体" w:cs="宋体"/>
          <w:b/>
          <w:spacing w:val="48"/>
          <w:sz w:val="72"/>
          <w:szCs w:val="72"/>
          <w:highlight w:val="none"/>
          <w:lang w:eastAsia="zh-CN"/>
        </w:rPr>
      </w:pPr>
      <w:bookmarkStart w:id="361" w:name="_Toc9946"/>
      <w:r>
        <w:rPr>
          <w:rFonts w:hint="eastAsia" w:ascii="Times New Roman" w:hAnsi="宋体" w:eastAsia="微软雅黑" w:cs="宋体"/>
          <w:b/>
          <w:spacing w:val="48"/>
          <w:kern w:val="2"/>
          <w:sz w:val="72"/>
          <w:szCs w:val="72"/>
          <w:highlight w:val="none"/>
          <w:lang w:val="en-US" w:eastAsia="zh-CN" w:bidi="ar-SA"/>
        </w:rPr>
        <w:t>Professional and Efficient</w:t>
      </w:r>
      <w:bookmarkEnd w:id="361"/>
    </w:p>
    <w:p w14:paraId="3A00311D">
      <w:pPr>
        <w:rPr>
          <w:rFonts w:ascii="宋体" w:hAnsi="宋体" w:cs="宋体"/>
          <w:spacing w:val="48"/>
          <w:sz w:val="72"/>
          <w:szCs w:val="72"/>
          <w:highlight w:val="none"/>
        </w:rPr>
      </w:pPr>
    </w:p>
    <w:p w14:paraId="70D8A763">
      <w:pPr>
        <w:rPr>
          <w:rFonts w:ascii="宋体" w:hAnsi="宋体" w:cs="宋体"/>
          <w:b/>
          <w:spacing w:val="48"/>
          <w:sz w:val="72"/>
          <w:szCs w:val="72"/>
          <w:highlight w:val="none"/>
        </w:rPr>
      </w:pPr>
    </w:p>
    <w:p w14:paraId="1090FB45">
      <w:pPr>
        <w:rPr>
          <w:rFonts w:ascii="宋体" w:hAnsi="宋体" w:cs="宋体"/>
          <w:spacing w:val="48"/>
          <w:sz w:val="72"/>
          <w:szCs w:val="72"/>
          <w:highlight w:val="none"/>
        </w:rPr>
      </w:pPr>
    </w:p>
    <w:p w14:paraId="07A97903">
      <w:pPr>
        <w:rPr>
          <w:rFonts w:ascii="宋体" w:hAnsi="宋体" w:cs="宋体"/>
          <w:spacing w:val="48"/>
          <w:sz w:val="72"/>
          <w:szCs w:val="72"/>
          <w:highlight w:val="none"/>
        </w:rPr>
      </w:pPr>
    </w:p>
    <w:p w14:paraId="29AFE0AA">
      <w:pPr>
        <w:rPr>
          <w:rFonts w:ascii="宋体" w:hAnsi="宋体" w:cs="宋体"/>
          <w:highlight w:val="none"/>
        </w:rPr>
      </w:pPr>
    </w:p>
    <w:p w14:paraId="2565FA48">
      <w:pPr>
        <w:rPr>
          <w:rFonts w:ascii="宋体" w:hAnsi="宋体" w:cs="宋体"/>
          <w:b/>
          <w:sz w:val="30"/>
          <w:szCs w:val="30"/>
          <w:highlight w:val="none"/>
        </w:rPr>
      </w:pPr>
    </w:p>
    <w:p w14:paraId="4E2EDEBF">
      <w:pPr>
        <w:rPr>
          <w:rFonts w:hint="eastAsia" w:ascii="宋体" w:hAnsi="宋体" w:eastAsia="宋体" w:cs="宋体"/>
          <w:b/>
          <w:sz w:val="30"/>
          <w:szCs w:val="30"/>
          <w:highlight w:val="none"/>
          <w:lang w:eastAsia="zh-CN"/>
        </w:rPr>
      </w:pPr>
      <w:bookmarkStart w:id="362" w:name="_Toc32384"/>
      <w:r>
        <w:rPr>
          <w:rFonts w:hint="eastAsia" w:ascii="Times New Roman" w:hAnsi="宋体" w:eastAsia="微软雅黑" w:cs="宋体"/>
          <w:b/>
          <w:kern w:val="2"/>
          <w:sz w:val="30"/>
          <w:szCs w:val="30"/>
          <w:highlight w:val="none"/>
          <w:lang w:val="en-US" w:eastAsia="zh-CN" w:bidi="ar-SA"/>
        </w:rPr>
        <w:t>Company Name: Shaanxi Zhuoxi Project Management Co., Ltd.</w:t>
      </w:r>
      <w:bookmarkEnd w:id="362"/>
    </w:p>
    <w:p w14:paraId="387E6EBA">
      <w:pPr>
        <w:rPr>
          <w:rFonts w:hint="eastAsia" w:ascii="宋体" w:hAnsi="宋体" w:eastAsia="宋体" w:cs="宋体"/>
          <w:b/>
          <w:sz w:val="30"/>
          <w:szCs w:val="30"/>
          <w:highlight w:val="none"/>
          <w:lang w:eastAsia="zh-CN"/>
        </w:rPr>
      </w:pPr>
      <w:bookmarkStart w:id="363" w:name="_Toc25918"/>
      <w:r>
        <w:rPr>
          <w:rFonts w:hint="eastAsia" w:ascii="Times New Roman" w:hAnsi="宋体" w:eastAsia="微软雅黑" w:cs="宋体"/>
          <w:b/>
          <w:kern w:val="2"/>
          <w:sz w:val="30"/>
          <w:szCs w:val="30"/>
          <w:highlight w:val="none"/>
          <w:lang w:val="en-US" w:eastAsia="zh-CN" w:bidi="ar-SA"/>
        </w:rPr>
        <w:t>Add</w:t>
      </w:r>
      <w:bookmarkEnd w:id="363"/>
      <w:r>
        <w:rPr>
          <w:rFonts w:hint="eastAsia" w:ascii="Times New Roman" w:hAnsi="宋体" w:eastAsia="微软雅黑" w:cs="宋体"/>
          <w:b/>
          <w:kern w:val="2"/>
          <w:sz w:val="30"/>
          <w:szCs w:val="30"/>
          <w:highlight w:val="none"/>
          <w:lang w:val="en-US" w:eastAsia="zh-CN" w:bidi="ar-SA"/>
        </w:rPr>
        <w:t>ress: 21st Floor, Building B, Heli Zijun, No.30 Keji Road, Yanta District, Xi'an City</w:t>
      </w:r>
    </w:p>
    <w:p w14:paraId="2EE61FE5">
      <w:pPr>
        <w:rPr>
          <w:rFonts w:hint="eastAsia" w:ascii="宋体" w:hAnsi="宋体" w:eastAsia="宋体" w:cs="宋体"/>
          <w:b/>
          <w:sz w:val="30"/>
          <w:szCs w:val="30"/>
          <w:highlight w:val="none"/>
          <w:lang w:eastAsia="zh-CN"/>
        </w:rPr>
      </w:pPr>
      <w:bookmarkStart w:id="364" w:name="_Toc26276"/>
      <w:r>
        <w:rPr>
          <w:rFonts w:hint="eastAsia" w:ascii="Times New Roman" w:hAnsi="宋体" w:eastAsia="微软雅黑" w:cs="宋体"/>
          <w:b/>
          <w:kern w:val="2"/>
          <w:sz w:val="30"/>
          <w:szCs w:val="30"/>
          <w:highlight w:val="none"/>
          <w:lang w:val="en-US" w:eastAsia="zh-CN" w:bidi="ar-SA"/>
        </w:rPr>
        <w:t>Postal Code: 710065</w:t>
      </w:r>
      <w:bookmarkEnd w:id="364"/>
    </w:p>
    <w:p w14:paraId="46B4589B">
      <w:pPr>
        <w:rPr>
          <w:rFonts w:hint="eastAsia" w:ascii="宋体" w:hAnsi="宋体" w:eastAsia="宋体" w:cs="宋体"/>
          <w:b/>
          <w:sz w:val="30"/>
          <w:szCs w:val="30"/>
          <w:highlight w:val="none"/>
          <w:lang w:eastAsia="zh-CN"/>
        </w:rPr>
      </w:pPr>
      <w:bookmarkStart w:id="365" w:name="_Toc1409"/>
      <w:r>
        <w:rPr>
          <w:rFonts w:hint="eastAsia" w:ascii="Times New Roman" w:hAnsi="宋体" w:eastAsia="微软雅黑" w:cs="宋体"/>
          <w:b/>
          <w:kern w:val="2"/>
          <w:sz w:val="30"/>
          <w:szCs w:val="30"/>
          <w:highlight w:val="none"/>
          <w:lang w:val="en-US" w:eastAsia="zh-CN" w:bidi="ar-SA"/>
        </w:rPr>
        <w:t>Pho</w:t>
      </w:r>
      <w:bookmarkEnd w:id="365"/>
      <w:r>
        <w:rPr>
          <w:rFonts w:hint="eastAsia" w:ascii="Times New Roman" w:hAnsi="宋体" w:eastAsia="微软雅黑" w:cs="宋体"/>
          <w:b/>
          <w:kern w:val="2"/>
          <w:sz w:val="30"/>
          <w:szCs w:val="30"/>
          <w:highlight w:val="none"/>
          <w:lang w:val="en-US" w:eastAsia="zh-CN" w:bidi="ar-SA"/>
        </w:rPr>
        <w:t>ne: 029-88225322</w:t>
      </w:r>
    </w:p>
    <w:p w14:paraId="2A5A6E1A">
      <w:pPr>
        <w:rPr>
          <w:rFonts w:hint="eastAsia" w:ascii="宋体" w:hAnsi="宋体" w:eastAsia="宋体" w:cs="宋体"/>
          <w:highlight w:val="none"/>
          <w:lang w:eastAsia="zh-CN"/>
        </w:rPr>
      </w:pPr>
      <w:bookmarkStart w:id="366" w:name="_Toc13292"/>
      <w:r>
        <w:rPr>
          <w:rFonts w:hint="eastAsia" w:ascii="Times New Roman" w:hAnsi="宋体" w:eastAsia="微软雅黑" w:cs="宋体"/>
          <w:b/>
          <w:kern w:val="2"/>
          <w:sz w:val="30"/>
          <w:szCs w:val="30"/>
          <w:highlight w:val="none"/>
          <w:lang w:val="en-US" w:eastAsia="zh-CN" w:bidi="ar-SA"/>
        </w:rPr>
        <w:t>Fax</w:t>
      </w:r>
      <w:bookmarkEnd w:id="366"/>
      <w:r>
        <w:rPr>
          <w:rFonts w:hint="eastAsia" w:ascii="Times New Roman" w:hAnsi="宋体" w:eastAsia="微软雅黑" w:cs="宋体"/>
          <w:b/>
          <w:kern w:val="2"/>
          <w:sz w:val="30"/>
          <w:szCs w:val="30"/>
          <w:highlight w:val="none"/>
          <w:lang w:val="en-US" w:eastAsia="zh-CN" w:bidi="ar-SA"/>
        </w:rPr>
        <w:t>: 029-88225322</w:t>
      </w:r>
    </w:p>
    <w:p w14:paraId="784EDE3C">
      <w:pPr>
        <w:rPr>
          <w:rFonts w:ascii="宋体" w:hAnsi="宋体" w:cs="宋体"/>
          <w:highlight w:val="none"/>
        </w:rPr>
      </w:pPr>
    </w:p>
    <w:p w14:paraId="618880EA">
      <w:pPr>
        <w:rPr>
          <w:rFonts w:ascii="宋体" w:hAnsi="宋体" w:cs="宋体"/>
          <w:highlight w:val="none"/>
        </w:rPr>
      </w:pPr>
    </w:p>
    <w:sectPr>
      <w:headerReference r:id="rId23" w:type="default"/>
      <w:footerReference r:id="rId24" w:type="default"/>
      <w:pgSz w:w="11906" w:h="16838"/>
      <w:pgMar w:top="1440" w:right="1803" w:bottom="1440" w:left="1803" w:header="851" w:footer="992" w:gutter="0"/>
      <w:pgNumType w:fmt="decimal"/>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0441619-FD35-4F84-AF7B-F493F60D9A37}"/>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2" w:fontKey="{687B3853-7471-4FB8-A75B-59376F7514AE}"/>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647ECC09-37EA-4C38-90D5-444A00CDF47D}"/>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embedRegular r:id="rId4" w:fontKey="{A156320E-C7D1-4222-A16A-5985DD3AD0B1}"/>
  </w:font>
  <w:font w:name="Tahoma">
    <w:panose1 w:val="020B0604030504040204"/>
    <w:charset w:val="00"/>
    <w:family w:val="swiss"/>
    <w:pitch w:val="default"/>
    <w:sig w:usb0="E1002EFF" w:usb1="C000605B" w:usb2="00000029" w:usb3="00000000" w:csb0="200101FF" w:csb1="20280000"/>
  </w:font>
  <w:font w:name="Helvetica Neue">
    <w:altName w:val="Times New Roman"/>
    <w:panose1 w:val="00000000000000000000"/>
    <w:charset w:val="00"/>
    <w:family w:val="auto"/>
    <w:pitch w:val="default"/>
    <w:sig w:usb0="00000000" w:usb1="00000000" w:usb2="00000010" w:usb3="00000000" w:csb0="00000000" w:csb1="00000000"/>
  </w:font>
  <w:font w:name="Arial Unicode MS">
    <w:altName w:val="宋体"/>
    <w:panose1 w:val="020B0604020202020204"/>
    <w:charset w:val="86"/>
    <w:family w:val="swiss"/>
    <w:pitch w:val="default"/>
    <w:sig w:usb0="00000000" w:usb1="00000000" w:usb2="0000003F" w:usb3="00000000" w:csb0="003F01F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embedRegular r:id="rId5" w:fontKey="{0381D889-825D-4F43-BE56-61D521AC0285}"/>
  </w:font>
  <w:font w:name="华文中宋">
    <w:panose1 w:val="02010600040101010101"/>
    <w:charset w:val="86"/>
    <w:family w:val="auto"/>
    <w:pitch w:val="default"/>
    <w:sig w:usb0="00000287" w:usb1="080F0000" w:usb2="00000000" w:usb3="00000000" w:csb0="0004009F" w:csb1="DFD70000"/>
    <w:embedRegular r:id="rId6" w:fontKey="{B8663387-F63F-4DCE-B4D6-637BBCA88F57}"/>
  </w:font>
  <w:font w:name="楷体">
    <w:panose1 w:val="02010609060101010101"/>
    <w:charset w:val="86"/>
    <w:family w:val="auto"/>
    <w:pitch w:val="default"/>
    <w:sig w:usb0="800002BF" w:usb1="38CF7CFA" w:usb2="00000016" w:usb3="00000000" w:csb0="00040001" w:csb1="00000000"/>
    <w:embedRegular r:id="rId7" w:fontKey="{1D11120F-4386-4A27-9934-859DFFE68DE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FEECC">
    <w:pPr>
      <w:pStyle w:val="18"/>
      <w:jc w:val="right"/>
      <w:rPr>
        <w:rFonts w:hint="eastAsia" w:ascii="宋体" w:hAnsi="宋体" w:eastAsia="宋体" w:cs="宋体"/>
        <w:lang w:eastAsia="zh-CN"/>
      </w:rPr>
    </w:pPr>
    <w:r>
      <w:rPr>
        <w:rFonts w:hint="eastAsia" w:ascii="Times New Roman" w:hAnsi="宋体" w:eastAsia="微软雅黑" w:cs="宋体"/>
        <w:kern w:val="2"/>
        <w:sz w:val="18"/>
        <w:szCs w:val="18"/>
        <w:lang w:val="en-US" w:eastAsia="zh-CN" w:bidi="ar-SA"/>
      </w:rPr>
      <w:t>Shaanxi Zhuoqi Project Management Co., Ltd.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25F63">
    <w:pPr>
      <w:pStyle w:val="1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47C8CA">
                          <w:pPr>
                            <w:pStyle w:val="18"/>
                          </w:pPr>
                          <w:r>
                            <w:t xml:space="preserve">第 </w:t>
                          </w:r>
                          <w:r>
                            <w:fldChar w:fldCharType="begin"/>
                          </w:r>
                          <w:r>
                            <w:instrText xml:space="preserve"> PAGE  \* MERGEFORMAT </w:instrText>
                          </w:r>
                          <w:r>
                            <w:fldChar w:fldCharType="separate"/>
                          </w:r>
                          <w:r>
                            <w:t>37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NLTQM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6BJJopVPz04/vp&#10;58Pp1zeCMwjUWj9D3L1FZOjemQ5tM5x7HEbeXeVU/IIRgR9Yx4u8oguEx0vTyXSaw8XhGzbAzx6v&#10;W+fDe2EUiUZBHeqXZGWHjQ996BASs2mzbqRMNZSatAW9ev02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0tNAywCAABXBAAADgAAAAAAAAABACAAAAAfAQAAZHJzL2Uyb0RvYy54bWxQSwUGAAAAAAYA&#10;BgBZAQAAvQUAAAAA&#10;">
              <v:fill on="f" focussize="0,0"/>
              <v:stroke on="f" weight="0.5pt"/>
              <v:imagedata o:title=""/>
              <o:lock v:ext="edit" aspectratio="f"/>
              <v:textbox inset="0mm,0mm,0mm,0mm" style="mso-fit-shape-to-text:t;">
                <w:txbxContent>
                  <w:p w14:paraId="4747C8CA">
                    <w:pPr>
                      <w:pStyle w:val="18"/>
                    </w:pPr>
                    <w:r>
                      <w:t xml:space="preserve">第 </w:t>
                    </w:r>
                    <w:r>
                      <w:fldChar w:fldCharType="begin"/>
                    </w:r>
                    <w:r>
                      <w:instrText xml:space="preserve"> PAGE  \* MERGEFORMAT </w:instrText>
                    </w:r>
                    <w:r>
                      <w:fldChar w:fldCharType="separate"/>
                    </w:r>
                    <w:r>
                      <w:t>37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6655F">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F4F9C">
    <w:pPr>
      <w:pStyle w:val="1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0C0FE4">
                          <w:pPr>
                            <w:pStyle w:val="18"/>
                            <w:rPr>
                              <w:rFonts w:hint="eastAsia" w:eastAsia="宋体"/>
                              <w:lang w:eastAsia="zh-CN"/>
                            </w:rPr>
                          </w:pPr>
                          <w:r>
                            <w:fldChar w:fldCharType="begin"/>
                          </w:r>
                          <w:r>
                            <w:instrText xml:space="preserve"> PAGE  \* MERGEFORMAT </w:instrText>
                          </w:r>
                          <w:r>
                            <w:fldChar w:fldCharType="separate"/>
                          </w:r>
                          <w:r>
                            <w:t>3</w:t>
                          </w:r>
                          <w:r>
                            <w:fldChar w:fldCharType="end"/>
                          </w:r>
                          <w:r>
                            <w:rPr>
                              <w:rFonts w:hint="eastAsia"/>
                              <w:lang w:eastAsia="zh-CN"/>
                            </w:rPr>
                            <w:t xml:space="preserve"> </w:t>
                          </w:r>
                          <w:r>
                            <w:rPr>
                              <w:rFonts w:hint="eastAsia" w:ascii="Times New Roman" w:hAnsi="Times New Roman" w:eastAsia="微软雅黑" w:cs="Times New Roman"/>
                              <w:kern w:val="2"/>
                              <w:sz w:val="18"/>
                              <w:szCs w:val="18"/>
                              <w:lang w:val="en-US" w:eastAsia="zh-CN" w:bidi="ar-SA"/>
                            </w:rPr>
                            <w:t>1</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1C0C0FE4">
                    <w:pPr>
                      <w:pStyle w:val="18"/>
                      <w:rPr>
                        <w:rFonts w:hint="eastAsia" w:eastAsia="宋体"/>
                        <w:lang w:eastAsia="zh-CN"/>
                      </w:rPr>
                    </w:pPr>
                    <w:r>
                      <w:fldChar w:fldCharType="begin"/>
                    </w:r>
                    <w:r>
                      <w:instrText xml:space="preserve"> PAGE  \* MERGEFORMAT </w:instrText>
                    </w:r>
                    <w:r>
                      <w:fldChar w:fldCharType="separate"/>
                    </w:r>
                    <w:r>
                      <w:t>3</w:t>
                    </w:r>
                    <w:r>
                      <w:fldChar w:fldCharType="end"/>
                    </w:r>
                    <w:r>
                      <w:rPr>
                        <w:rFonts w:hint="eastAsia"/>
                        <w:lang w:eastAsia="zh-CN"/>
                      </w:rPr>
                      <w:t xml:space="preserve"> </w:t>
                    </w:r>
                    <w:r>
                      <w:rPr>
                        <w:rFonts w:hint="eastAsia" w:ascii="Times New Roman" w:hAnsi="Times New Roman" w:eastAsia="微软雅黑" w:cs="Times New Roman"/>
                        <w:kern w:val="2"/>
                        <w:sz w:val="18"/>
                        <w:szCs w:val="18"/>
                        <w:lang w:val="en-US" w:eastAsia="zh-CN" w:bidi="ar-SA"/>
                      </w:rPr>
                      <w:t>1</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BD777">
    <w:pPr>
      <w:pStyle w:val="1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E74B07">
                          <w:pPr>
                            <w:pStyle w:val="18"/>
                            <w:rPr>
                              <w:rFonts w:hint="eastAsia" w:eastAsia="宋体"/>
                              <w:lang w:eastAsia="zh-CN"/>
                            </w:rPr>
                          </w:pPr>
                          <w:r>
                            <w:fldChar w:fldCharType="begin"/>
                          </w:r>
                          <w:r>
                            <w:instrText xml:space="preserve"> PAGE  \* MERGEFORMAT </w:instrText>
                          </w:r>
                          <w:r>
                            <w:fldChar w:fldCharType="separate"/>
                          </w:r>
                          <w:r>
                            <w:t>12</w:t>
                          </w:r>
                          <w:r>
                            <w:fldChar w:fldCharType="end"/>
                          </w:r>
                          <w:r>
                            <w:rPr>
                              <w:rFonts w:hint="eastAsia"/>
                              <w:lang w:eastAsia="zh-CN"/>
                            </w:rPr>
                            <w:t xml:space="preserve"> </w:t>
                          </w:r>
                          <w:r>
                            <w:rPr>
                              <w:rFonts w:hint="eastAsia" w:ascii="Times New Roman" w:hAnsi="Times New Roman" w:eastAsia="微软雅黑" w:cs="Times New Roman"/>
                              <w:kern w:val="2"/>
                              <w:sz w:val="18"/>
                              <w:szCs w:val="18"/>
                              <w:lang w:val="en-US" w:eastAsia="zh-CN" w:bidi="ar-SA"/>
                            </w:rPr>
                            <w:t>1</w:t>
                          </w: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62E74B07">
                    <w:pPr>
                      <w:pStyle w:val="18"/>
                      <w:rPr>
                        <w:rFonts w:hint="eastAsia" w:eastAsia="宋体"/>
                        <w:lang w:eastAsia="zh-CN"/>
                      </w:rPr>
                    </w:pPr>
                    <w:r>
                      <w:fldChar w:fldCharType="begin"/>
                    </w:r>
                    <w:r>
                      <w:instrText xml:space="preserve"> PAGE  \* MERGEFORMAT </w:instrText>
                    </w:r>
                    <w:r>
                      <w:fldChar w:fldCharType="separate"/>
                    </w:r>
                    <w:r>
                      <w:t>12</w:t>
                    </w:r>
                    <w:r>
                      <w:fldChar w:fldCharType="end"/>
                    </w:r>
                    <w:r>
                      <w:rPr>
                        <w:rFonts w:hint="eastAsia"/>
                        <w:lang w:eastAsia="zh-CN"/>
                      </w:rPr>
                      <w:t xml:space="preserve"> </w:t>
                    </w:r>
                    <w:r>
                      <w:rPr>
                        <w:rFonts w:hint="eastAsia" w:ascii="Times New Roman" w:hAnsi="Times New Roman" w:eastAsia="微软雅黑" w:cs="Times New Roman"/>
                        <w:kern w:val="2"/>
                        <w:sz w:val="18"/>
                        <w:szCs w:val="18"/>
                        <w:lang w:val="en-US" w:eastAsia="zh-CN" w:bidi="ar-SA"/>
                      </w:rPr>
                      <w:t>1</w:t>
                    </w: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ACDF7">
    <w:pPr>
      <w:pStyle w:val="1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FBB0B75">
                          <w:pPr>
                            <w:pStyle w:val="18"/>
                          </w:pPr>
                          <w:r>
                            <w:t xml:space="preserve">第 </w:t>
                          </w:r>
                          <w:r>
                            <w:fldChar w:fldCharType="begin"/>
                          </w:r>
                          <w:r>
                            <w:instrText xml:space="preserve"> PAGE  \* MERGEFORMAT </w:instrText>
                          </w:r>
                          <w:r>
                            <w:fldChar w:fldCharType="separate"/>
                          </w:r>
                          <w:r>
                            <w:t>36</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1FBB0B75">
                    <w:pPr>
                      <w:pStyle w:val="18"/>
                    </w:pPr>
                    <w:r>
                      <w:t xml:space="preserve">第 </w:t>
                    </w:r>
                    <w:r>
                      <w:fldChar w:fldCharType="begin"/>
                    </w:r>
                    <w:r>
                      <w:instrText xml:space="preserve"> PAGE  \* MERGEFORMAT </w:instrText>
                    </w:r>
                    <w:r>
                      <w:fldChar w:fldCharType="separate"/>
                    </w:r>
                    <w:r>
                      <w:t>36</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1A995">
    <w:pPr>
      <w:pStyle w:val="18"/>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C43467">
                          <w:pPr>
                            <w:pStyle w:val="18"/>
                            <w:rPr>
                              <w:rFonts w:hint="eastAsia" w:eastAsia="宋体"/>
                              <w:lang w:eastAsia="zh-CN"/>
                            </w:rPr>
                          </w:pPr>
                          <w:r>
                            <w:fldChar w:fldCharType="begin"/>
                          </w:r>
                          <w:r>
                            <w:instrText xml:space="preserve"> PAGE  \* MERGEFORMAT </w:instrText>
                          </w:r>
                          <w:r>
                            <w:fldChar w:fldCharType="separate"/>
                          </w:r>
                          <w:r>
                            <w:t>18</w:t>
                          </w:r>
                          <w:r>
                            <w:fldChar w:fldCharType="end"/>
                          </w:r>
                          <w:r>
                            <w:rPr>
                              <w:rFonts w:hint="eastAsia"/>
                              <w:lang w:eastAsia="zh-CN"/>
                            </w:rPr>
                            <w:t xml:space="preserve"> </w:t>
                          </w:r>
                          <w:r>
                            <w:rPr>
                              <w:rFonts w:hint="eastAsia" w:ascii="Times New Roman" w:hAnsi="Times New Roman" w:eastAsia="微软雅黑" w:cs="Times New Roman"/>
                              <w:kern w:val="2"/>
                              <w:sz w:val="18"/>
                              <w:szCs w:val="18"/>
                              <w:lang w:val="en-US" w:eastAsia="zh-CN" w:bidi="ar-SA"/>
                            </w:rPr>
                            <w:t>1</w:t>
                          </w: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3C43467">
                    <w:pPr>
                      <w:pStyle w:val="18"/>
                      <w:rPr>
                        <w:rFonts w:hint="eastAsia" w:eastAsia="宋体"/>
                        <w:lang w:eastAsia="zh-CN"/>
                      </w:rPr>
                    </w:pPr>
                    <w:r>
                      <w:fldChar w:fldCharType="begin"/>
                    </w:r>
                    <w:r>
                      <w:instrText xml:space="preserve"> PAGE  \* MERGEFORMAT </w:instrText>
                    </w:r>
                    <w:r>
                      <w:fldChar w:fldCharType="separate"/>
                    </w:r>
                    <w:r>
                      <w:t>18</w:t>
                    </w:r>
                    <w:r>
                      <w:fldChar w:fldCharType="end"/>
                    </w:r>
                    <w:r>
                      <w:rPr>
                        <w:rFonts w:hint="eastAsia"/>
                        <w:lang w:eastAsia="zh-CN"/>
                      </w:rPr>
                      <w:t xml:space="preserve"> </w:t>
                    </w:r>
                    <w:r>
                      <w:rPr>
                        <w:rFonts w:hint="eastAsia" w:ascii="Times New Roman" w:hAnsi="Times New Roman" w:eastAsia="微软雅黑" w:cs="Times New Roman"/>
                        <w:kern w:val="2"/>
                        <w:sz w:val="18"/>
                        <w:szCs w:val="18"/>
                        <w:lang w:val="en-US" w:eastAsia="zh-CN" w:bidi="ar-SA"/>
                      </w:rPr>
                      <w:t>1</w:t>
                    </w: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1872A">
    <w:pPr>
      <w:pStyle w:val="18"/>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5B72B9">
                          <w:pPr>
                            <w:pStyle w:val="18"/>
                            <w:rPr>
                              <w:rFonts w:hint="eastAsia" w:eastAsia="宋体"/>
                              <w:lang w:eastAsia="zh-CN"/>
                            </w:rPr>
                          </w:pPr>
                          <w:r>
                            <w:fldChar w:fldCharType="begin"/>
                          </w:r>
                          <w:r>
                            <w:instrText xml:space="preserve"> PAGE  \* MERGEFORMAT </w:instrText>
                          </w:r>
                          <w:r>
                            <w:fldChar w:fldCharType="separate"/>
                          </w:r>
                          <w:r>
                            <w:t>19</w:t>
                          </w:r>
                          <w:r>
                            <w:fldChar w:fldCharType="end"/>
                          </w:r>
                          <w:r>
                            <w:rPr>
                              <w:rFonts w:hint="eastAsia"/>
                              <w:lang w:eastAsia="zh-CN"/>
                            </w:rPr>
                            <w:t xml:space="preserve"> </w:t>
                          </w:r>
                          <w:r>
                            <w:rPr>
                              <w:rFonts w:hint="eastAsia" w:ascii="Times New Roman" w:hAnsi="Times New Roman" w:eastAsia="微软雅黑" w:cs="Times New Roman"/>
                              <w:kern w:val="2"/>
                              <w:sz w:val="18"/>
                              <w:szCs w:val="18"/>
                              <w:lang w:val="en-US" w:eastAsia="zh-CN" w:bidi="ar-SA"/>
                            </w:rPr>
                            <w:t>1</w:t>
                          </w: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435B72B9">
                    <w:pPr>
                      <w:pStyle w:val="18"/>
                      <w:rPr>
                        <w:rFonts w:hint="eastAsia" w:eastAsia="宋体"/>
                        <w:lang w:eastAsia="zh-CN"/>
                      </w:rPr>
                    </w:pPr>
                    <w:r>
                      <w:fldChar w:fldCharType="begin"/>
                    </w:r>
                    <w:r>
                      <w:instrText xml:space="preserve"> PAGE  \* MERGEFORMAT </w:instrText>
                    </w:r>
                    <w:r>
                      <w:fldChar w:fldCharType="separate"/>
                    </w:r>
                    <w:r>
                      <w:t>19</w:t>
                    </w:r>
                    <w:r>
                      <w:fldChar w:fldCharType="end"/>
                    </w:r>
                    <w:r>
                      <w:rPr>
                        <w:rFonts w:hint="eastAsia"/>
                        <w:lang w:eastAsia="zh-CN"/>
                      </w:rPr>
                      <w:t xml:space="preserve"> </w:t>
                    </w:r>
                    <w:r>
                      <w:rPr>
                        <w:rFonts w:hint="eastAsia" w:ascii="Times New Roman" w:hAnsi="Times New Roman" w:eastAsia="微软雅黑" w:cs="Times New Roman"/>
                        <w:kern w:val="2"/>
                        <w:sz w:val="18"/>
                        <w:szCs w:val="18"/>
                        <w:lang w:val="en-US" w:eastAsia="zh-CN" w:bidi="ar-SA"/>
                      </w:rPr>
                      <w:t>1</w:t>
                    </w: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28B13">
    <w:pPr>
      <w:pStyle w:val="18"/>
      <w:jc w:val="right"/>
      <w:rPr>
        <w:rFonts w:hint="eastAsia" w:ascii="宋体" w:eastAsia="宋体"/>
        <w:lang w:eastAsia="zh-CN"/>
      </w:rPr>
    </w:pPr>
    <w:r>
      <w:rPr>
        <w:rFonts w:ascii="Times New Roman" w:eastAsia="微软雅黑"/>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E0598F">
                          <w:pPr>
                            <w:pStyle w:val="18"/>
                            <w:rPr>
                              <w:rFonts w:hint="eastAsia" w:eastAsia="宋体"/>
                              <w:lang w:eastAsia="zh-CN"/>
                            </w:rPr>
                          </w:pPr>
                          <w:r>
                            <w:fldChar w:fldCharType="begin"/>
                          </w:r>
                          <w:r>
                            <w:instrText xml:space="preserve"> PAGE  \* MERGEFORMAT </w:instrText>
                          </w:r>
                          <w:r>
                            <w:fldChar w:fldCharType="separate"/>
                          </w:r>
                          <w:r>
                            <w:t>43</w:t>
                          </w:r>
                          <w:r>
                            <w:fldChar w:fldCharType="end"/>
                          </w:r>
                          <w:r>
                            <w:rPr>
                              <w:rFonts w:hint="eastAsia"/>
                              <w:lang w:eastAsia="zh-CN"/>
                            </w:rPr>
                            <w:t xml:space="preserve"> </w:t>
                          </w:r>
                          <w:r>
                            <w:rPr>
                              <w:rFonts w:hint="eastAsia" w:ascii="Times New Roman" w:hAnsi="Times New Roman" w:eastAsia="微软雅黑" w:cs="Times New Roman"/>
                              <w:kern w:val="2"/>
                              <w:sz w:val="18"/>
                              <w:szCs w:val="18"/>
                              <w:lang w:val="en-US" w:eastAsia="zh-CN" w:bidi="ar-SA"/>
                            </w:rPr>
                            <w:t>1</w:t>
                          </w: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2E0598F">
                    <w:pPr>
                      <w:pStyle w:val="18"/>
                      <w:rPr>
                        <w:rFonts w:hint="eastAsia" w:eastAsia="宋体"/>
                        <w:lang w:eastAsia="zh-CN"/>
                      </w:rPr>
                    </w:pPr>
                    <w:r>
                      <w:fldChar w:fldCharType="begin"/>
                    </w:r>
                    <w:r>
                      <w:instrText xml:space="preserve"> PAGE  \* MERGEFORMAT </w:instrText>
                    </w:r>
                    <w:r>
                      <w:fldChar w:fldCharType="separate"/>
                    </w:r>
                    <w:r>
                      <w:t>43</w:t>
                    </w:r>
                    <w:r>
                      <w:fldChar w:fldCharType="end"/>
                    </w:r>
                    <w:r>
                      <w:rPr>
                        <w:rFonts w:hint="eastAsia"/>
                        <w:lang w:eastAsia="zh-CN"/>
                      </w:rPr>
                      <w:t xml:space="preserve"> </w:t>
                    </w:r>
                    <w:r>
                      <w:rPr>
                        <w:rFonts w:hint="eastAsia" w:ascii="Times New Roman" w:hAnsi="Times New Roman" w:eastAsia="微软雅黑" w:cs="Times New Roman"/>
                        <w:kern w:val="2"/>
                        <w:sz w:val="18"/>
                        <w:szCs w:val="18"/>
                        <w:lang w:val="en-US" w:eastAsia="zh-CN" w:bidi="ar-SA"/>
                      </w:rPr>
                      <w:t>1</w:t>
                    </w:r>
                    <w:r>
                      <w:fldChar w:fldCharType="begin"/>
                    </w:r>
                    <w:r>
                      <w:instrText xml:space="preserve"> PAGE  \* MERGEFORMAT </w:instrText>
                    </w:r>
                    <w:r>
                      <w:fldChar w:fldCharType="separate"/>
                    </w:r>
                    <w:r>
                      <w:t>43</w:t>
                    </w:r>
                    <w:r>
                      <w:fldChar w:fldCharType="end"/>
                    </w:r>
                  </w:p>
                </w:txbxContent>
              </v:textbox>
            </v:shape>
          </w:pict>
        </mc:Fallback>
      </mc:AlternateContent>
    </w:r>
    <w:r>
      <w:rPr>
        <w:rFonts w:hint="eastAsia" w:ascii="Times New Roman" w:hAnsi="宋体" w:eastAsia="微软雅黑" w:cs="宋体"/>
        <w:kern w:val="2"/>
        <w:sz w:val="18"/>
        <w:szCs w:val="18"/>
        <w:lang w:val="en-US" w:eastAsia="zh-CN" w:bidi="ar-SA"/>
      </w:rPr>
      <w:t>Shaanxi Zhuoqi Project Management Co., Ltd.</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F8C852">
    <w:pPr>
      <w:pStyle w:val="18"/>
      <w:tabs>
        <w:tab w:val="center" w:pos="4150"/>
        <w:tab w:val="right" w:pos="8420"/>
        <w:tab w:val="clear" w:pos="4153"/>
      </w:tabs>
      <w:rPr>
        <w:rFonts w:hint="eastAsia" w:ascii="宋体" w:eastAsia="宋体"/>
        <w:lang w:eastAsia="zh-CN"/>
      </w:rPr>
    </w:pPr>
    <w:r>
      <w:rPr>
        <w:rFonts w:ascii="Times New Roman" w:eastAsia="微软雅黑"/>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415ED4">
                          <w:pPr>
                            <w:pStyle w:val="18"/>
                            <w:rPr>
                              <w:rFonts w:hint="eastAsia" w:eastAsia="宋体"/>
                              <w:lang w:eastAsia="zh-CN"/>
                            </w:rPr>
                          </w:pPr>
                          <w:r>
                            <w:fldChar w:fldCharType="begin"/>
                          </w:r>
                          <w:r>
                            <w:instrText xml:space="preserve"> PAGE  \* MERGEFORMAT </w:instrText>
                          </w:r>
                          <w:r>
                            <w:fldChar w:fldCharType="separate"/>
                          </w:r>
                          <w:r>
                            <w:t>50</w:t>
                          </w:r>
                          <w:r>
                            <w:fldChar w:fldCharType="end"/>
                          </w:r>
                          <w:r>
                            <w:rPr>
                              <w:rFonts w:hint="eastAsia"/>
                              <w:lang w:eastAsia="zh-CN"/>
                            </w:rPr>
                            <w:t xml:space="preserve"> </w:t>
                          </w:r>
                          <w:r>
                            <w:rPr>
                              <w:rFonts w:hint="eastAsia" w:ascii="Times New Roman" w:hAnsi="Times New Roman" w:eastAsia="微软雅黑" w:cs="Times New Roman"/>
                              <w:kern w:val="2"/>
                              <w:sz w:val="18"/>
                              <w:szCs w:val="18"/>
                              <w:lang w:val="en-US" w:eastAsia="zh-CN" w:bidi="ar-SA"/>
                            </w:rPr>
                            <w:t>1</w:t>
                          </w: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4415ED4">
                    <w:pPr>
                      <w:pStyle w:val="18"/>
                      <w:rPr>
                        <w:rFonts w:hint="eastAsia" w:eastAsia="宋体"/>
                        <w:lang w:eastAsia="zh-CN"/>
                      </w:rPr>
                    </w:pPr>
                    <w:r>
                      <w:fldChar w:fldCharType="begin"/>
                    </w:r>
                    <w:r>
                      <w:instrText xml:space="preserve"> PAGE  \* MERGEFORMAT </w:instrText>
                    </w:r>
                    <w:r>
                      <w:fldChar w:fldCharType="separate"/>
                    </w:r>
                    <w:r>
                      <w:t>50</w:t>
                    </w:r>
                    <w:r>
                      <w:fldChar w:fldCharType="end"/>
                    </w:r>
                    <w:r>
                      <w:rPr>
                        <w:rFonts w:hint="eastAsia"/>
                        <w:lang w:eastAsia="zh-CN"/>
                      </w:rPr>
                      <w:t xml:space="preserve"> </w:t>
                    </w:r>
                    <w:r>
                      <w:rPr>
                        <w:rFonts w:hint="eastAsia" w:ascii="Times New Roman" w:hAnsi="Times New Roman" w:eastAsia="微软雅黑" w:cs="Times New Roman"/>
                        <w:kern w:val="2"/>
                        <w:sz w:val="18"/>
                        <w:szCs w:val="18"/>
                        <w:lang w:val="en-US" w:eastAsia="zh-CN" w:bidi="ar-SA"/>
                      </w:rPr>
                      <w:t>1</w:t>
                    </w:r>
                    <w:r>
                      <w:fldChar w:fldCharType="begin"/>
                    </w:r>
                    <w:r>
                      <w:instrText xml:space="preserve"> PAGE  \* MERGEFORMAT </w:instrText>
                    </w:r>
                    <w:r>
                      <w:fldChar w:fldCharType="separate"/>
                    </w:r>
                    <w:r>
                      <w:t>50</w:t>
                    </w:r>
                    <w:r>
                      <w:fldChar w:fldCharType="end"/>
                    </w:r>
                  </w:p>
                </w:txbxContent>
              </v:textbox>
            </v:shape>
          </w:pict>
        </mc:Fallback>
      </mc:AlternateContent>
    </w:r>
    <w:r>
      <w:rPr>
        <w:rFonts w:hint="eastAsia" w:ascii="Times New Roman" w:hAnsi="宋体" w:eastAsia="微软雅黑" w:cs="宋体"/>
        <w:kern w:val="2"/>
        <w:sz w:val="18"/>
        <w:szCs w:val="18"/>
        <w:lang w:val="en-US" w:eastAsia="zh-CN" w:bidi="ar-SA"/>
      </w:rPr>
      <w:tab/>
    </w:r>
    <w:r>
      <w:rPr>
        <w:rFonts w:hint="eastAsia" w:ascii="Times New Roman" w:hAnsi="宋体" w:eastAsia="微软雅黑" w:cs="宋体"/>
        <w:kern w:val="2"/>
        <w:sz w:val="18"/>
        <w:szCs w:val="18"/>
        <w:lang w:val="en-US" w:eastAsia="zh-CN" w:bidi="ar-SA"/>
      </w:rPr>
      <w:tab/>
    </w:r>
    <w:r>
      <w:rPr>
        <w:rFonts w:hint="eastAsia" w:ascii="Times New Roman" w:hAnsi="宋体" w:eastAsia="微软雅黑" w:cs="宋体"/>
        <w:kern w:val="2"/>
        <w:sz w:val="18"/>
        <w:szCs w:val="18"/>
        <w:lang w:val="en-US" w:eastAsia="zh-CN" w:bidi="ar-SA"/>
      </w:rPr>
      <w:t>Shaanxi Zhuoqi Project Management Co., Ltd.</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2141F">
    <w:pPr>
      <w:pStyle w:val="18"/>
      <w:tabs>
        <w:tab w:val="center" w:pos="4150"/>
        <w:tab w:val="right" w:pos="8420"/>
        <w:tab w:val="clear" w:pos="4153"/>
      </w:tabs>
      <w:rPr>
        <w:rFonts w:hint="eastAsia" w:ascii="宋体" w:eastAsia="宋体"/>
        <w:lang w:eastAsia="zh-CN"/>
      </w:rPr>
    </w:pPr>
    <w:r>
      <w:rPr>
        <w:rFonts w:ascii="Times New Roman" w:eastAsia="微软雅黑"/>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F45B77">
                          <w:pPr>
                            <w:pStyle w:val="18"/>
                            <w:rPr>
                              <w:rFonts w:hint="eastAsia" w:eastAsia="宋体"/>
                              <w:lang w:eastAsia="zh-CN"/>
                            </w:rPr>
                          </w:pPr>
                          <w:r>
                            <w:fldChar w:fldCharType="begin"/>
                          </w:r>
                          <w:r>
                            <w:instrText xml:space="preserve"> PAGE  \* MERGEFORMAT </w:instrText>
                          </w:r>
                          <w:r>
                            <w:fldChar w:fldCharType="separate"/>
                          </w:r>
                          <w:r>
                            <w:t>61</w:t>
                          </w:r>
                          <w:r>
                            <w:fldChar w:fldCharType="end"/>
                          </w:r>
                          <w:r>
                            <w:rPr>
                              <w:rFonts w:hint="eastAsia"/>
                              <w:lang w:eastAsia="zh-CN"/>
                            </w:rPr>
                            <w:t xml:space="preserve"> </w:t>
                          </w:r>
                          <w:r>
                            <w:rPr>
                              <w:rFonts w:hint="eastAsia" w:ascii="Times New Roman" w:hAnsi="Times New Roman" w:eastAsia="微软雅黑" w:cs="Times New Roman"/>
                              <w:kern w:val="2"/>
                              <w:sz w:val="18"/>
                              <w:szCs w:val="18"/>
                              <w:lang w:val="en-US" w:eastAsia="zh-CN" w:bidi="ar-SA"/>
                            </w:rPr>
                            <w:t>1</w:t>
                          </w: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FF45B77">
                    <w:pPr>
                      <w:pStyle w:val="18"/>
                      <w:rPr>
                        <w:rFonts w:hint="eastAsia" w:eastAsia="宋体"/>
                        <w:lang w:eastAsia="zh-CN"/>
                      </w:rPr>
                    </w:pPr>
                    <w:r>
                      <w:fldChar w:fldCharType="begin"/>
                    </w:r>
                    <w:r>
                      <w:instrText xml:space="preserve"> PAGE  \* MERGEFORMAT </w:instrText>
                    </w:r>
                    <w:r>
                      <w:fldChar w:fldCharType="separate"/>
                    </w:r>
                    <w:r>
                      <w:t>61</w:t>
                    </w:r>
                    <w:r>
                      <w:fldChar w:fldCharType="end"/>
                    </w:r>
                    <w:r>
                      <w:rPr>
                        <w:rFonts w:hint="eastAsia"/>
                        <w:lang w:eastAsia="zh-CN"/>
                      </w:rPr>
                      <w:t xml:space="preserve"> </w:t>
                    </w:r>
                    <w:r>
                      <w:rPr>
                        <w:rFonts w:hint="eastAsia" w:ascii="Times New Roman" w:hAnsi="Times New Roman" w:eastAsia="微软雅黑" w:cs="Times New Roman"/>
                        <w:kern w:val="2"/>
                        <w:sz w:val="18"/>
                        <w:szCs w:val="18"/>
                        <w:lang w:val="en-US" w:eastAsia="zh-CN" w:bidi="ar-SA"/>
                      </w:rPr>
                      <w:t>1</w:t>
                    </w:r>
                    <w:r>
                      <w:fldChar w:fldCharType="begin"/>
                    </w:r>
                    <w:r>
                      <w:instrText xml:space="preserve"> PAGE  \* MERGEFORMAT </w:instrText>
                    </w:r>
                    <w:r>
                      <w:fldChar w:fldCharType="separate"/>
                    </w:r>
                    <w:r>
                      <w:t>61</w:t>
                    </w:r>
                    <w:r>
                      <w:fldChar w:fldCharType="end"/>
                    </w:r>
                  </w:p>
                </w:txbxContent>
              </v:textbox>
            </v:shape>
          </w:pict>
        </mc:Fallback>
      </mc:AlternateContent>
    </w:r>
    <w:r>
      <w:rPr>
        <w:rFonts w:hint="eastAsia" w:ascii="Times New Roman" w:hAnsi="宋体" w:eastAsia="微软雅黑" w:cs="宋体"/>
        <w:kern w:val="2"/>
        <w:sz w:val="18"/>
        <w:szCs w:val="18"/>
        <w:lang w:val="en-US" w:eastAsia="zh-CN" w:bidi="ar-SA"/>
      </w:rPr>
      <w:tab/>
    </w:r>
    <w:r>
      <w:rPr>
        <w:rFonts w:hint="eastAsia" w:ascii="Times New Roman" w:hAnsi="宋体" w:eastAsia="微软雅黑" w:cs="宋体"/>
        <w:kern w:val="2"/>
        <w:sz w:val="18"/>
        <w:szCs w:val="18"/>
        <w:lang w:val="en-US" w:eastAsia="zh-CN" w:bidi="ar-SA"/>
      </w:rPr>
      <w:tab/>
    </w:r>
    <w:r>
      <w:rPr>
        <w:rFonts w:hint="eastAsia" w:ascii="Times New Roman" w:hAnsi="宋体" w:eastAsia="微软雅黑" w:cs="宋体"/>
        <w:kern w:val="2"/>
        <w:sz w:val="18"/>
        <w:szCs w:val="18"/>
        <w:lang w:val="en-US" w:eastAsia="zh-CN" w:bidi="ar-SA"/>
      </w:rPr>
      <w:t>Shaanxi Zhuoqi Project Management Co., Ltd.</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F5146">
    <w:pPr>
      <w:pStyle w:val="18"/>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92F01B">
                          <w:pPr>
                            <w:pStyle w:val="18"/>
                            <w:rPr>
                              <w:rFonts w:hint="eastAsia" w:eastAsia="宋体"/>
                              <w:lang w:eastAsia="zh-CN"/>
                            </w:rPr>
                          </w:pPr>
                          <w:r>
                            <w:fldChar w:fldCharType="begin"/>
                          </w:r>
                          <w:r>
                            <w:instrText xml:space="preserve"> PAGE  \* MERGEFORMAT </w:instrText>
                          </w:r>
                          <w:r>
                            <w:fldChar w:fldCharType="separate"/>
                          </w:r>
                          <w:r>
                            <w:t>78</w:t>
                          </w:r>
                          <w:r>
                            <w:fldChar w:fldCharType="end"/>
                          </w:r>
                          <w:r>
                            <w:rPr>
                              <w:rFonts w:hint="eastAsia"/>
                              <w:lang w:eastAsia="zh-CN"/>
                            </w:rPr>
                            <w:t xml:space="preserve"> </w:t>
                          </w:r>
                          <w:r>
                            <w:rPr>
                              <w:rFonts w:hint="eastAsia" w:ascii="Times New Roman" w:hAnsi="Times New Roman" w:eastAsia="微软雅黑" w:cs="Times New Roman"/>
                              <w:kern w:val="2"/>
                              <w:sz w:val="18"/>
                              <w:szCs w:val="18"/>
                              <w:lang w:val="en-US" w:eastAsia="zh-CN" w:bidi="ar-SA"/>
                            </w:rPr>
                            <w:t>1</w:t>
                          </w: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2292F01B">
                    <w:pPr>
                      <w:pStyle w:val="18"/>
                      <w:rPr>
                        <w:rFonts w:hint="eastAsia" w:eastAsia="宋体"/>
                        <w:lang w:eastAsia="zh-CN"/>
                      </w:rPr>
                    </w:pPr>
                    <w:r>
                      <w:fldChar w:fldCharType="begin"/>
                    </w:r>
                    <w:r>
                      <w:instrText xml:space="preserve"> PAGE  \* MERGEFORMAT </w:instrText>
                    </w:r>
                    <w:r>
                      <w:fldChar w:fldCharType="separate"/>
                    </w:r>
                    <w:r>
                      <w:t>78</w:t>
                    </w:r>
                    <w:r>
                      <w:fldChar w:fldCharType="end"/>
                    </w:r>
                    <w:r>
                      <w:rPr>
                        <w:rFonts w:hint="eastAsia"/>
                        <w:lang w:eastAsia="zh-CN"/>
                      </w:rPr>
                      <w:t xml:space="preserve"> </w:t>
                    </w:r>
                    <w:r>
                      <w:rPr>
                        <w:rFonts w:hint="eastAsia" w:ascii="Times New Roman" w:hAnsi="Times New Roman" w:eastAsia="微软雅黑" w:cs="Times New Roman"/>
                        <w:kern w:val="2"/>
                        <w:sz w:val="18"/>
                        <w:szCs w:val="18"/>
                        <w:lang w:val="en-US" w:eastAsia="zh-CN" w:bidi="ar-SA"/>
                      </w:rPr>
                      <w:t>1</w:t>
                    </w: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589C05">
    <w:pPr>
      <w:pStyle w:val="18"/>
      <w:tabs>
        <w:tab w:val="center" w:pos="4150"/>
        <w:tab w:val="right" w:pos="8420"/>
        <w:tab w:val="clear" w:pos="4153"/>
      </w:tabs>
      <w:rPr>
        <w:rFonts w:hint="eastAsia" w:ascii="宋体" w:eastAsia="宋体"/>
        <w:lang w:eastAsia="zh-CN"/>
      </w:rPr>
    </w:pPr>
    <w:r>
      <w:rPr>
        <w:rFonts w:ascii="Times New Roman" w:eastAsia="微软雅黑"/>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001A7A">
                          <w:pPr>
                            <w:pStyle w:val="18"/>
                            <w:rPr>
                              <w:rFonts w:hint="eastAsia" w:eastAsia="宋体"/>
                              <w:lang w:eastAsia="zh-CN"/>
                            </w:rPr>
                          </w:pPr>
                          <w:r>
                            <w:fldChar w:fldCharType="begin"/>
                          </w:r>
                          <w:r>
                            <w:instrText xml:space="preserve"> PAGE  \* MERGEFORMAT </w:instrText>
                          </w:r>
                          <w:r>
                            <w:fldChar w:fldCharType="separate"/>
                          </w:r>
                          <w:r>
                            <w:t>79</w:t>
                          </w:r>
                          <w:r>
                            <w:fldChar w:fldCharType="end"/>
                          </w:r>
                          <w:r>
                            <w:rPr>
                              <w:rFonts w:hint="eastAsia"/>
                              <w:lang w:eastAsia="zh-CN"/>
                            </w:rPr>
                            <w:t xml:space="preserve"> </w:t>
                          </w:r>
                          <w:r>
                            <w:rPr>
                              <w:rFonts w:hint="eastAsia" w:ascii="Times New Roman" w:hAnsi="Times New Roman" w:eastAsia="微软雅黑" w:cs="Times New Roman"/>
                              <w:kern w:val="2"/>
                              <w:sz w:val="18"/>
                              <w:szCs w:val="18"/>
                              <w:lang w:val="en-US" w:eastAsia="zh-CN" w:bidi="ar-SA"/>
                            </w:rPr>
                            <w:t>1</w:t>
                          </w: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A001A7A">
                    <w:pPr>
                      <w:pStyle w:val="18"/>
                      <w:rPr>
                        <w:rFonts w:hint="eastAsia" w:eastAsia="宋体"/>
                        <w:lang w:eastAsia="zh-CN"/>
                      </w:rPr>
                    </w:pPr>
                    <w:r>
                      <w:fldChar w:fldCharType="begin"/>
                    </w:r>
                    <w:r>
                      <w:instrText xml:space="preserve"> PAGE  \* MERGEFORMAT </w:instrText>
                    </w:r>
                    <w:r>
                      <w:fldChar w:fldCharType="separate"/>
                    </w:r>
                    <w:r>
                      <w:t>79</w:t>
                    </w:r>
                    <w:r>
                      <w:fldChar w:fldCharType="end"/>
                    </w:r>
                    <w:r>
                      <w:rPr>
                        <w:rFonts w:hint="eastAsia"/>
                        <w:lang w:eastAsia="zh-CN"/>
                      </w:rPr>
                      <w:t xml:space="preserve"> </w:t>
                    </w:r>
                    <w:r>
                      <w:rPr>
                        <w:rFonts w:hint="eastAsia" w:ascii="Times New Roman" w:hAnsi="Times New Roman" w:eastAsia="微软雅黑" w:cs="Times New Roman"/>
                        <w:kern w:val="2"/>
                        <w:sz w:val="18"/>
                        <w:szCs w:val="18"/>
                        <w:lang w:val="en-US" w:eastAsia="zh-CN" w:bidi="ar-SA"/>
                      </w:rPr>
                      <w:t>1</w:t>
                    </w:r>
                    <w:r>
                      <w:fldChar w:fldCharType="begin"/>
                    </w:r>
                    <w:r>
                      <w:instrText xml:space="preserve"> PAGE  \* MERGEFORMAT </w:instrText>
                    </w:r>
                    <w:r>
                      <w:fldChar w:fldCharType="separate"/>
                    </w:r>
                    <w:r>
                      <w:t>79</w:t>
                    </w:r>
                    <w:r>
                      <w:fldChar w:fldCharType="end"/>
                    </w:r>
                  </w:p>
                </w:txbxContent>
              </v:textbox>
            </v:shape>
          </w:pict>
        </mc:Fallback>
      </mc:AlternateContent>
    </w:r>
    <w:r>
      <w:rPr>
        <w:rFonts w:hint="eastAsia" w:ascii="Times New Roman" w:hAnsi="宋体" w:eastAsia="微软雅黑" w:cs="宋体"/>
        <w:kern w:val="2"/>
        <w:sz w:val="18"/>
        <w:szCs w:val="18"/>
        <w:lang w:val="en-US" w:eastAsia="zh-CN" w:bidi="ar-SA"/>
      </w:rPr>
      <w:tab/>
    </w:r>
    <w:r>
      <w:rPr>
        <w:rFonts w:hint="eastAsia" w:ascii="Times New Roman" w:hAnsi="宋体" w:eastAsia="微软雅黑" w:cs="宋体"/>
        <w:kern w:val="2"/>
        <w:sz w:val="18"/>
        <w:szCs w:val="18"/>
        <w:lang w:val="en-US" w:eastAsia="zh-CN" w:bidi="ar-SA"/>
      </w:rPr>
      <w:tab/>
    </w:r>
    <w:r>
      <w:rPr>
        <w:rFonts w:hint="eastAsia" w:ascii="Times New Roman" w:hAnsi="宋体" w:eastAsia="微软雅黑" w:cs="宋体"/>
        <w:kern w:val="2"/>
        <w:sz w:val="18"/>
        <w:szCs w:val="18"/>
        <w:lang w:val="en-US" w:eastAsia="zh-CN" w:bidi="ar-SA"/>
      </w:rPr>
      <w:t>Shaanxi Zhuoqi Project Management Co., Ltd.</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27452">
    <w:pPr>
      <w:adjustRightInd w:val="0"/>
      <w:snapToGrid w:val="0"/>
      <w:spacing w:line="360" w:lineRule="auto"/>
      <w:jc w:val="left"/>
      <w:rPr>
        <w:rFonts w:ascii="宋体" w:hAnsi="宋体" w:cs="宋体"/>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38E77">
    <w:pPr>
      <w:adjustRightInd w:val="0"/>
      <w:snapToGrid w:val="0"/>
      <w:spacing w:line="360" w:lineRule="auto"/>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44CC0">
    <w:pPr>
      <w:adjustRightInd w:val="0"/>
      <w:snapToGrid w:val="0"/>
      <w:spacing w:line="360" w:lineRule="auto"/>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4CCF5">
    <w:pPr>
      <w:adjustRightInd w:val="0"/>
      <w:snapToGrid w:val="0"/>
      <w:spacing w:line="360" w:lineRule="auto"/>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29F78">
    <w:pPr>
      <w:adjustRightInd w:val="0"/>
      <w:snapToGrid w:val="0"/>
      <w:spacing w:line="360" w:lineRule="auto"/>
      <w:jc w:val="lef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EBE65">
    <w:pPr>
      <w:adjustRightInd w:val="0"/>
      <w:snapToGrid w:val="0"/>
      <w:spacing w:line="360" w:lineRule="auto"/>
      <w:jc w:val="lef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AC2E9">
    <w:pPr>
      <w:adjustRightInd w:val="0"/>
      <w:snapToGrid w:val="0"/>
      <w:spacing w:line="360" w:lineRule="auto"/>
      <w:jc w:val="left"/>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1CB62">
    <w:pPr>
      <w:adjustRightInd w:val="0"/>
      <w:snapToGrid w:val="0"/>
      <w:spacing w:line="360" w:lineRule="auto"/>
      <w:jc w:val="left"/>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0F557">
    <w:pPr>
      <w:adjustRightInd w:val="0"/>
      <w:snapToGrid w:val="0"/>
      <w:spacing w:line="360" w:lineRule="auto"/>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8EE0AA"/>
    <w:multiLevelType w:val="singleLevel"/>
    <w:tmpl w:val="8C8EE0AA"/>
    <w:lvl w:ilvl="0" w:tentative="0">
      <w:start w:val="1"/>
      <w:numFmt w:val="decimal"/>
      <w:suff w:val="nothing"/>
      <w:lvlText w:val="（%1）"/>
      <w:lvlJc w:val="left"/>
      <w:pPr>
        <w:ind w:left="0" w:firstLine="420"/>
      </w:pPr>
      <w:rPr>
        <w:rFonts w:hint="default"/>
      </w:rPr>
    </w:lvl>
  </w:abstractNum>
  <w:abstractNum w:abstractNumId="1">
    <w:nsid w:val="A7F34F72"/>
    <w:multiLevelType w:val="singleLevel"/>
    <w:tmpl w:val="A7F34F72"/>
    <w:lvl w:ilvl="0" w:tentative="0">
      <w:start w:val="1"/>
      <w:numFmt w:val="decimal"/>
      <w:suff w:val="nothing"/>
      <w:lvlText w:val="（%1）"/>
      <w:lvlJc w:val="left"/>
      <w:pPr>
        <w:ind w:left="0" w:firstLine="400"/>
      </w:pPr>
      <w:rPr>
        <w:rFonts w:hint="default"/>
      </w:rPr>
    </w:lvl>
  </w:abstractNum>
  <w:abstractNum w:abstractNumId="2">
    <w:nsid w:val="A9EFC9BF"/>
    <w:multiLevelType w:val="singleLevel"/>
    <w:tmpl w:val="A9EFC9BF"/>
    <w:lvl w:ilvl="0" w:tentative="0">
      <w:start w:val="1"/>
      <w:numFmt w:val="decimal"/>
      <w:suff w:val="space"/>
      <w:lvlText w:val="%1."/>
      <w:lvlJc w:val="left"/>
    </w:lvl>
  </w:abstractNum>
  <w:abstractNum w:abstractNumId="3">
    <w:nsid w:val="AEAF597C"/>
    <w:multiLevelType w:val="singleLevel"/>
    <w:tmpl w:val="AEAF597C"/>
    <w:lvl w:ilvl="0" w:tentative="0">
      <w:start w:val="5"/>
      <w:numFmt w:val="decimal"/>
      <w:suff w:val="space"/>
      <w:lvlText w:val="第%1部分"/>
      <w:lvlJc w:val="left"/>
      <w:rPr>
        <w:rFonts w:hint="default"/>
      </w:rPr>
    </w:lvl>
  </w:abstractNum>
  <w:abstractNum w:abstractNumId="4">
    <w:nsid w:val="CD019F04"/>
    <w:multiLevelType w:val="singleLevel"/>
    <w:tmpl w:val="CD019F04"/>
    <w:lvl w:ilvl="0" w:tentative="0">
      <w:start w:val="3"/>
      <w:numFmt w:val="decimal"/>
      <w:suff w:val="nothing"/>
      <w:lvlText w:val="%1、"/>
      <w:lvlJc w:val="left"/>
      <w:rPr>
        <w:rFonts w:hint="default"/>
      </w:rPr>
    </w:lvl>
  </w:abstractNum>
  <w:abstractNum w:abstractNumId="5">
    <w:nsid w:val="FFBF263C"/>
    <w:multiLevelType w:val="singleLevel"/>
    <w:tmpl w:val="FFBF263C"/>
    <w:lvl w:ilvl="0" w:tentative="0">
      <w:start w:val="1"/>
      <w:numFmt w:val="decimal"/>
      <w:suff w:val="nothing"/>
      <w:lvlText w:val="（%1）"/>
      <w:lvlJc w:val="left"/>
      <w:pPr>
        <w:ind w:left="0" w:firstLine="420"/>
      </w:pPr>
      <w:rPr>
        <w:rFonts w:hint="default"/>
      </w:rPr>
    </w:lvl>
  </w:abstractNum>
  <w:abstractNum w:abstractNumId="6">
    <w:nsid w:val="3D04B6BE"/>
    <w:multiLevelType w:val="singleLevel"/>
    <w:tmpl w:val="3D04B6BE"/>
    <w:lvl w:ilvl="0" w:tentative="0">
      <w:start w:val="1"/>
      <w:numFmt w:val="decimal"/>
      <w:suff w:val="nothing"/>
      <w:lvlText w:val="（%1）"/>
      <w:lvlJc w:val="left"/>
      <w:pPr>
        <w:ind w:left="0" w:firstLine="420"/>
      </w:pPr>
      <w:rPr>
        <w:rFonts w:hint="default"/>
      </w:rPr>
    </w:lvl>
  </w:abstractNum>
  <w:abstractNum w:abstractNumId="7">
    <w:nsid w:val="58BE4A74"/>
    <w:multiLevelType w:val="singleLevel"/>
    <w:tmpl w:val="58BE4A74"/>
    <w:lvl w:ilvl="0" w:tentative="0">
      <w:start w:val="1"/>
      <w:numFmt w:val="chineseCounting"/>
      <w:suff w:val="nothing"/>
      <w:lvlText w:val="%1、"/>
      <w:lvlJc w:val="left"/>
      <w:pPr>
        <w:ind w:left="0" w:firstLine="420"/>
      </w:pPr>
      <w:rPr>
        <w:rFonts w:hint="eastAsia"/>
      </w:rPr>
    </w:lvl>
  </w:abstractNum>
  <w:abstractNum w:abstractNumId="8">
    <w:nsid w:val="5902B6A7"/>
    <w:multiLevelType w:val="singleLevel"/>
    <w:tmpl w:val="5902B6A7"/>
    <w:lvl w:ilvl="0" w:tentative="0">
      <w:start w:val="1"/>
      <w:numFmt w:val="decimal"/>
      <w:pStyle w:val="7"/>
      <w:lvlText w:val="%1."/>
      <w:lvlJc w:val="left"/>
      <w:pPr>
        <w:tabs>
          <w:tab w:val="left" w:pos="360"/>
        </w:tabs>
        <w:ind w:left="360" w:hanging="360"/>
      </w:pPr>
    </w:lvl>
  </w:abstractNum>
  <w:abstractNum w:abstractNumId="9">
    <w:nsid w:val="60E8098B"/>
    <w:multiLevelType w:val="singleLevel"/>
    <w:tmpl w:val="60E8098B"/>
    <w:lvl w:ilvl="0" w:tentative="0">
      <w:start w:val="6"/>
      <w:numFmt w:val="decimal"/>
      <w:suff w:val="space"/>
      <w:lvlText w:val="第%1部分"/>
      <w:lvlJc w:val="left"/>
      <w:rPr>
        <w:rFonts w:hint="default"/>
      </w:rPr>
    </w:lvl>
  </w:abstractNum>
  <w:abstractNum w:abstractNumId="10">
    <w:nsid w:val="61F7CCE3"/>
    <w:multiLevelType w:val="singleLevel"/>
    <w:tmpl w:val="61F7CCE3"/>
    <w:lvl w:ilvl="0" w:tentative="0">
      <w:start w:val="2"/>
      <w:numFmt w:val="chineseCounting"/>
      <w:suff w:val="space"/>
      <w:lvlText w:val="第%1部分"/>
      <w:lvlJc w:val="left"/>
      <w:rPr>
        <w:rFonts w:hint="eastAsia"/>
      </w:rPr>
    </w:lvl>
  </w:abstractNum>
  <w:num w:numId="1">
    <w:abstractNumId w:val="8"/>
  </w:num>
  <w:num w:numId="2">
    <w:abstractNumId w:val="1"/>
  </w:num>
  <w:num w:numId="3">
    <w:abstractNumId w:val="6"/>
  </w:num>
  <w:num w:numId="4">
    <w:abstractNumId w:val="7"/>
  </w:num>
  <w:num w:numId="5">
    <w:abstractNumId w:val="0"/>
  </w:num>
  <w:num w:numId="6">
    <w:abstractNumId w:val="3"/>
  </w:num>
  <w:num w:numId="7">
    <w:abstractNumId w:val="9"/>
  </w:num>
  <w:num w:numId="8">
    <w:abstractNumId w:val="4"/>
  </w:num>
  <w:num w:numId="9">
    <w:abstractNumId w:val="10"/>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embedTrueTypeFonts/>
  <w:saveSubsetFonts/>
  <w:bordersDoNotSurroundHeader w:val="0"/>
  <w:bordersDoNotSurroundFooter w:val="0"/>
  <w:hideSpellingErrors/>
  <w:documentProtection w:edit="readOnly" w:enforcement="0"/>
  <w:defaultTabStop w:val="420"/>
  <w:drawingGridHorizontalSpacing w:val="105"/>
  <w:drawingGridVerticalSpacing w:val="159"/>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ExYTA0NjEzNzRiZjFlNmM3ZmM1ZDMxNzJjMjc3Y2MifQ=="/>
  </w:docVars>
  <w:rsids>
    <w:rsidRoot w:val="00172A27"/>
    <w:rsid w:val="00010D1C"/>
    <w:rsid w:val="0002712E"/>
    <w:rsid w:val="000368AE"/>
    <w:rsid w:val="00037E51"/>
    <w:rsid w:val="00042D40"/>
    <w:rsid w:val="00067B07"/>
    <w:rsid w:val="000743B6"/>
    <w:rsid w:val="00084A44"/>
    <w:rsid w:val="0009265D"/>
    <w:rsid w:val="000A3AD6"/>
    <w:rsid w:val="000A6804"/>
    <w:rsid w:val="000B17FB"/>
    <w:rsid w:val="000B2A5D"/>
    <w:rsid w:val="000B3DD4"/>
    <w:rsid w:val="000C0895"/>
    <w:rsid w:val="000C673D"/>
    <w:rsid w:val="000D7288"/>
    <w:rsid w:val="000E2734"/>
    <w:rsid w:val="000E37CB"/>
    <w:rsid w:val="000F3806"/>
    <w:rsid w:val="000F3D74"/>
    <w:rsid w:val="00102202"/>
    <w:rsid w:val="0011607E"/>
    <w:rsid w:val="00122D04"/>
    <w:rsid w:val="00126C11"/>
    <w:rsid w:val="00140E4D"/>
    <w:rsid w:val="001479C8"/>
    <w:rsid w:val="00152CAF"/>
    <w:rsid w:val="00167A28"/>
    <w:rsid w:val="001701D8"/>
    <w:rsid w:val="0017037F"/>
    <w:rsid w:val="00172A27"/>
    <w:rsid w:val="00180FA4"/>
    <w:rsid w:val="00192A67"/>
    <w:rsid w:val="00195B2A"/>
    <w:rsid w:val="001A00DF"/>
    <w:rsid w:val="001A439C"/>
    <w:rsid w:val="001A6727"/>
    <w:rsid w:val="001B0BC1"/>
    <w:rsid w:val="001B1459"/>
    <w:rsid w:val="001B3264"/>
    <w:rsid w:val="001C17E7"/>
    <w:rsid w:val="001C2786"/>
    <w:rsid w:val="001D44F7"/>
    <w:rsid w:val="001D4DBC"/>
    <w:rsid w:val="001D74E8"/>
    <w:rsid w:val="001D76B9"/>
    <w:rsid w:val="001E1FE3"/>
    <w:rsid w:val="001E5E5C"/>
    <w:rsid w:val="001E7E49"/>
    <w:rsid w:val="001F403A"/>
    <w:rsid w:val="00205EEF"/>
    <w:rsid w:val="00214BA5"/>
    <w:rsid w:val="00221202"/>
    <w:rsid w:val="00247C1D"/>
    <w:rsid w:val="0025657F"/>
    <w:rsid w:val="002647A7"/>
    <w:rsid w:val="0026628D"/>
    <w:rsid w:val="00274C97"/>
    <w:rsid w:val="00287CC7"/>
    <w:rsid w:val="00290135"/>
    <w:rsid w:val="002923DE"/>
    <w:rsid w:val="00295F6C"/>
    <w:rsid w:val="0029755A"/>
    <w:rsid w:val="002A2AC6"/>
    <w:rsid w:val="002A5E9A"/>
    <w:rsid w:val="002C54CF"/>
    <w:rsid w:val="002D2909"/>
    <w:rsid w:val="002D4DA4"/>
    <w:rsid w:val="002D7A6D"/>
    <w:rsid w:val="002E07BF"/>
    <w:rsid w:val="002F6FCA"/>
    <w:rsid w:val="003146F7"/>
    <w:rsid w:val="00326800"/>
    <w:rsid w:val="003322AB"/>
    <w:rsid w:val="00332CAB"/>
    <w:rsid w:val="00337601"/>
    <w:rsid w:val="00340053"/>
    <w:rsid w:val="0035235D"/>
    <w:rsid w:val="00360C09"/>
    <w:rsid w:val="00376929"/>
    <w:rsid w:val="003929E2"/>
    <w:rsid w:val="00395491"/>
    <w:rsid w:val="003A2D46"/>
    <w:rsid w:val="003A3201"/>
    <w:rsid w:val="003B290E"/>
    <w:rsid w:val="003B61AE"/>
    <w:rsid w:val="003C2DEE"/>
    <w:rsid w:val="003C2E0B"/>
    <w:rsid w:val="003C67F2"/>
    <w:rsid w:val="003C7C1E"/>
    <w:rsid w:val="003D30BC"/>
    <w:rsid w:val="003D37C1"/>
    <w:rsid w:val="003E1DDF"/>
    <w:rsid w:val="003E65D8"/>
    <w:rsid w:val="003E7B81"/>
    <w:rsid w:val="003F04B9"/>
    <w:rsid w:val="003F169C"/>
    <w:rsid w:val="003F3D18"/>
    <w:rsid w:val="003F42BB"/>
    <w:rsid w:val="003F5518"/>
    <w:rsid w:val="003F64A7"/>
    <w:rsid w:val="004057C8"/>
    <w:rsid w:val="004456E2"/>
    <w:rsid w:val="00450476"/>
    <w:rsid w:val="004803E0"/>
    <w:rsid w:val="00480A2B"/>
    <w:rsid w:val="00482B14"/>
    <w:rsid w:val="004862AD"/>
    <w:rsid w:val="004958B6"/>
    <w:rsid w:val="004A1B24"/>
    <w:rsid w:val="004A2796"/>
    <w:rsid w:val="004B0BF8"/>
    <w:rsid w:val="004B1B7C"/>
    <w:rsid w:val="004B2DBF"/>
    <w:rsid w:val="004C2AF8"/>
    <w:rsid w:val="004D70C5"/>
    <w:rsid w:val="004D7702"/>
    <w:rsid w:val="004E4CF5"/>
    <w:rsid w:val="00501EEF"/>
    <w:rsid w:val="0050491F"/>
    <w:rsid w:val="00513C7F"/>
    <w:rsid w:val="00517E36"/>
    <w:rsid w:val="00520C66"/>
    <w:rsid w:val="005217F8"/>
    <w:rsid w:val="00522064"/>
    <w:rsid w:val="00523018"/>
    <w:rsid w:val="00530399"/>
    <w:rsid w:val="00536870"/>
    <w:rsid w:val="00541724"/>
    <w:rsid w:val="00561B5B"/>
    <w:rsid w:val="00571D17"/>
    <w:rsid w:val="00572154"/>
    <w:rsid w:val="00573ECA"/>
    <w:rsid w:val="00576A5F"/>
    <w:rsid w:val="005B0E59"/>
    <w:rsid w:val="005B3960"/>
    <w:rsid w:val="005B7D7A"/>
    <w:rsid w:val="005C1A4E"/>
    <w:rsid w:val="005C7704"/>
    <w:rsid w:val="005D7A12"/>
    <w:rsid w:val="005E1A4A"/>
    <w:rsid w:val="005F0772"/>
    <w:rsid w:val="005F5307"/>
    <w:rsid w:val="006055AF"/>
    <w:rsid w:val="0060689C"/>
    <w:rsid w:val="00613B65"/>
    <w:rsid w:val="00616F2D"/>
    <w:rsid w:val="006177A7"/>
    <w:rsid w:val="006258BB"/>
    <w:rsid w:val="00641FD9"/>
    <w:rsid w:val="0064781D"/>
    <w:rsid w:val="00651A97"/>
    <w:rsid w:val="00654B3E"/>
    <w:rsid w:val="006634A1"/>
    <w:rsid w:val="006657C9"/>
    <w:rsid w:val="0067039B"/>
    <w:rsid w:val="0067149C"/>
    <w:rsid w:val="00680400"/>
    <w:rsid w:val="00681782"/>
    <w:rsid w:val="006849A6"/>
    <w:rsid w:val="00695476"/>
    <w:rsid w:val="00696FBA"/>
    <w:rsid w:val="006A0541"/>
    <w:rsid w:val="006A3CA0"/>
    <w:rsid w:val="006A5684"/>
    <w:rsid w:val="006B535E"/>
    <w:rsid w:val="006C2460"/>
    <w:rsid w:val="006D1589"/>
    <w:rsid w:val="006D761F"/>
    <w:rsid w:val="006E14CD"/>
    <w:rsid w:val="006E169C"/>
    <w:rsid w:val="006E46DF"/>
    <w:rsid w:val="006E7F0D"/>
    <w:rsid w:val="006E7F57"/>
    <w:rsid w:val="006F1FD6"/>
    <w:rsid w:val="007027C4"/>
    <w:rsid w:val="00705E51"/>
    <w:rsid w:val="00711C0F"/>
    <w:rsid w:val="0071294E"/>
    <w:rsid w:val="007359DA"/>
    <w:rsid w:val="00736362"/>
    <w:rsid w:val="00736BCC"/>
    <w:rsid w:val="0074281E"/>
    <w:rsid w:val="00743051"/>
    <w:rsid w:val="007447C1"/>
    <w:rsid w:val="00754F21"/>
    <w:rsid w:val="00766438"/>
    <w:rsid w:val="00766793"/>
    <w:rsid w:val="00770871"/>
    <w:rsid w:val="00770AB6"/>
    <w:rsid w:val="0077254B"/>
    <w:rsid w:val="00787642"/>
    <w:rsid w:val="00792491"/>
    <w:rsid w:val="007A3A90"/>
    <w:rsid w:val="007A4E4B"/>
    <w:rsid w:val="007B5F39"/>
    <w:rsid w:val="007C08C3"/>
    <w:rsid w:val="007C2279"/>
    <w:rsid w:val="007C2526"/>
    <w:rsid w:val="007D0BA4"/>
    <w:rsid w:val="007D15F9"/>
    <w:rsid w:val="007D308B"/>
    <w:rsid w:val="007E485E"/>
    <w:rsid w:val="0080064B"/>
    <w:rsid w:val="00811783"/>
    <w:rsid w:val="00812CEA"/>
    <w:rsid w:val="00813B07"/>
    <w:rsid w:val="00823C25"/>
    <w:rsid w:val="008259FA"/>
    <w:rsid w:val="00835960"/>
    <w:rsid w:val="00842CDF"/>
    <w:rsid w:val="00847A3B"/>
    <w:rsid w:val="008573C1"/>
    <w:rsid w:val="00857AD6"/>
    <w:rsid w:val="0086367E"/>
    <w:rsid w:val="00872924"/>
    <w:rsid w:val="00876C01"/>
    <w:rsid w:val="008866C0"/>
    <w:rsid w:val="00895737"/>
    <w:rsid w:val="008962A7"/>
    <w:rsid w:val="00896FC7"/>
    <w:rsid w:val="008A367A"/>
    <w:rsid w:val="008B3D72"/>
    <w:rsid w:val="008C650D"/>
    <w:rsid w:val="008D2AF0"/>
    <w:rsid w:val="008D379A"/>
    <w:rsid w:val="008D43F8"/>
    <w:rsid w:val="008E455E"/>
    <w:rsid w:val="008E7C81"/>
    <w:rsid w:val="008F5E34"/>
    <w:rsid w:val="008F6EFE"/>
    <w:rsid w:val="00900E76"/>
    <w:rsid w:val="009325F4"/>
    <w:rsid w:val="00934062"/>
    <w:rsid w:val="0093477B"/>
    <w:rsid w:val="00940DCC"/>
    <w:rsid w:val="00954CF1"/>
    <w:rsid w:val="00970225"/>
    <w:rsid w:val="00974733"/>
    <w:rsid w:val="00980469"/>
    <w:rsid w:val="00986403"/>
    <w:rsid w:val="00987EB4"/>
    <w:rsid w:val="009A6569"/>
    <w:rsid w:val="009B6BFE"/>
    <w:rsid w:val="009C319B"/>
    <w:rsid w:val="009C3D12"/>
    <w:rsid w:val="009E3BD2"/>
    <w:rsid w:val="009E7878"/>
    <w:rsid w:val="009F29DA"/>
    <w:rsid w:val="009F39F9"/>
    <w:rsid w:val="009F3EA2"/>
    <w:rsid w:val="009F5B52"/>
    <w:rsid w:val="00A02D64"/>
    <w:rsid w:val="00A057C5"/>
    <w:rsid w:val="00A12A43"/>
    <w:rsid w:val="00A245C5"/>
    <w:rsid w:val="00A248F4"/>
    <w:rsid w:val="00A368E5"/>
    <w:rsid w:val="00A50E8F"/>
    <w:rsid w:val="00A51FDF"/>
    <w:rsid w:val="00A55ABC"/>
    <w:rsid w:val="00A62024"/>
    <w:rsid w:val="00A63494"/>
    <w:rsid w:val="00A73408"/>
    <w:rsid w:val="00A73B47"/>
    <w:rsid w:val="00A8343C"/>
    <w:rsid w:val="00A9028E"/>
    <w:rsid w:val="00A921BA"/>
    <w:rsid w:val="00A924AE"/>
    <w:rsid w:val="00AB0730"/>
    <w:rsid w:val="00AB48BA"/>
    <w:rsid w:val="00AB4AD1"/>
    <w:rsid w:val="00AC0ACE"/>
    <w:rsid w:val="00AC33EA"/>
    <w:rsid w:val="00AC7625"/>
    <w:rsid w:val="00AD405A"/>
    <w:rsid w:val="00AD6709"/>
    <w:rsid w:val="00AF40F8"/>
    <w:rsid w:val="00B03B01"/>
    <w:rsid w:val="00B32079"/>
    <w:rsid w:val="00B356BE"/>
    <w:rsid w:val="00B420E2"/>
    <w:rsid w:val="00B51036"/>
    <w:rsid w:val="00B530E4"/>
    <w:rsid w:val="00B657CE"/>
    <w:rsid w:val="00B71E47"/>
    <w:rsid w:val="00B73E01"/>
    <w:rsid w:val="00B76303"/>
    <w:rsid w:val="00B76DB3"/>
    <w:rsid w:val="00BC1AB3"/>
    <w:rsid w:val="00BC6B73"/>
    <w:rsid w:val="00BD2757"/>
    <w:rsid w:val="00BD2877"/>
    <w:rsid w:val="00BF4AB5"/>
    <w:rsid w:val="00BF6A85"/>
    <w:rsid w:val="00C003AB"/>
    <w:rsid w:val="00C060F1"/>
    <w:rsid w:val="00C12CCF"/>
    <w:rsid w:val="00C21BE4"/>
    <w:rsid w:val="00C24C41"/>
    <w:rsid w:val="00C41E46"/>
    <w:rsid w:val="00C53048"/>
    <w:rsid w:val="00C5725C"/>
    <w:rsid w:val="00C7157F"/>
    <w:rsid w:val="00C72367"/>
    <w:rsid w:val="00C73C93"/>
    <w:rsid w:val="00C74D12"/>
    <w:rsid w:val="00C8216D"/>
    <w:rsid w:val="00C86249"/>
    <w:rsid w:val="00C87AC8"/>
    <w:rsid w:val="00C9521D"/>
    <w:rsid w:val="00C96F1D"/>
    <w:rsid w:val="00CA5BC4"/>
    <w:rsid w:val="00CB13A4"/>
    <w:rsid w:val="00CB53E0"/>
    <w:rsid w:val="00CE27E5"/>
    <w:rsid w:val="00CE65B1"/>
    <w:rsid w:val="00CF14E5"/>
    <w:rsid w:val="00D01247"/>
    <w:rsid w:val="00D021E4"/>
    <w:rsid w:val="00D101F6"/>
    <w:rsid w:val="00D11C85"/>
    <w:rsid w:val="00D17C17"/>
    <w:rsid w:val="00D2717E"/>
    <w:rsid w:val="00D33A75"/>
    <w:rsid w:val="00D55097"/>
    <w:rsid w:val="00D574E4"/>
    <w:rsid w:val="00D576EF"/>
    <w:rsid w:val="00D60EC1"/>
    <w:rsid w:val="00D620F7"/>
    <w:rsid w:val="00D67E55"/>
    <w:rsid w:val="00D73573"/>
    <w:rsid w:val="00D74894"/>
    <w:rsid w:val="00D76548"/>
    <w:rsid w:val="00D90775"/>
    <w:rsid w:val="00D961C4"/>
    <w:rsid w:val="00DA4229"/>
    <w:rsid w:val="00DB5A77"/>
    <w:rsid w:val="00DC1986"/>
    <w:rsid w:val="00DC44EE"/>
    <w:rsid w:val="00DC5343"/>
    <w:rsid w:val="00DC7FB0"/>
    <w:rsid w:val="00DD0388"/>
    <w:rsid w:val="00DE7E5C"/>
    <w:rsid w:val="00DF71E3"/>
    <w:rsid w:val="00E04145"/>
    <w:rsid w:val="00E07442"/>
    <w:rsid w:val="00E122B7"/>
    <w:rsid w:val="00E12838"/>
    <w:rsid w:val="00E13657"/>
    <w:rsid w:val="00E20E24"/>
    <w:rsid w:val="00E2372B"/>
    <w:rsid w:val="00E24AFE"/>
    <w:rsid w:val="00E2696A"/>
    <w:rsid w:val="00E27FDA"/>
    <w:rsid w:val="00E310F2"/>
    <w:rsid w:val="00E3370B"/>
    <w:rsid w:val="00E42FF4"/>
    <w:rsid w:val="00E448F4"/>
    <w:rsid w:val="00E55BD3"/>
    <w:rsid w:val="00E604D4"/>
    <w:rsid w:val="00E631A6"/>
    <w:rsid w:val="00E65904"/>
    <w:rsid w:val="00E736A5"/>
    <w:rsid w:val="00E73A32"/>
    <w:rsid w:val="00E809CE"/>
    <w:rsid w:val="00E921E3"/>
    <w:rsid w:val="00E96FE9"/>
    <w:rsid w:val="00E9724B"/>
    <w:rsid w:val="00EA1ECE"/>
    <w:rsid w:val="00EB6716"/>
    <w:rsid w:val="00EC1E3D"/>
    <w:rsid w:val="00EC5E7B"/>
    <w:rsid w:val="00EC6E7A"/>
    <w:rsid w:val="00ED35D5"/>
    <w:rsid w:val="00EE014C"/>
    <w:rsid w:val="00EE2BA1"/>
    <w:rsid w:val="00EE2BEF"/>
    <w:rsid w:val="00EE7A3A"/>
    <w:rsid w:val="00EF11F0"/>
    <w:rsid w:val="00EF4C76"/>
    <w:rsid w:val="00F01B7A"/>
    <w:rsid w:val="00F15049"/>
    <w:rsid w:val="00F16A08"/>
    <w:rsid w:val="00F20B01"/>
    <w:rsid w:val="00F213BC"/>
    <w:rsid w:val="00F234ED"/>
    <w:rsid w:val="00F26B97"/>
    <w:rsid w:val="00F356A9"/>
    <w:rsid w:val="00F41A9D"/>
    <w:rsid w:val="00F5172E"/>
    <w:rsid w:val="00F55CEC"/>
    <w:rsid w:val="00F57027"/>
    <w:rsid w:val="00F57524"/>
    <w:rsid w:val="00F75245"/>
    <w:rsid w:val="00F85676"/>
    <w:rsid w:val="00F8728D"/>
    <w:rsid w:val="00F9354D"/>
    <w:rsid w:val="00F94DCB"/>
    <w:rsid w:val="00FA27A8"/>
    <w:rsid w:val="00FB05DA"/>
    <w:rsid w:val="00FC12C0"/>
    <w:rsid w:val="00FC3301"/>
    <w:rsid w:val="00FC6694"/>
    <w:rsid w:val="00FE167F"/>
    <w:rsid w:val="00FE2720"/>
    <w:rsid w:val="00FF2A69"/>
    <w:rsid w:val="00FF4B45"/>
    <w:rsid w:val="00FF4F56"/>
    <w:rsid w:val="011B1E96"/>
    <w:rsid w:val="01351C73"/>
    <w:rsid w:val="013A223F"/>
    <w:rsid w:val="013C2BBE"/>
    <w:rsid w:val="013F2FCF"/>
    <w:rsid w:val="014C6453"/>
    <w:rsid w:val="01536D2A"/>
    <w:rsid w:val="0154481A"/>
    <w:rsid w:val="01623C08"/>
    <w:rsid w:val="01631939"/>
    <w:rsid w:val="01711377"/>
    <w:rsid w:val="01752AFE"/>
    <w:rsid w:val="01813926"/>
    <w:rsid w:val="01832362"/>
    <w:rsid w:val="018727CA"/>
    <w:rsid w:val="018B66CF"/>
    <w:rsid w:val="01920D21"/>
    <w:rsid w:val="01B36AC8"/>
    <w:rsid w:val="01B56C27"/>
    <w:rsid w:val="01F90F7C"/>
    <w:rsid w:val="02015CFE"/>
    <w:rsid w:val="02064B47"/>
    <w:rsid w:val="02092073"/>
    <w:rsid w:val="02132B87"/>
    <w:rsid w:val="021D146B"/>
    <w:rsid w:val="02264FBE"/>
    <w:rsid w:val="022B6D52"/>
    <w:rsid w:val="023E4F05"/>
    <w:rsid w:val="02680857"/>
    <w:rsid w:val="026E269C"/>
    <w:rsid w:val="02701597"/>
    <w:rsid w:val="0277484A"/>
    <w:rsid w:val="02801AAD"/>
    <w:rsid w:val="02854F8C"/>
    <w:rsid w:val="0299229B"/>
    <w:rsid w:val="029C5E74"/>
    <w:rsid w:val="029D1C8E"/>
    <w:rsid w:val="02AF5F86"/>
    <w:rsid w:val="02CE7259"/>
    <w:rsid w:val="02DB4DF7"/>
    <w:rsid w:val="02F8646C"/>
    <w:rsid w:val="030A0C9E"/>
    <w:rsid w:val="03205381"/>
    <w:rsid w:val="035721FD"/>
    <w:rsid w:val="036A1C71"/>
    <w:rsid w:val="036F1D46"/>
    <w:rsid w:val="037F6424"/>
    <w:rsid w:val="03802F70"/>
    <w:rsid w:val="039614B8"/>
    <w:rsid w:val="03A62FDF"/>
    <w:rsid w:val="03AD7A96"/>
    <w:rsid w:val="03B43B3F"/>
    <w:rsid w:val="03BE46A4"/>
    <w:rsid w:val="03BE51B8"/>
    <w:rsid w:val="03C25B44"/>
    <w:rsid w:val="03FA6DFF"/>
    <w:rsid w:val="041378F5"/>
    <w:rsid w:val="04201F87"/>
    <w:rsid w:val="04316655"/>
    <w:rsid w:val="04810C52"/>
    <w:rsid w:val="04922828"/>
    <w:rsid w:val="04970E19"/>
    <w:rsid w:val="04AC6CA5"/>
    <w:rsid w:val="04B351C5"/>
    <w:rsid w:val="04BF5AD0"/>
    <w:rsid w:val="04C3210C"/>
    <w:rsid w:val="04D16891"/>
    <w:rsid w:val="04E5250D"/>
    <w:rsid w:val="04F209CD"/>
    <w:rsid w:val="05290726"/>
    <w:rsid w:val="0535429B"/>
    <w:rsid w:val="05402991"/>
    <w:rsid w:val="054B32F0"/>
    <w:rsid w:val="054E1CE0"/>
    <w:rsid w:val="056101E8"/>
    <w:rsid w:val="057A7F6E"/>
    <w:rsid w:val="058469D6"/>
    <w:rsid w:val="0589504E"/>
    <w:rsid w:val="058C1707"/>
    <w:rsid w:val="05AC0A53"/>
    <w:rsid w:val="05AE40A3"/>
    <w:rsid w:val="05E740AF"/>
    <w:rsid w:val="05EF0793"/>
    <w:rsid w:val="05F66E7E"/>
    <w:rsid w:val="05FC494C"/>
    <w:rsid w:val="06007989"/>
    <w:rsid w:val="060454DB"/>
    <w:rsid w:val="0618781F"/>
    <w:rsid w:val="062915E8"/>
    <w:rsid w:val="06497B03"/>
    <w:rsid w:val="06610A08"/>
    <w:rsid w:val="06686B0C"/>
    <w:rsid w:val="066D1D57"/>
    <w:rsid w:val="068D7620"/>
    <w:rsid w:val="06926006"/>
    <w:rsid w:val="06937EB7"/>
    <w:rsid w:val="06B32FBA"/>
    <w:rsid w:val="06BE30D0"/>
    <w:rsid w:val="06EF35C6"/>
    <w:rsid w:val="070D73CC"/>
    <w:rsid w:val="072653F5"/>
    <w:rsid w:val="076A1E90"/>
    <w:rsid w:val="07806CC6"/>
    <w:rsid w:val="07996308"/>
    <w:rsid w:val="079B0B7D"/>
    <w:rsid w:val="079C7ECA"/>
    <w:rsid w:val="07A86445"/>
    <w:rsid w:val="07E654DD"/>
    <w:rsid w:val="07EC334E"/>
    <w:rsid w:val="08061DBD"/>
    <w:rsid w:val="080B471B"/>
    <w:rsid w:val="08186ED9"/>
    <w:rsid w:val="083512EB"/>
    <w:rsid w:val="085B6064"/>
    <w:rsid w:val="08667849"/>
    <w:rsid w:val="086F12F7"/>
    <w:rsid w:val="087D5CEF"/>
    <w:rsid w:val="08970B55"/>
    <w:rsid w:val="08B828C6"/>
    <w:rsid w:val="08D5284D"/>
    <w:rsid w:val="08D97EBA"/>
    <w:rsid w:val="08ED0768"/>
    <w:rsid w:val="090A42F6"/>
    <w:rsid w:val="090B1FA9"/>
    <w:rsid w:val="091F7003"/>
    <w:rsid w:val="092F0982"/>
    <w:rsid w:val="094F3136"/>
    <w:rsid w:val="09545334"/>
    <w:rsid w:val="09554DB4"/>
    <w:rsid w:val="09583F4A"/>
    <w:rsid w:val="096A27B4"/>
    <w:rsid w:val="096E6A8F"/>
    <w:rsid w:val="09892EA7"/>
    <w:rsid w:val="099B5A1C"/>
    <w:rsid w:val="09DA0789"/>
    <w:rsid w:val="09E86A45"/>
    <w:rsid w:val="09EA213D"/>
    <w:rsid w:val="0A003D7D"/>
    <w:rsid w:val="0A073DB5"/>
    <w:rsid w:val="0A08744C"/>
    <w:rsid w:val="0A0976BB"/>
    <w:rsid w:val="0A1608E8"/>
    <w:rsid w:val="0A1763FE"/>
    <w:rsid w:val="0A3E3F88"/>
    <w:rsid w:val="0A3E7542"/>
    <w:rsid w:val="0A4D39C2"/>
    <w:rsid w:val="0A583CC6"/>
    <w:rsid w:val="0A5E3784"/>
    <w:rsid w:val="0A672A35"/>
    <w:rsid w:val="0A726026"/>
    <w:rsid w:val="0A9113B3"/>
    <w:rsid w:val="0A981C9A"/>
    <w:rsid w:val="0AA72862"/>
    <w:rsid w:val="0AA74B6E"/>
    <w:rsid w:val="0ADF7AEC"/>
    <w:rsid w:val="0AFF362D"/>
    <w:rsid w:val="0B147FEF"/>
    <w:rsid w:val="0B167DBC"/>
    <w:rsid w:val="0B21105A"/>
    <w:rsid w:val="0B212724"/>
    <w:rsid w:val="0B2209A4"/>
    <w:rsid w:val="0B27794A"/>
    <w:rsid w:val="0B3F1AD9"/>
    <w:rsid w:val="0B483C08"/>
    <w:rsid w:val="0B5D1A85"/>
    <w:rsid w:val="0B756EDB"/>
    <w:rsid w:val="0B7B29D1"/>
    <w:rsid w:val="0B834CF3"/>
    <w:rsid w:val="0B986F9F"/>
    <w:rsid w:val="0B9B6894"/>
    <w:rsid w:val="0BBE458A"/>
    <w:rsid w:val="0BCF5E37"/>
    <w:rsid w:val="0BD74A5E"/>
    <w:rsid w:val="0BD928E6"/>
    <w:rsid w:val="0BE92434"/>
    <w:rsid w:val="0BEC370D"/>
    <w:rsid w:val="0BF43265"/>
    <w:rsid w:val="0C090444"/>
    <w:rsid w:val="0C1D7DEF"/>
    <w:rsid w:val="0C2413F5"/>
    <w:rsid w:val="0C2C1105"/>
    <w:rsid w:val="0C4B1E57"/>
    <w:rsid w:val="0C545F5A"/>
    <w:rsid w:val="0C5652E5"/>
    <w:rsid w:val="0C567D9E"/>
    <w:rsid w:val="0C571D0F"/>
    <w:rsid w:val="0C606202"/>
    <w:rsid w:val="0C662702"/>
    <w:rsid w:val="0C7F3BFC"/>
    <w:rsid w:val="0C8949E4"/>
    <w:rsid w:val="0C997EBB"/>
    <w:rsid w:val="0CB6728F"/>
    <w:rsid w:val="0CC31335"/>
    <w:rsid w:val="0CC455C5"/>
    <w:rsid w:val="0CE32B9C"/>
    <w:rsid w:val="0CF14B0E"/>
    <w:rsid w:val="0CF5585C"/>
    <w:rsid w:val="0CFB6A75"/>
    <w:rsid w:val="0CFD25BD"/>
    <w:rsid w:val="0D054058"/>
    <w:rsid w:val="0D24297B"/>
    <w:rsid w:val="0D34678D"/>
    <w:rsid w:val="0D3A39B1"/>
    <w:rsid w:val="0D4A02A6"/>
    <w:rsid w:val="0D4D794B"/>
    <w:rsid w:val="0D607508"/>
    <w:rsid w:val="0D8A31A8"/>
    <w:rsid w:val="0D8F75BB"/>
    <w:rsid w:val="0D933F5C"/>
    <w:rsid w:val="0D9A3BC5"/>
    <w:rsid w:val="0DA3517A"/>
    <w:rsid w:val="0DAB1B73"/>
    <w:rsid w:val="0E06783A"/>
    <w:rsid w:val="0E0C42FA"/>
    <w:rsid w:val="0E2B4655"/>
    <w:rsid w:val="0E340C77"/>
    <w:rsid w:val="0E3656D6"/>
    <w:rsid w:val="0E387EC2"/>
    <w:rsid w:val="0E3A106D"/>
    <w:rsid w:val="0E502C29"/>
    <w:rsid w:val="0E676A23"/>
    <w:rsid w:val="0E6B4E26"/>
    <w:rsid w:val="0E734739"/>
    <w:rsid w:val="0E8B4F0A"/>
    <w:rsid w:val="0E9A15CB"/>
    <w:rsid w:val="0E9C201E"/>
    <w:rsid w:val="0EA727EB"/>
    <w:rsid w:val="0EB2717E"/>
    <w:rsid w:val="0EE0448C"/>
    <w:rsid w:val="0EE26BE2"/>
    <w:rsid w:val="0F3C019D"/>
    <w:rsid w:val="0F4D0852"/>
    <w:rsid w:val="0F784044"/>
    <w:rsid w:val="0F7A0D2D"/>
    <w:rsid w:val="0F823D5D"/>
    <w:rsid w:val="0F862A78"/>
    <w:rsid w:val="0F9937DA"/>
    <w:rsid w:val="0FA029A3"/>
    <w:rsid w:val="0FAB24D3"/>
    <w:rsid w:val="0FC00610"/>
    <w:rsid w:val="0FE973CA"/>
    <w:rsid w:val="0FFA5319"/>
    <w:rsid w:val="10005F5F"/>
    <w:rsid w:val="10063AFE"/>
    <w:rsid w:val="100B449D"/>
    <w:rsid w:val="101A66A4"/>
    <w:rsid w:val="10240FE0"/>
    <w:rsid w:val="103C445D"/>
    <w:rsid w:val="103F599A"/>
    <w:rsid w:val="104B4EC7"/>
    <w:rsid w:val="105356D7"/>
    <w:rsid w:val="106252FB"/>
    <w:rsid w:val="107E5C87"/>
    <w:rsid w:val="108B226C"/>
    <w:rsid w:val="108E6DDE"/>
    <w:rsid w:val="109827F5"/>
    <w:rsid w:val="10B152EF"/>
    <w:rsid w:val="10D20FA3"/>
    <w:rsid w:val="10D54BEF"/>
    <w:rsid w:val="10FA43D2"/>
    <w:rsid w:val="10FD3277"/>
    <w:rsid w:val="112F26C0"/>
    <w:rsid w:val="113E52CA"/>
    <w:rsid w:val="11416F6F"/>
    <w:rsid w:val="114215F5"/>
    <w:rsid w:val="114542EA"/>
    <w:rsid w:val="1149117E"/>
    <w:rsid w:val="115A6DFB"/>
    <w:rsid w:val="116B59DD"/>
    <w:rsid w:val="117C761C"/>
    <w:rsid w:val="11A10AA1"/>
    <w:rsid w:val="11A56A4F"/>
    <w:rsid w:val="11B361D3"/>
    <w:rsid w:val="11CF66B5"/>
    <w:rsid w:val="11D83639"/>
    <w:rsid w:val="11E63FFF"/>
    <w:rsid w:val="11E75F2F"/>
    <w:rsid w:val="120820C9"/>
    <w:rsid w:val="12137217"/>
    <w:rsid w:val="121E0F14"/>
    <w:rsid w:val="12415950"/>
    <w:rsid w:val="12440EBB"/>
    <w:rsid w:val="124A1C36"/>
    <w:rsid w:val="12650308"/>
    <w:rsid w:val="126E66D8"/>
    <w:rsid w:val="127279C1"/>
    <w:rsid w:val="12766F68"/>
    <w:rsid w:val="12784E55"/>
    <w:rsid w:val="128A78E8"/>
    <w:rsid w:val="128C33F4"/>
    <w:rsid w:val="12993806"/>
    <w:rsid w:val="12BB4574"/>
    <w:rsid w:val="12BC24AE"/>
    <w:rsid w:val="12C6158F"/>
    <w:rsid w:val="12CB0E85"/>
    <w:rsid w:val="12CB2C15"/>
    <w:rsid w:val="12CB3E6D"/>
    <w:rsid w:val="12DA6B7B"/>
    <w:rsid w:val="12E40295"/>
    <w:rsid w:val="12FB01C6"/>
    <w:rsid w:val="13063EC1"/>
    <w:rsid w:val="13336A4D"/>
    <w:rsid w:val="13365AD3"/>
    <w:rsid w:val="133F5E2F"/>
    <w:rsid w:val="13451BDF"/>
    <w:rsid w:val="13487675"/>
    <w:rsid w:val="134E7BFD"/>
    <w:rsid w:val="13783B8A"/>
    <w:rsid w:val="137F4EEC"/>
    <w:rsid w:val="138D11BC"/>
    <w:rsid w:val="13972080"/>
    <w:rsid w:val="139D2FCC"/>
    <w:rsid w:val="13A05A9F"/>
    <w:rsid w:val="13A460CC"/>
    <w:rsid w:val="13AB6434"/>
    <w:rsid w:val="13BC75DB"/>
    <w:rsid w:val="13C62E93"/>
    <w:rsid w:val="13C91F4A"/>
    <w:rsid w:val="13C96DAF"/>
    <w:rsid w:val="13D84C83"/>
    <w:rsid w:val="13F015BE"/>
    <w:rsid w:val="13F54EEA"/>
    <w:rsid w:val="140431F5"/>
    <w:rsid w:val="14134DAB"/>
    <w:rsid w:val="14253493"/>
    <w:rsid w:val="1441058C"/>
    <w:rsid w:val="14565420"/>
    <w:rsid w:val="145E0E2B"/>
    <w:rsid w:val="14663755"/>
    <w:rsid w:val="14780D70"/>
    <w:rsid w:val="14B53C19"/>
    <w:rsid w:val="14B629C7"/>
    <w:rsid w:val="14E26901"/>
    <w:rsid w:val="14E72B42"/>
    <w:rsid w:val="15265BC4"/>
    <w:rsid w:val="15285578"/>
    <w:rsid w:val="15550B09"/>
    <w:rsid w:val="155550C1"/>
    <w:rsid w:val="156234AA"/>
    <w:rsid w:val="156E26BA"/>
    <w:rsid w:val="157509B7"/>
    <w:rsid w:val="15787ABD"/>
    <w:rsid w:val="1588419E"/>
    <w:rsid w:val="15BE498C"/>
    <w:rsid w:val="15C56451"/>
    <w:rsid w:val="15C8772A"/>
    <w:rsid w:val="15D2021B"/>
    <w:rsid w:val="15ED5C46"/>
    <w:rsid w:val="160D697A"/>
    <w:rsid w:val="16162C58"/>
    <w:rsid w:val="162D368C"/>
    <w:rsid w:val="1654287F"/>
    <w:rsid w:val="166B3507"/>
    <w:rsid w:val="166F313A"/>
    <w:rsid w:val="16922E1A"/>
    <w:rsid w:val="16967465"/>
    <w:rsid w:val="169754A7"/>
    <w:rsid w:val="16A5117D"/>
    <w:rsid w:val="16AA0B6A"/>
    <w:rsid w:val="16B25E6D"/>
    <w:rsid w:val="16B46322"/>
    <w:rsid w:val="16BF6BE7"/>
    <w:rsid w:val="16DB3ACD"/>
    <w:rsid w:val="16E63F78"/>
    <w:rsid w:val="16F17C9B"/>
    <w:rsid w:val="172072CE"/>
    <w:rsid w:val="17411B66"/>
    <w:rsid w:val="17447531"/>
    <w:rsid w:val="17464982"/>
    <w:rsid w:val="17536E6E"/>
    <w:rsid w:val="17563FF8"/>
    <w:rsid w:val="177D7BBD"/>
    <w:rsid w:val="17821F33"/>
    <w:rsid w:val="178A477B"/>
    <w:rsid w:val="17907B2D"/>
    <w:rsid w:val="17B351C8"/>
    <w:rsid w:val="17CE0395"/>
    <w:rsid w:val="17E751D5"/>
    <w:rsid w:val="17F976EF"/>
    <w:rsid w:val="17FD76AA"/>
    <w:rsid w:val="180B3DC5"/>
    <w:rsid w:val="18170899"/>
    <w:rsid w:val="18180305"/>
    <w:rsid w:val="182D3C78"/>
    <w:rsid w:val="18407065"/>
    <w:rsid w:val="18444CBC"/>
    <w:rsid w:val="18603535"/>
    <w:rsid w:val="18656CB7"/>
    <w:rsid w:val="186A63EF"/>
    <w:rsid w:val="186C201D"/>
    <w:rsid w:val="186E1A30"/>
    <w:rsid w:val="18740800"/>
    <w:rsid w:val="18805667"/>
    <w:rsid w:val="18870D4A"/>
    <w:rsid w:val="188B1530"/>
    <w:rsid w:val="18921717"/>
    <w:rsid w:val="18B6097D"/>
    <w:rsid w:val="18CA1CA5"/>
    <w:rsid w:val="18E02502"/>
    <w:rsid w:val="18FA490E"/>
    <w:rsid w:val="191346B2"/>
    <w:rsid w:val="19275568"/>
    <w:rsid w:val="192F739D"/>
    <w:rsid w:val="19366E96"/>
    <w:rsid w:val="193D5954"/>
    <w:rsid w:val="194C04D8"/>
    <w:rsid w:val="19556FF9"/>
    <w:rsid w:val="195948F7"/>
    <w:rsid w:val="195E0E17"/>
    <w:rsid w:val="1971204D"/>
    <w:rsid w:val="1979475E"/>
    <w:rsid w:val="19805D37"/>
    <w:rsid w:val="19C639D9"/>
    <w:rsid w:val="19C82216"/>
    <w:rsid w:val="19CA4AD8"/>
    <w:rsid w:val="19D00B35"/>
    <w:rsid w:val="19D45248"/>
    <w:rsid w:val="19E476F7"/>
    <w:rsid w:val="19EC4DF5"/>
    <w:rsid w:val="1A105E9F"/>
    <w:rsid w:val="1A1C6F29"/>
    <w:rsid w:val="1A324F2D"/>
    <w:rsid w:val="1A407579"/>
    <w:rsid w:val="1A462475"/>
    <w:rsid w:val="1A710808"/>
    <w:rsid w:val="1A745370"/>
    <w:rsid w:val="1A7A0EF6"/>
    <w:rsid w:val="1A8B389F"/>
    <w:rsid w:val="1A997EE2"/>
    <w:rsid w:val="1AA35F36"/>
    <w:rsid w:val="1AAD5B72"/>
    <w:rsid w:val="1ABE5C90"/>
    <w:rsid w:val="1AE37041"/>
    <w:rsid w:val="1AE973E5"/>
    <w:rsid w:val="1AEA41D6"/>
    <w:rsid w:val="1AF67185"/>
    <w:rsid w:val="1B115D3C"/>
    <w:rsid w:val="1B1E0896"/>
    <w:rsid w:val="1B3E1F3A"/>
    <w:rsid w:val="1B430050"/>
    <w:rsid w:val="1B464213"/>
    <w:rsid w:val="1B6A11E1"/>
    <w:rsid w:val="1B6A6896"/>
    <w:rsid w:val="1B6D6F30"/>
    <w:rsid w:val="1B785979"/>
    <w:rsid w:val="1B807337"/>
    <w:rsid w:val="1B99695D"/>
    <w:rsid w:val="1BA47A56"/>
    <w:rsid w:val="1BA47C58"/>
    <w:rsid w:val="1BB80F43"/>
    <w:rsid w:val="1BC170B5"/>
    <w:rsid w:val="1BC35954"/>
    <w:rsid w:val="1BC85289"/>
    <w:rsid w:val="1BCF0E71"/>
    <w:rsid w:val="1BD21379"/>
    <w:rsid w:val="1BDB5F9B"/>
    <w:rsid w:val="1BDC34D1"/>
    <w:rsid w:val="1BE64759"/>
    <w:rsid w:val="1BE84701"/>
    <w:rsid w:val="1BF010E9"/>
    <w:rsid w:val="1BF02765"/>
    <w:rsid w:val="1BF0529D"/>
    <w:rsid w:val="1C2E159D"/>
    <w:rsid w:val="1C326500"/>
    <w:rsid w:val="1C550846"/>
    <w:rsid w:val="1C60680C"/>
    <w:rsid w:val="1C63114B"/>
    <w:rsid w:val="1C6C08F4"/>
    <w:rsid w:val="1C754BB8"/>
    <w:rsid w:val="1C763C77"/>
    <w:rsid w:val="1C7E1815"/>
    <w:rsid w:val="1C8747F8"/>
    <w:rsid w:val="1C9B7F2C"/>
    <w:rsid w:val="1CB14667"/>
    <w:rsid w:val="1CC22D92"/>
    <w:rsid w:val="1CC31868"/>
    <w:rsid w:val="1CD54AE5"/>
    <w:rsid w:val="1CEF4C58"/>
    <w:rsid w:val="1CF9489A"/>
    <w:rsid w:val="1D1A5AAC"/>
    <w:rsid w:val="1D2073F3"/>
    <w:rsid w:val="1D385997"/>
    <w:rsid w:val="1D4330A6"/>
    <w:rsid w:val="1D53469C"/>
    <w:rsid w:val="1D5E616E"/>
    <w:rsid w:val="1D6B0D1C"/>
    <w:rsid w:val="1D714633"/>
    <w:rsid w:val="1D717C32"/>
    <w:rsid w:val="1D9E1ACD"/>
    <w:rsid w:val="1DB7132F"/>
    <w:rsid w:val="1DB74394"/>
    <w:rsid w:val="1DB775F0"/>
    <w:rsid w:val="1DBE0A37"/>
    <w:rsid w:val="1DC55869"/>
    <w:rsid w:val="1DD4019E"/>
    <w:rsid w:val="1DF636F7"/>
    <w:rsid w:val="1DF97E9A"/>
    <w:rsid w:val="1E0B46EC"/>
    <w:rsid w:val="1E106418"/>
    <w:rsid w:val="1E1438E8"/>
    <w:rsid w:val="1E1A49CB"/>
    <w:rsid w:val="1E213710"/>
    <w:rsid w:val="1E240C9D"/>
    <w:rsid w:val="1E2801FF"/>
    <w:rsid w:val="1E424DBD"/>
    <w:rsid w:val="1E597123"/>
    <w:rsid w:val="1E635C85"/>
    <w:rsid w:val="1E6B563E"/>
    <w:rsid w:val="1E6D42C6"/>
    <w:rsid w:val="1E6E1C3C"/>
    <w:rsid w:val="1EAF03E7"/>
    <w:rsid w:val="1EB12D5B"/>
    <w:rsid w:val="1ECA20B1"/>
    <w:rsid w:val="1ECA48AD"/>
    <w:rsid w:val="1EF350E8"/>
    <w:rsid w:val="1EFD2C6E"/>
    <w:rsid w:val="1F011883"/>
    <w:rsid w:val="1F07425E"/>
    <w:rsid w:val="1F177E2D"/>
    <w:rsid w:val="1F2540E6"/>
    <w:rsid w:val="1F3609F3"/>
    <w:rsid w:val="1F626126"/>
    <w:rsid w:val="1F733EF9"/>
    <w:rsid w:val="1F7E0B62"/>
    <w:rsid w:val="1F8C1AB1"/>
    <w:rsid w:val="1F9215A3"/>
    <w:rsid w:val="1F9C064C"/>
    <w:rsid w:val="1FB737DB"/>
    <w:rsid w:val="1FB818B3"/>
    <w:rsid w:val="1FC13F05"/>
    <w:rsid w:val="1FC4124F"/>
    <w:rsid w:val="1FC87E17"/>
    <w:rsid w:val="1FCB10F3"/>
    <w:rsid w:val="1FCB67E0"/>
    <w:rsid w:val="1FEA26D0"/>
    <w:rsid w:val="1FF44E35"/>
    <w:rsid w:val="1FFC0CD6"/>
    <w:rsid w:val="202615D7"/>
    <w:rsid w:val="20477762"/>
    <w:rsid w:val="204E6680"/>
    <w:rsid w:val="205D49DE"/>
    <w:rsid w:val="20673EC4"/>
    <w:rsid w:val="206E1703"/>
    <w:rsid w:val="207D08E0"/>
    <w:rsid w:val="207E1154"/>
    <w:rsid w:val="208B64ED"/>
    <w:rsid w:val="20BD2B9D"/>
    <w:rsid w:val="20C47E79"/>
    <w:rsid w:val="20F40677"/>
    <w:rsid w:val="20FF648C"/>
    <w:rsid w:val="211D538B"/>
    <w:rsid w:val="214D7F75"/>
    <w:rsid w:val="21692402"/>
    <w:rsid w:val="218F01B7"/>
    <w:rsid w:val="219A7838"/>
    <w:rsid w:val="219B091D"/>
    <w:rsid w:val="21A72AEE"/>
    <w:rsid w:val="21AC6C50"/>
    <w:rsid w:val="21B04A82"/>
    <w:rsid w:val="21B53414"/>
    <w:rsid w:val="21CC25D2"/>
    <w:rsid w:val="21D06BFB"/>
    <w:rsid w:val="21D278F8"/>
    <w:rsid w:val="21E17532"/>
    <w:rsid w:val="21E42164"/>
    <w:rsid w:val="21E96E19"/>
    <w:rsid w:val="21FE0428"/>
    <w:rsid w:val="220B1BC2"/>
    <w:rsid w:val="22292C54"/>
    <w:rsid w:val="222C23FC"/>
    <w:rsid w:val="22332F1B"/>
    <w:rsid w:val="223606BE"/>
    <w:rsid w:val="22736881"/>
    <w:rsid w:val="22794E74"/>
    <w:rsid w:val="228826E5"/>
    <w:rsid w:val="229D2E2E"/>
    <w:rsid w:val="22B060DA"/>
    <w:rsid w:val="22C17C41"/>
    <w:rsid w:val="22DC1101"/>
    <w:rsid w:val="22DD2076"/>
    <w:rsid w:val="22E26D93"/>
    <w:rsid w:val="22E345E0"/>
    <w:rsid w:val="22FC5224"/>
    <w:rsid w:val="23536B7C"/>
    <w:rsid w:val="236067FF"/>
    <w:rsid w:val="236E0B90"/>
    <w:rsid w:val="23A31B76"/>
    <w:rsid w:val="23AF484A"/>
    <w:rsid w:val="23B91130"/>
    <w:rsid w:val="23CD6F18"/>
    <w:rsid w:val="23E303FA"/>
    <w:rsid w:val="23F33D54"/>
    <w:rsid w:val="23F34FB7"/>
    <w:rsid w:val="23FB1111"/>
    <w:rsid w:val="2423604A"/>
    <w:rsid w:val="24292561"/>
    <w:rsid w:val="24373F6D"/>
    <w:rsid w:val="24390A4E"/>
    <w:rsid w:val="2448484C"/>
    <w:rsid w:val="24575A93"/>
    <w:rsid w:val="245B1FC3"/>
    <w:rsid w:val="24673185"/>
    <w:rsid w:val="248255ED"/>
    <w:rsid w:val="24A32C9D"/>
    <w:rsid w:val="24BE2F37"/>
    <w:rsid w:val="24F50FAE"/>
    <w:rsid w:val="25030742"/>
    <w:rsid w:val="250A771D"/>
    <w:rsid w:val="251E7700"/>
    <w:rsid w:val="252614C9"/>
    <w:rsid w:val="252826CC"/>
    <w:rsid w:val="252E1698"/>
    <w:rsid w:val="25326A1A"/>
    <w:rsid w:val="25453397"/>
    <w:rsid w:val="25574B16"/>
    <w:rsid w:val="255F7AD2"/>
    <w:rsid w:val="256D4FBD"/>
    <w:rsid w:val="257E226E"/>
    <w:rsid w:val="25906F6C"/>
    <w:rsid w:val="259127F9"/>
    <w:rsid w:val="25960536"/>
    <w:rsid w:val="259D3142"/>
    <w:rsid w:val="25BD4B31"/>
    <w:rsid w:val="25D57A32"/>
    <w:rsid w:val="25F211DB"/>
    <w:rsid w:val="25F60C3B"/>
    <w:rsid w:val="25F65D0C"/>
    <w:rsid w:val="25FA3C32"/>
    <w:rsid w:val="25FA60CF"/>
    <w:rsid w:val="260C04D1"/>
    <w:rsid w:val="26145425"/>
    <w:rsid w:val="26230DF0"/>
    <w:rsid w:val="2627224F"/>
    <w:rsid w:val="263C4A01"/>
    <w:rsid w:val="263F5222"/>
    <w:rsid w:val="264B2FCC"/>
    <w:rsid w:val="26507C71"/>
    <w:rsid w:val="26541B7D"/>
    <w:rsid w:val="26657DD8"/>
    <w:rsid w:val="26794F20"/>
    <w:rsid w:val="2692615A"/>
    <w:rsid w:val="26CC079E"/>
    <w:rsid w:val="26D1505D"/>
    <w:rsid w:val="26DE5BEE"/>
    <w:rsid w:val="26E15169"/>
    <w:rsid w:val="26F267D1"/>
    <w:rsid w:val="2702068C"/>
    <w:rsid w:val="270C7E7B"/>
    <w:rsid w:val="27180E6A"/>
    <w:rsid w:val="271E393C"/>
    <w:rsid w:val="2727416B"/>
    <w:rsid w:val="272D4984"/>
    <w:rsid w:val="27581696"/>
    <w:rsid w:val="276B26C0"/>
    <w:rsid w:val="278F4995"/>
    <w:rsid w:val="278F7628"/>
    <w:rsid w:val="279D08CA"/>
    <w:rsid w:val="27A872D6"/>
    <w:rsid w:val="27B92311"/>
    <w:rsid w:val="27CE4C4F"/>
    <w:rsid w:val="27DA6390"/>
    <w:rsid w:val="27E50D7B"/>
    <w:rsid w:val="27F513D0"/>
    <w:rsid w:val="281D1842"/>
    <w:rsid w:val="28223089"/>
    <w:rsid w:val="28515969"/>
    <w:rsid w:val="28556900"/>
    <w:rsid w:val="287C52A9"/>
    <w:rsid w:val="287F71CF"/>
    <w:rsid w:val="28891575"/>
    <w:rsid w:val="289170F1"/>
    <w:rsid w:val="289711B8"/>
    <w:rsid w:val="28991A44"/>
    <w:rsid w:val="28AA44A4"/>
    <w:rsid w:val="28B34564"/>
    <w:rsid w:val="28C246A0"/>
    <w:rsid w:val="28DB07EC"/>
    <w:rsid w:val="28EE7F0D"/>
    <w:rsid w:val="28FA13D4"/>
    <w:rsid w:val="29184803"/>
    <w:rsid w:val="294409BC"/>
    <w:rsid w:val="2967428C"/>
    <w:rsid w:val="29686931"/>
    <w:rsid w:val="29690D96"/>
    <w:rsid w:val="29746DFF"/>
    <w:rsid w:val="29783FB6"/>
    <w:rsid w:val="298076E2"/>
    <w:rsid w:val="29911DBB"/>
    <w:rsid w:val="299D5957"/>
    <w:rsid w:val="29B46D85"/>
    <w:rsid w:val="29C9235D"/>
    <w:rsid w:val="29CA3422"/>
    <w:rsid w:val="29DC316A"/>
    <w:rsid w:val="29E94C34"/>
    <w:rsid w:val="29F20DAE"/>
    <w:rsid w:val="29FB48F8"/>
    <w:rsid w:val="2A0D32E4"/>
    <w:rsid w:val="2A122647"/>
    <w:rsid w:val="2A4A0382"/>
    <w:rsid w:val="2A4B34A7"/>
    <w:rsid w:val="2A516ABF"/>
    <w:rsid w:val="2A604683"/>
    <w:rsid w:val="2A641987"/>
    <w:rsid w:val="2A745AF1"/>
    <w:rsid w:val="2AA02867"/>
    <w:rsid w:val="2AB01B0C"/>
    <w:rsid w:val="2AB357E7"/>
    <w:rsid w:val="2ACD0A6A"/>
    <w:rsid w:val="2AE17A5A"/>
    <w:rsid w:val="2AF76423"/>
    <w:rsid w:val="2B0747FE"/>
    <w:rsid w:val="2B096C7A"/>
    <w:rsid w:val="2B0F15B2"/>
    <w:rsid w:val="2B1431BE"/>
    <w:rsid w:val="2B20734A"/>
    <w:rsid w:val="2B2144A5"/>
    <w:rsid w:val="2B2A3AC8"/>
    <w:rsid w:val="2B2D17EA"/>
    <w:rsid w:val="2B3167F0"/>
    <w:rsid w:val="2B395A62"/>
    <w:rsid w:val="2B421606"/>
    <w:rsid w:val="2B467033"/>
    <w:rsid w:val="2B63494F"/>
    <w:rsid w:val="2B6A6F02"/>
    <w:rsid w:val="2B6E40C9"/>
    <w:rsid w:val="2B93610E"/>
    <w:rsid w:val="2B9F615B"/>
    <w:rsid w:val="2BB23B01"/>
    <w:rsid w:val="2BC22732"/>
    <w:rsid w:val="2BC24398"/>
    <w:rsid w:val="2BC537D3"/>
    <w:rsid w:val="2BCB0143"/>
    <w:rsid w:val="2BE212BA"/>
    <w:rsid w:val="2BE43FF8"/>
    <w:rsid w:val="2BF64BF9"/>
    <w:rsid w:val="2C006AC9"/>
    <w:rsid w:val="2C1C5425"/>
    <w:rsid w:val="2C297E3F"/>
    <w:rsid w:val="2C485018"/>
    <w:rsid w:val="2C594A5D"/>
    <w:rsid w:val="2C6E4C12"/>
    <w:rsid w:val="2CA07757"/>
    <w:rsid w:val="2CAC46BC"/>
    <w:rsid w:val="2CC9536F"/>
    <w:rsid w:val="2CD32354"/>
    <w:rsid w:val="2CF617E0"/>
    <w:rsid w:val="2D1F08A9"/>
    <w:rsid w:val="2D246E2C"/>
    <w:rsid w:val="2D341634"/>
    <w:rsid w:val="2D354A38"/>
    <w:rsid w:val="2D454740"/>
    <w:rsid w:val="2D536B51"/>
    <w:rsid w:val="2D5807DA"/>
    <w:rsid w:val="2D59741D"/>
    <w:rsid w:val="2D5C252C"/>
    <w:rsid w:val="2D61222D"/>
    <w:rsid w:val="2D6A3083"/>
    <w:rsid w:val="2D767628"/>
    <w:rsid w:val="2D8327B6"/>
    <w:rsid w:val="2DB0725B"/>
    <w:rsid w:val="2DBB723B"/>
    <w:rsid w:val="2DC37DF1"/>
    <w:rsid w:val="2DD560C3"/>
    <w:rsid w:val="2DDD4AFC"/>
    <w:rsid w:val="2DE43DE4"/>
    <w:rsid w:val="2DE72CC0"/>
    <w:rsid w:val="2E0D173F"/>
    <w:rsid w:val="2E400D89"/>
    <w:rsid w:val="2E5718A2"/>
    <w:rsid w:val="2E825B76"/>
    <w:rsid w:val="2EB433C6"/>
    <w:rsid w:val="2ECB5D09"/>
    <w:rsid w:val="2EEC509E"/>
    <w:rsid w:val="2EF57EBC"/>
    <w:rsid w:val="2F0036B2"/>
    <w:rsid w:val="2F0B25ED"/>
    <w:rsid w:val="2F25499E"/>
    <w:rsid w:val="2F306712"/>
    <w:rsid w:val="2F3A4E14"/>
    <w:rsid w:val="2F4A1FBC"/>
    <w:rsid w:val="2F5620AF"/>
    <w:rsid w:val="2F8932A3"/>
    <w:rsid w:val="2F984ABB"/>
    <w:rsid w:val="2FA74539"/>
    <w:rsid w:val="2FB154F2"/>
    <w:rsid w:val="2FCD489F"/>
    <w:rsid w:val="2FD91952"/>
    <w:rsid w:val="2FE32412"/>
    <w:rsid w:val="2FFB1CEA"/>
    <w:rsid w:val="30237284"/>
    <w:rsid w:val="30323073"/>
    <w:rsid w:val="30346EAA"/>
    <w:rsid w:val="30561692"/>
    <w:rsid w:val="306E03FB"/>
    <w:rsid w:val="307D7DB5"/>
    <w:rsid w:val="308A1A0F"/>
    <w:rsid w:val="309218B2"/>
    <w:rsid w:val="30981D92"/>
    <w:rsid w:val="309B6B2B"/>
    <w:rsid w:val="30AA13BF"/>
    <w:rsid w:val="30C20FF2"/>
    <w:rsid w:val="30CA54D9"/>
    <w:rsid w:val="30EF353D"/>
    <w:rsid w:val="30F10891"/>
    <w:rsid w:val="30F13338"/>
    <w:rsid w:val="310C4A4C"/>
    <w:rsid w:val="31107CA9"/>
    <w:rsid w:val="311444A1"/>
    <w:rsid w:val="31195802"/>
    <w:rsid w:val="31256870"/>
    <w:rsid w:val="314F19DE"/>
    <w:rsid w:val="315D392A"/>
    <w:rsid w:val="316D40D2"/>
    <w:rsid w:val="31742E4E"/>
    <w:rsid w:val="31892206"/>
    <w:rsid w:val="31926D16"/>
    <w:rsid w:val="31974ED2"/>
    <w:rsid w:val="31A1306B"/>
    <w:rsid w:val="31AA13C8"/>
    <w:rsid w:val="31DF6482"/>
    <w:rsid w:val="32000348"/>
    <w:rsid w:val="320423B2"/>
    <w:rsid w:val="32396CA7"/>
    <w:rsid w:val="323B32BE"/>
    <w:rsid w:val="32406CFD"/>
    <w:rsid w:val="324E226E"/>
    <w:rsid w:val="32687B09"/>
    <w:rsid w:val="326B1A60"/>
    <w:rsid w:val="326F3AF3"/>
    <w:rsid w:val="327B0EE3"/>
    <w:rsid w:val="32842723"/>
    <w:rsid w:val="32B15F25"/>
    <w:rsid w:val="32B82304"/>
    <w:rsid w:val="32B871AC"/>
    <w:rsid w:val="32C57B5B"/>
    <w:rsid w:val="32CB3041"/>
    <w:rsid w:val="32D4454C"/>
    <w:rsid w:val="32E1241B"/>
    <w:rsid w:val="32E81EDF"/>
    <w:rsid w:val="32F03294"/>
    <w:rsid w:val="32F341BB"/>
    <w:rsid w:val="32FE6DB5"/>
    <w:rsid w:val="32FF0428"/>
    <w:rsid w:val="32FF588D"/>
    <w:rsid w:val="330A5D26"/>
    <w:rsid w:val="333F4AEE"/>
    <w:rsid w:val="3341058C"/>
    <w:rsid w:val="33434A04"/>
    <w:rsid w:val="335C0F0C"/>
    <w:rsid w:val="338F5AA2"/>
    <w:rsid w:val="339A3AD7"/>
    <w:rsid w:val="33B166C9"/>
    <w:rsid w:val="33BB4730"/>
    <w:rsid w:val="33CA38C0"/>
    <w:rsid w:val="33DC601A"/>
    <w:rsid w:val="33F46435"/>
    <w:rsid w:val="33F62CD1"/>
    <w:rsid w:val="33FE76D9"/>
    <w:rsid w:val="3404140F"/>
    <w:rsid w:val="342B427E"/>
    <w:rsid w:val="344825EF"/>
    <w:rsid w:val="344A3B15"/>
    <w:rsid w:val="344A5CAF"/>
    <w:rsid w:val="344D559D"/>
    <w:rsid w:val="34627E84"/>
    <w:rsid w:val="346678FC"/>
    <w:rsid w:val="34700CE5"/>
    <w:rsid w:val="34724319"/>
    <w:rsid w:val="34761B3D"/>
    <w:rsid w:val="347F31AC"/>
    <w:rsid w:val="34B70E92"/>
    <w:rsid w:val="34BC38A3"/>
    <w:rsid w:val="34BC47EE"/>
    <w:rsid w:val="34D33456"/>
    <w:rsid w:val="34ED2EF3"/>
    <w:rsid w:val="34FB6280"/>
    <w:rsid w:val="35096656"/>
    <w:rsid w:val="351274ED"/>
    <w:rsid w:val="35523A36"/>
    <w:rsid w:val="355C608F"/>
    <w:rsid w:val="35884C5D"/>
    <w:rsid w:val="358B16A6"/>
    <w:rsid w:val="359114B6"/>
    <w:rsid w:val="35B65240"/>
    <w:rsid w:val="35DA1085"/>
    <w:rsid w:val="35DA5C66"/>
    <w:rsid w:val="35E131A2"/>
    <w:rsid w:val="35F8503E"/>
    <w:rsid w:val="36065048"/>
    <w:rsid w:val="360E3D96"/>
    <w:rsid w:val="360F3340"/>
    <w:rsid w:val="36100B60"/>
    <w:rsid w:val="36240C2E"/>
    <w:rsid w:val="363A6CD2"/>
    <w:rsid w:val="36504388"/>
    <w:rsid w:val="366F798B"/>
    <w:rsid w:val="36845E45"/>
    <w:rsid w:val="36860188"/>
    <w:rsid w:val="3687528F"/>
    <w:rsid w:val="3693128A"/>
    <w:rsid w:val="369E1856"/>
    <w:rsid w:val="369F5F8F"/>
    <w:rsid w:val="36AB53A8"/>
    <w:rsid w:val="36BF7024"/>
    <w:rsid w:val="36CB2A00"/>
    <w:rsid w:val="36D71B6D"/>
    <w:rsid w:val="36D72354"/>
    <w:rsid w:val="36D954F0"/>
    <w:rsid w:val="36DC22AB"/>
    <w:rsid w:val="370666E5"/>
    <w:rsid w:val="370C60A4"/>
    <w:rsid w:val="370F5BFD"/>
    <w:rsid w:val="371B6273"/>
    <w:rsid w:val="37323C4D"/>
    <w:rsid w:val="374375AF"/>
    <w:rsid w:val="374E58D6"/>
    <w:rsid w:val="376B6B46"/>
    <w:rsid w:val="377B22EA"/>
    <w:rsid w:val="37801AA2"/>
    <w:rsid w:val="3782361C"/>
    <w:rsid w:val="378F29C7"/>
    <w:rsid w:val="3797682D"/>
    <w:rsid w:val="37B30BED"/>
    <w:rsid w:val="37B91CA7"/>
    <w:rsid w:val="37CB1876"/>
    <w:rsid w:val="37E234BF"/>
    <w:rsid w:val="37F61754"/>
    <w:rsid w:val="380C7B3D"/>
    <w:rsid w:val="381730CC"/>
    <w:rsid w:val="38273F21"/>
    <w:rsid w:val="383A131B"/>
    <w:rsid w:val="3849652C"/>
    <w:rsid w:val="385C1B20"/>
    <w:rsid w:val="385F1A9D"/>
    <w:rsid w:val="38606463"/>
    <w:rsid w:val="38645417"/>
    <w:rsid w:val="386B0171"/>
    <w:rsid w:val="387979F1"/>
    <w:rsid w:val="387A17B8"/>
    <w:rsid w:val="387C2795"/>
    <w:rsid w:val="38881EBB"/>
    <w:rsid w:val="38942AAD"/>
    <w:rsid w:val="389712F2"/>
    <w:rsid w:val="38AB5DD8"/>
    <w:rsid w:val="38BC5D6B"/>
    <w:rsid w:val="38C63D66"/>
    <w:rsid w:val="38CA4FC5"/>
    <w:rsid w:val="38D26913"/>
    <w:rsid w:val="38D93327"/>
    <w:rsid w:val="38E21DE2"/>
    <w:rsid w:val="39215CC3"/>
    <w:rsid w:val="3935437F"/>
    <w:rsid w:val="393973DB"/>
    <w:rsid w:val="395550D1"/>
    <w:rsid w:val="398630C2"/>
    <w:rsid w:val="399805D2"/>
    <w:rsid w:val="39A03524"/>
    <w:rsid w:val="39B32851"/>
    <w:rsid w:val="39B611DA"/>
    <w:rsid w:val="39BB476A"/>
    <w:rsid w:val="39C70DF7"/>
    <w:rsid w:val="39CD7D12"/>
    <w:rsid w:val="39E21628"/>
    <w:rsid w:val="39E901AB"/>
    <w:rsid w:val="39E91C6F"/>
    <w:rsid w:val="39FD40D4"/>
    <w:rsid w:val="3A0462CC"/>
    <w:rsid w:val="3A1B3636"/>
    <w:rsid w:val="3A2959B1"/>
    <w:rsid w:val="3A7C154E"/>
    <w:rsid w:val="3A8D3267"/>
    <w:rsid w:val="3A8E4793"/>
    <w:rsid w:val="3AB2321F"/>
    <w:rsid w:val="3ABB31FD"/>
    <w:rsid w:val="3ACC6A5F"/>
    <w:rsid w:val="3AD07C99"/>
    <w:rsid w:val="3AD30754"/>
    <w:rsid w:val="3ADC03FB"/>
    <w:rsid w:val="3AE267C9"/>
    <w:rsid w:val="3AE42D07"/>
    <w:rsid w:val="3AF67989"/>
    <w:rsid w:val="3B0F5D78"/>
    <w:rsid w:val="3B291F18"/>
    <w:rsid w:val="3B337998"/>
    <w:rsid w:val="3B35149A"/>
    <w:rsid w:val="3B4A3F40"/>
    <w:rsid w:val="3B4F12B2"/>
    <w:rsid w:val="3B730A2C"/>
    <w:rsid w:val="3B8D15A9"/>
    <w:rsid w:val="3BB331F6"/>
    <w:rsid w:val="3BBD3970"/>
    <w:rsid w:val="3BD13837"/>
    <w:rsid w:val="3BD43349"/>
    <w:rsid w:val="3C0A04BB"/>
    <w:rsid w:val="3C1134A9"/>
    <w:rsid w:val="3C1278E0"/>
    <w:rsid w:val="3C2B2044"/>
    <w:rsid w:val="3C555015"/>
    <w:rsid w:val="3C583D72"/>
    <w:rsid w:val="3C5E386C"/>
    <w:rsid w:val="3C691DB4"/>
    <w:rsid w:val="3C7057AE"/>
    <w:rsid w:val="3C71272F"/>
    <w:rsid w:val="3C877F59"/>
    <w:rsid w:val="3CA8627B"/>
    <w:rsid w:val="3CA97F92"/>
    <w:rsid w:val="3CB07A2D"/>
    <w:rsid w:val="3CF177EF"/>
    <w:rsid w:val="3CF87315"/>
    <w:rsid w:val="3D1E45E5"/>
    <w:rsid w:val="3D2878FC"/>
    <w:rsid w:val="3D3712B0"/>
    <w:rsid w:val="3D3B1D05"/>
    <w:rsid w:val="3D4B442E"/>
    <w:rsid w:val="3D6A0245"/>
    <w:rsid w:val="3D7263EA"/>
    <w:rsid w:val="3D7B54EF"/>
    <w:rsid w:val="3D7D48B2"/>
    <w:rsid w:val="3D8B6E52"/>
    <w:rsid w:val="3D9770C5"/>
    <w:rsid w:val="3DA70962"/>
    <w:rsid w:val="3DAF4BE0"/>
    <w:rsid w:val="3DB724DE"/>
    <w:rsid w:val="3DC70F93"/>
    <w:rsid w:val="3DE628EA"/>
    <w:rsid w:val="3DF41F1A"/>
    <w:rsid w:val="3DFA1E8D"/>
    <w:rsid w:val="3E22369C"/>
    <w:rsid w:val="3E2258E7"/>
    <w:rsid w:val="3E2E431B"/>
    <w:rsid w:val="3E3660A4"/>
    <w:rsid w:val="3E4D5D4B"/>
    <w:rsid w:val="3E5755E5"/>
    <w:rsid w:val="3E5F3821"/>
    <w:rsid w:val="3E662C4E"/>
    <w:rsid w:val="3E6836C3"/>
    <w:rsid w:val="3E74486F"/>
    <w:rsid w:val="3E9D7D6C"/>
    <w:rsid w:val="3EA271E9"/>
    <w:rsid w:val="3EBE544B"/>
    <w:rsid w:val="3EC7628C"/>
    <w:rsid w:val="3EC774ED"/>
    <w:rsid w:val="3ED10D22"/>
    <w:rsid w:val="3ED309C1"/>
    <w:rsid w:val="3ED545DB"/>
    <w:rsid w:val="3ED613E3"/>
    <w:rsid w:val="3EDA619F"/>
    <w:rsid w:val="3EDC2981"/>
    <w:rsid w:val="3EE4471D"/>
    <w:rsid w:val="3EF75F01"/>
    <w:rsid w:val="3F0C2C0C"/>
    <w:rsid w:val="3F23004F"/>
    <w:rsid w:val="3F3C71CB"/>
    <w:rsid w:val="3F4F184E"/>
    <w:rsid w:val="3F597C70"/>
    <w:rsid w:val="3F5A50A4"/>
    <w:rsid w:val="3F86322C"/>
    <w:rsid w:val="3F8F2F70"/>
    <w:rsid w:val="3F987408"/>
    <w:rsid w:val="3FA10922"/>
    <w:rsid w:val="3FA115F0"/>
    <w:rsid w:val="3FA46EF8"/>
    <w:rsid w:val="3FBF69C8"/>
    <w:rsid w:val="3FD4031B"/>
    <w:rsid w:val="3FDA0AC6"/>
    <w:rsid w:val="3FE47F77"/>
    <w:rsid w:val="3FFE53E9"/>
    <w:rsid w:val="40164160"/>
    <w:rsid w:val="40170374"/>
    <w:rsid w:val="4019218E"/>
    <w:rsid w:val="40270EDB"/>
    <w:rsid w:val="403F5839"/>
    <w:rsid w:val="40596BBF"/>
    <w:rsid w:val="4068082E"/>
    <w:rsid w:val="406A433E"/>
    <w:rsid w:val="40841FFE"/>
    <w:rsid w:val="40931401"/>
    <w:rsid w:val="40BD6A2F"/>
    <w:rsid w:val="40E517EC"/>
    <w:rsid w:val="40E724CE"/>
    <w:rsid w:val="41181D29"/>
    <w:rsid w:val="412A5860"/>
    <w:rsid w:val="41303C39"/>
    <w:rsid w:val="413D1880"/>
    <w:rsid w:val="414B2E3E"/>
    <w:rsid w:val="414F19A5"/>
    <w:rsid w:val="414F74CB"/>
    <w:rsid w:val="4152668D"/>
    <w:rsid w:val="415B6654"/>
    <w:rsid w:val="417C2EE6"/>
    <w:rsid w:val="418515F9"/>
    <w:rsid w:val="41A0365E"/>
    <w:rsid w:val="41A5316F"/>
    <w:rsid w:val="41C92B51"/>
    <w:rsid w:val="41D301C3"/>
    <w:rsid w:val="41D623AF"/>
    <w:rsid w:val="41E618AB"/>
    <w:rsid w:val="41EC095F"/>
    <w:rsid w:val="41FB53EF"/>
    <w:rsid w:val="421F1BB6"/>
    <w:rsid w:val="422F49B3"/>
    <w:rsid w:val="42377BD9"/>
    <w:rsid w:val="425372A2"/>
    <w:rsid w:val="426A0418"/>
    <w:rsid w:val="426A1898"/>
    <w:rsid w:val="426C23E2"/>
    <w:rsid w:val="427330DF"/>
    <w:rsid w:val="427D7873"/>
    <w:rsid w:val="42802614"/>
    <w:rsid w:val="428B7594"/>
    <w:rsid w:val="42A853C7"/>
    <w:rsid w:val="42B01704"/>
    <w:rsid w:val="42CC4106"/>
    <w:rsid w:val="42E068CB"/>
    <w:rsid w:val="430274F1"/>
    <w:rsid w:val="43287BCC"/>
    <w:rsid w:val="43330CA7"/>
    <w:rsid w:val="433858A5"/>
    <w:rsid w:val="433E126A"/>
    <w:rsid w:val="433F10B4"/>
    <w:rsid w:val="43606EA0"/>
    <w:rsid w:val="4388312C"/>
    <w:rsid w:val="43920E07"/>
    <w:rsid w:val="43951B04"/>
    <w:rsid w:val="43A7649F"/>
    <w:rsid w:val="43AC26EF"/>
    <w:rsid w:val="43B41E3E"/>
    <w:rsid w:val="43BC110E"/>
    <w:rsid w:val="43C306AD"/>
    <w:rsid w:val="43D32426"/>
    <w:rsid w:val="43FC7E87"/>
    <w:rsid w:val="44210A17"/>
    <w:rsid w:val="44271441"/>
    <w:rsid w:val="4465559E"/>
    <w:rsid w:val="44712172"/>
    <w:rsid w:val="447734D9"/>
    <w:rsid w:val="44833414"/>
    <w:rsid w:val="4491600F"/>
    <w:rsid w:val="44984355"/>
    <w:rsid w:val="44A8226D"/>
    <w:rsid w:val="44C80955"/>
    <w:rsid w:val="44CC2C4F"/>
    <w:rsid w:val="44DC310A"/>
    <w:rsid w:val="44E27A7E"/>
    <w:rsid w:val="44F71504"/>
    <w:rsid w:val="44FB7340"/>
    <w:rsid w:val="451A55B3"/>
    <w:rsid w:val="451E0828"/>
    <w:rsid w:val="451E2AD9"/>
    <w:rsid w:val="4524498B"/>
    <w:rsid w:val="45461523"/>
    <w:rsid w:val="454817C9"/>
    <w:rsid w:val="454F0C0F"/>
    <w:rsid w:val="45687589"/>
    <w:rsid w:val="456909A8"/>
    <w:rsid w:val="456D3D22"/>
    <w:rsid w:val="457E1251"/>
    <w:rsid w:val="45900EC7"/>
    <w:rsid w:val="45995BB4"/>
    <w:rsid w:val="45B93063"/>
    <w:rsid w:val="45C23361"/>
    <w:rsid w:val="45C73FC5"/>
    <w:rsid w:val="45CA18A8"/>
    <w:rsid w:val="45CC3056"/>
    <w:rsid w:val="45FB5A7C"/>
    <w:rsid w:val="45FD3E50"/>
    <w:rsid w:val="4601483F"/>
    <w:rsid w:val="46163E05"/>
    <w:rsid w:val="461652E6"/>
    <w:rsid w:val="462569BC"/>
    <w:rsid w:val="46495B7D"/>
    <w:rsid w:val="464E3334"/>
    <w:rsid w:val="4650702B"/>
    <w:rsid w:val="46760020"/>
    <w:rsid w:val="468F7B5E"/>
    <w:rsid w:val="469D3DE5"/>
    <w:rsid w:val="46A34E08"/>
    <w:rsid w:val="46A7659A"/>
    <w:rsid w:val="46C146E9"/>
    <w:rsid w:val="46C24284"/>
    <w:rsid w:val="46C853F2"/>
    <w:rsid w:val="46CE53B7"/>
    <w:rsid w:val="46F722E3"/>
    <w:rsid w:val="472B3FFD"/>
    <w:rsid w:val="472E7B5B"/>
    <w:rsid w:val="4734684B"/>
    <w:rsid w:val="47353DAC"/>
    <w:rsid w:val="4740541B"/>
    <w:rsid w:val="47427099"/>
    <w:rsid w:val="47542182"/>
    <w:rsid w:val="47546E3E"/>
    <w:rsid w:val="476457C5"/>
    <w:rsid w:val="476A5FE9"/>
    <w:rsid w:val="477251CE"/>
    <w:rsid w:val="4780564D"/>
    <w:rsid w:val="478610F4"/>
    <w:rsid w:val="47A92D09"/>
    <w:rsid w:val="47AE2D4E"/>
    <w:rsid w:val="47CC1367"/>
    <w:rsid w:val="47D54BA7"/>
    <w:rsid w:val="47ED53FA"/>
    <w:rsid w:val="47F96739"/>
    <w:rsid w:val="48017210"/>
    <w:rsid w:val="48087FE3"/>
    <w:rsid w:val="48136F8B"/>
    <w:rsid w:val="481A3E81"/>
    <w:rsid w:val="482C5D39"/>
    <w:rsid w:val="484456C5"/>
    <w:rsid w:val="485B1902"/>
    <w:rsid w:val="48626892"/>
    <w:rsid w:val="48AF419F"/>
    <w:rsid w:val="48D75B88"/>
    <w:rsid w:val="48DB7360"/>
    <w:rsid w:val="48E33E5F"/>
    <w:rsid w:val="48FF5525"/>
    <w:rsid w:val="49001E86"/>
    <w:rsid w:val="490647BE"/>
    <w:rsid w:val="493618EF"/>
    <w:rsid w:val="494C4436"/>
    <w:rsid w:val="49556C92"/>
    <w:rsid w:val="495F5D36"/>
    <w:rsid w:val="49734683"/>
    <w:rsid w:val="497E5010"/>
    <w:rsid w:val="499250A4"/>
    <w:rsid w:val="49AE4226"/>
    <w:rsid w:val="49AF1242"/>
    <w:rsid w:val="49DF3A58"/>
    <w:rsid w:val="49EC0086"/>
    <w:rsid w:val="49EE6ECC"/>
    <w:rsid w:val="49F64E88"/>
    <w:rsid w:val="4A234FEC"/>
    <w:rsid w:val="4A2D2C3E"/>
    <w:rsid w:val="4A2F090E"/>
    <w:rsid w:val="4A2F5F49"/>
    <w:rsid w:val="4A320278"/>
    <w:rsid w:val="4A3E083B"/>
    <w:rsid w:val="4A467DEA"/>
    <w:rsid w:val="4A480B48"/>
    <w:rsid w:val="4A8307F4"/>
    <w:rsid w:val="4A8A57B2"/>
    <w:rsid w:val="4AA31EB3"/>
    <w:rsid w:val="4AAB0B22"/>
    <w:rsid w:val="4AB30EDE"/>
    <w:rsid w:val="4ABA38FB"/>
    <w:rsid w:val="4AD22CAE"/>
    <w:rsid w:val="4AFA1E51"/>
    <w:rsid w:val="4AFD3FE5"/>
    <w:rsid w:val="4B242129"/>
    <w:rsid w:val="4B341F77"/>
    <w:rsid w:val="4B543C59"/>
    <w:rsid w:val="4B570601"/>
    <w:rsid w:val="4B6828A2"/>
    <w:rsid w:val="4B730590"/>
    <w:rsid w:val="4B7D207A"/>
    <w:rsid w:val="4B7F2485"/>
    <w:rsid w:val="4B7F482B"/>
    <w:rsid w:val="4B875EB6"/>
    <w:rsid w:val="4BA731AA"/>
    <w:rsid w:val="4BAD1EF1"/>
    <w:rsid w:val="4BAF7C51"/>
    <w:rsid w:val="4BB2318A"/>
    <w:rsid w:val="4BB961D0"/>
    <w:rsid w:val="4BBA6469"/>
    <w:rsid w:val="4BCA76D6"/>
    <w:rsid w:val="4BD73847"/>
    <w:rsid w:val="4BE136FC"/>
    <w:rsid w:val="4C000FEE"/>
    <w:rsid w:val="4C056FB7"/>
    <w:rsid w:val="4C160901"/>
    <w:rsid w:val="4C2A27C2"/>
    <w:rsid w:val="4C3F1AD6"/>
    <w:rsid w:val="4C4D29A2"/>
    <w:rsid w:val="4C6514B0"/>
    <w:rsid w:val="4C670BA8"/>
    <w:rsid w:val="4C6C0D90"/>
    <w:rsid w:val="4C6F4DDF"/>
    <w:rsid w:val="4C76404F"/>
    <w:rsid w:val="4C7D1FFD"/>
    <w:rsid w:val="4C7E7777"/>
    <w:rsid w:val="4C8F566B"/>
    <w:rsid w:val="4CAC648A"/>
    <w:rsid w:val="4CB7716D"/>
    <w:rsid w:val="4CE21E5B"/>
    <w:rsid w:val="4CED4287"/>
    <w:rsid w:val="4CF5763E"/>
    <w:rsid w:val="4CFC5A58"/>
    <w:rsid w:val="4D035F30"/>
    <w:rsid w:val="4D327A8F"/>
    <w:rsid w:val="4D350BEE"/>
    <w:rsid w:val="4D361E73"/>
    <w:rsid w:val="4D3F7CBF"/>
    <w:rsid w:val="4D48482F"/>
    <w:rsid w:val="4D62389D"/>
    <w:rsid w:val="4D677779"/>
    <w:rsid w:val="4D8B6E28"/>
    <w:rsid w:val="4DA8223C"/>
    <w:rsid w:val="4DBB5850"/>
    <w:rsid w:val="4DC46301"/>
    <w:rsid w:val="4DD225D9"/>
    <w:rsid w:val="4DE87ADB"/>
    <w:rsid w:val="4DF60896"/>
    <w:rsid w:val="4DFD5ECA"/>
    <w:rsid w:val="4DFE3CC8"/>
    <w:rsid w:val="4E025DB2"/>
    <w:rsid w:val="4E1630B6"/>
    <w:rsid w:val="4E25354C"/>
    <w:rsid w:val="4E4B405F"/>
    <w:rsid w:val="4E4E418E"/>
    <w:rsid w:val="4E655042"/>
    <w:rsid w:val="4E8D19A7"/>
    <w:rsid w:val="4EA345E7"/>
    <w:rsid w:val="4EB03F47"/>
    <w:rsid w:val="4EB66AEE"/>
    <w:rsid w:val="4EB9175E"/>
    <w:rsid w:val="4EC815AC"/>
    <w:rsid w:val="4ED22709"/>
    <w:rsid w:val="4EDC6058"/>
    <w:rsid w:val="4EF6108D"/>
    <w:rsid w:val="4EF8347E"/>
    <w:rsid w:val="4EFA23C6"/>
    <w:rsid w:val="4F0A7123"/>
    <w:rsid w:val="4F0C39F5"/>
    <w:rsid w:val="4F0F7608"/>
    <w:rsid w:val="4F172428"/>
    <w:rsid w:val="4F1C1A77"/>
    <w:rsid w:val="4F2A3762"/>
    <w:rsid w:val="4F2E0DB1"/>
    <w:rsid w:val="4F3517A8"/>
    <w:rsid w:val="4F422CA5"/>
    <w:rsid w:val="4F43009A"/>
    <w:rsid w:val="4F7119FF"/>
    <w:rsid w:val="4F756C5E"/>
    <w:rsid w:val="4F7A5394"/>
    <w:rsid w:val="4F992590"/>
    <w:rsid w:val="4FD412A3"/>
    <w:rsid w:val="4FD41C1D"/>
    <w:rsid w:val="4FD54DAA"/>
    <w:rsid w:val="4FD64014"/>
    <w:rsid w:val="4FDE7917"/>
    <w:rsid w:val="4FE311D6"/>
    <w:rsid w:val="4FE94B38"/>
    <w:rsid w:val="4FED2322"/>
    <w:rsid w:val="4FF61BB1"/>
    <w:rsid w:val="4FFD53C6"/>
    <w:rsid w:val="500B0D4B"/>
    <w:rsid w:val="501A4614"/>
    <w:rsid w:val="501F4A64"/>
    <w:rsid w:val="5030543D"/>
    <w:rsid w:val="503D1B16"/>
    <w:rsid w:val="50505954"/>
    <w:rsid w:val="5074268E"/>
    <w:rsid w:val="508E47DC"/>
    <w:rsid w:val="50A940E7"/>
    <w:rsid w:val="50AE3F83"/>
    <w:rsid w:val="50AE699A"/>
    <w:rsid w:val="50AF63AC"/>
    <w:rsid w:val="50B14097"/>
    <w:rsid w:val="50B32A80"/>
    <w:rsid w:val="50C91096"/>
    <w:rsid w:val="50CF7A4B"/>
    <w:rsid w:val="50DE4A3D"/>
    <w:rsid w:val="50F911BB"/>
    <w:rsid w:val="51022777"/>
    <w:rsid w:val="510C092F"/>
    <w:rsid w:val="51162402"/>
    <w:rsid w:val="511D028B"/>
    <w:rsid w:val="512B1EE0"/>
    <w:rsid w:val="5137564E"/>
    <w:rsid w:val="5146011D"/>
    <w:rsid w:val="51545EBF"/>
    <w:rsid w:val="51585972"/>
    <w:rsid w:val="515C0CB9"/>
    <w:rsid w:val="516473A7"/>
    <w:rsid w:val="5165226A"/>
    <w:rsid w:val="51673073"/>
    <w:rsid w:val="516C1A4D"/>
    <w:rsid w:val="517721D1"/>
    <w:rsid w:val="51781492"/>
    <w:rsid w:val="517A5728"/>
    <w:rsid w:val="517E61CE"/>
    <w:rsid w:val="51A846EE"/>
    <w:rsid w:val="51C606E4"/>
    <w:rsid w:val="51C72B2F"/>
    <w:rsid w:val="51D13AD5"/>
    <w:rsid w:val="51D22D16"/>
    <w:rsid w:val="51F010D8"/>
    <w:rsid w:val="51F10280"/>
    <w:rsid w:val="520923F4"/>
    <w:rsid w:val="5211020B"/>
    <w:rsid w:val="52187918"/>
    <w:rsid w:val="52347DE2"/>
    <w:rsid w:val="5241154F"/>
    <w:rsid w:val="524467AD"/>
    <w:rsid w:val="52550EE8"/>
    <w:rsid w:val="52592B52"/>
    <w:rsid w:val="527543BE"/>
    <w:rsid w:val="527B1047"/>
    <w:rsid w:val="52885691"/>
    <w:rsid w:val="529E7DC9"/>
    <w:rsid w:val="52A1157D"/>
    <w:rsid w:val="52B7492F"/>
    <w:rsid w:val="52C276E1"/>
    <w:rsid w:val="52F30525"/>
    <w:rsid w:val="53143DBE"/>
    <w:rsid w:val="532452B2"/>
    <w:rsid w:val="533D3764"/>
    <w:rsid w:val="53560A73"/>
    <w:rsid w:val="535B4CF0"/>
    <w:rsid w:val="53725B56"/>
    <w:rsid w:val="537323E7"/>
    <w:rsid w:val="53983C17"/>
    <w:rsid w:val="539A7F34"/>
    <w:rsid w:val="53A53D5A"/>
    <w:rsid w:val="53D60AA9"/>
    <w:rsid w:val="53E060A8"/>
    <w:rsid w:val="53E37C63"/>
    <w:rsid w:val="53E4696D"/>
    <w:rsid w:val="53E8598B"/>
    <w:rsid w:val="53EB7EF9"/>
    <w:rsid w:val="53F11E92"/>
    <w:rsid w:val="53F34C98"/>
    <w:rsid w:val="53F90D5A"/>
    <w:rsid w:val="5400093A"/>
    <w:rsid w:val="540D2227"/>
    <w:rsid w:val="543E150A"/>
    <w:rsid w:val="54640DD5"/>
    <w:rsid w:val="546829F9"/>
    <w:rsid w:val="54811A0B"/>
    <w:rsid w:val="549D2F6A"/>
    <w:rsid w:val="54AB4AB2"/>
    <w:rsid w:val="54DE453A"/>
    <w:rsid w:val="54FD05CF"/>
    <w:rsid w:val="550E2018"/>
    <w:rsid w:val="550E2430"/>
    <w:rsid w:val="551C0949"/>
    <w:rsid w:val="55245AF4"/>
    <w:rsid w:val="55332140"/>
    <w:rsid w:val="553515CF"/>
    <w:rsid w:val="5535226D"/>
    <w:rsid w:val="553B10B0"/>
    <w:rsid w:val="55411377"/>
    <w:rsid w:val="55684380"/>
    <w:rsid w:val="5569348D"/>
    <w:rsid w:val="556F0C82"/>
    <w:rsid w:val="558772CD"/>
    <w:rsid w:val="55992746"/>
    <w:rsid w:val="55A8783C"/>
    <w:rsid w:val="55B70080"/>
    <w:rsid w:val="55C019F9"/>
    <w:rsid w:val="55C22D99"/>
    <w:rsid w:val="55C34875"/>
    <w:rsid w:val="55DA0671"/>
    <w:rsid w:val="55DE462D"/>
    <w:rsid w:val="565023B2"/>
    <w:rsid w:val="56600C3C"/>
    <w:rsid w:val="566C6AAD"/>
    <w:rsid w:val="567B2F13"/>
    <w:rsid w:val="567F2B2A"/>
    <w:rsid w:val="569549B7"/>
    <w:rsid w:val="569B59A6"/>
    <w:rsid w:val="569E768C"/>
    <w:rsid w:val="56BC11C5"/>
    <w:rsid w:val="56D026DA"/>
    <w:rsid w:val="56F00AC2"/>
    <w:rsid w:val="56FF02B9"/>
    <w:rsid w:val="57030085"/>
    <w:rsid w:val="570407FA"/>
    <w:rsid w:val="5707087A"/>
    <w:rsid w:val="57132F95"/>
    <w:rsid w:val="572D56F6"/>
    <w:rsid w:val="57300244"/>
    <w:rsid w:val="57416FDD"/>
    <w:rsid w:val="57462948"/>
    <w:rsid w:val="574A3622"/>
    <w:rsid w:val="574B6AFB"/>
    <w:rsid w:val="5757511D"/>
    <w:rsid w:val="57633E93"/>
    <w:rsid w:val="5764383E"/>
    <w:rsid w:val="576D6289"/>
    <w:rsid w:val="57797419"/>
    <w:rsid w:val="57817915"/>
    <w:rsid w:val="57BA76D9"/>
    <w:rsid w:val="57C24315"/>
    <w:rsid w:val="57C60F91"/>
    <w:rsid w:val="57CA2EE6"/>
    <w:rsid w:val="57D069E1"/>
    <w:rsid w:val="57DE551D"/>
    <w:rsid w:val="57E74A4C"/>
    <w:rsid w:val="57F63625"/>
    <w:rsid w:val="580A08CC"/>
    <w:rsid w:val="580C23E4"/>
    <w:rsid w:val="58191B0C"/>
    <w:rsid w:val="5827740E"/>
    <w:rsid w:val="58315B21"/>
    <w:rsid w:val="58424C7E"/>
    <w:rsid w:val="58430210"/>
    <w:rsid w:val="585320E4"/>
    <w:rsid w:val="5863214C"/>
    <w:rsid w:val="58717162"/>
    <w:rsid w:val="587B41B2"/>
    <w:rsid w:val="587E2FB0"/>
    <w:rsid w:val="587F4E33"/>
    <w:rsid w:val="587F6BA5"/>
    <w:rsid w:val="58915138"/>
    <w:rsid w:val="589A70FA"/>
    <w:rsid w:val="58A228DA"/>
    <w:rsid w:val="58B8618D"/>
    <w:rsid w:val="58F663EC"/>
    <w:rsid w:val="592A378F"/>
    <w:rsid w:val="593740EF"/>
    <w:rsid w:val="5939592A"/>
    <w:rsid w:val="59536DE1"/>
    <w:rsid w:val="595C4CF9"/>
    <w:rsid w:val="597F2884"/>
    <w:rsid w:val="598B393C"/>
    <w:rsid w:val="59CE222A"/>
    <w:rsid w:val="59CE6281"/>
    <w:rsid w:val="59D022CD"/>
    <w:rsid w:val="59DF31C4"/>
    <w:rsid w:val="5A1D39FE"/>
    <w:rsid w:val="5A2B0D3B"/>
    <w:rsid w:val="5A341255"/>
    <w:rsid w:val="5A3571BF"/>
    <w:rsid w:val="5A400973"/>
    <w:rsid w:val="5A44572C"/>
    <w:rsid w:val="5A455381"/>
    <w:rsid w:val="5A8A6ADB"/>
    <w:rsid w:val="5A936EBE"/>
    <w:rsid w:val="5AA549B2"/>
    <w:rsid w:val="5ADF3379"/>
    <w:rsid w:val="5B0416C7"/>
    <w:rsid w:val="5B1A400E"/>
    <w:rsid w:val="5B316F94"/>
    <w:rsid w:val="5B45691B"/>
    <w:rsid w:val="5B5104F9"/>
    <w:rsid w:val="5B562BF6"/>
    <w:rsid w:val="5B6950AB"/>
    <w:rsid w:val="5B6A7A00"/>
    <w:rsid w:val="5B6B014D"/>
    <w:rsid w:val="5B823CDC"/>
    <w:rsid w:val="5B8857E6"/>
    <w:rsid w:val="5B8F4879"/>
    <w:rsid w:val="5B933B49"/>
    <w:rsid w:val="5B936B9D"/>
    <w:rsid w:val="5BA3321F"/>
    <w:rsid w:val="5BAC4E3A"/>
    <w:rsid w:val="5BC849D6"/>
    <w:rsid w:val="5BF32F12"/>
    <w:rsid w:val="5BF33ADD"/>
    <w:rsid w:val="5BF7148A"/>
    <w:rsid w:val="5BFA025E"/>
    <w:rsid w:val="5C2D1687"/>
    <w:rsid w:val="5C362AF4"/>
    <w:rsid w:val="5C365374"/>
    <w:rsid w:val="5C3D2493"/>
    <w:rsid w:val="5C3E4720"/>
    <w:rsid w:val="5C4668A9"/>
    <w:rsid w:val="5C526BB4"/>
    <w:rsid w:val="5C620538"/>
    <w:rsid w:val="5C7A7CF8"/>
    <w:rsid w:val="5C802FB3"/>
    <w:rsid w:val="5CB033FC"/>
    <w:rsid w:val="5CB150DE"/>
    <w:rsid w:val="5CC34110"/>
    <w:rsid w:val="5CCF01A6"/>
    <w:rsid w:val="5D024954"/>
    <w:rsid w:val="5D05489E"/>
    <w:rsid w:val="5D0A579A"/>
    <w:rsid w:val="5D235B2D"/>
    <w:rsid w:val="5D28094E"/>
    <w:rsid w:val="5D3873C1"/>
    <w:rsid w:val="5D4741D2"/>
    <w:rsid w:val="5D4A7B65"/>
    <w:rsid w:val="5D5515B5"/>
    <w:rsid w:val="5D6871F6"/>
    <w:rsid w:val="5D7727EC"/>
    <w:rsid w:val="5D7C1CCD"/>
    <w:rsid w:val="5D806973"/>
    <w:rsid w:val="5D8E4670"/>
    <w:rsid w:val="5D9E31C3"/>
    <w:rsid w:val="5DB22A59"/>
    <w:rsid w:val="5DB30A1E"/>
    <w:rsid w:val="5DD07349"/>
    <w:rsid w:val="5DE47236"/>
    <w:rsid w:val="5DE95B3D"/>
    <w:rsid w:val="5DEF4402"/>
    <w:rsid w:val="5DFC469C"/>
    <w:rsid w:val="5E074110"/>
    <w:rsid w:val="5E1C0FFA"/>
    <w:rsid w:val="5E203806"/>
    <w:rsid w:val="5E2532E6"/>
    <w:rsid w:val="5E401FD5"/>
    <w:rsid w:val="5E430067"/>
    <w:rsid w:val="5E581130"/>
    <w:rsid w:val="5E58634F"/>
    <w:rsid w:val="5E68692A"/>
    <w:rsid w:val="5E7A4A4B"/>
    <w:rsid w:val="5E7B4EF1"/>
    <w:rsid w:val="5EC52109"/>
    <w:rsid w:val="5EDC6635"/>
    <w:rsid w:val="5EDF242A"/>
    <w:rsid w:val="5EEC4CC9"/>
    <w:rsid w:val="5EEE7949"/>
    <w:rsid w:val="5EFE77F4"/>
    <w:rsid w:val="5F2C5614"/>
    <w:rsid w:val="5F334632"/>
    <w:rsid w:val="5F387DD8"/>
    <w:rsid w:val="5F3D46C8"/>
    <w:rsid w:val="5F610F9A"/>
    <w:rsid w:val="5F723B9C"/>
    <w:rsid w:val="5F740D96"/>
    <w:rsid w:val="5F781A34"/>
    <w:rsid w:val="5FA316F9"/>
    <w:rsid w:val="5FAB1E22"/>
    <w:rsid w:val="5FAE7B2D"/>
    <w:rsid w:val="5FC058B5"/>
    <w:rsid w:val="5FEF51B4"/>
    <w:rsid w:val="5FFD47CB"/>
    <w:rsid w:val="6005308E"/>
    <w:rsid w:val="600F713A"/>
    <w:rsid w:val="601B3A75"/>
    <w:rsid w:val="60295475"/>
    <w:rsid w:val="602976E5"/>
    <w:rsid w:val="602B5CAC"/>
    <w:rsid w:val="60352928"/>
    <w:rsid w:val="604069C8"/>
    <w:rsid w:val="60442474"/>
    <w:rsid w:val="605308B8"/>
    <w:rsid w:val="60536876"/>
    <w:rsid w:val="606C21F5"/>
    <w:rsid w:val="606E421F"/>
    <w:rsid w:val="607A502C"/>
    <w:rsid w:val="608B55D8"/>
    <w:rsid w:val="608D3579"/>
    <w:rsid w:val="609B3534"/>
    <w:rsid w:val="609C3B6D"/>
    <w:rsid w:val="60A50722"/>
    <w:rsid w:val="60CA7929"/>
    <w:rsid w:val="60D31A6F"/>
    <w:rsid w:val="60D325C8"/>
    <w:rsid w:val="6116450B"/>
    <w:rsid w:val="611651BB"/>
    <w:rsid w:val="61191BB6"/>
    <w:rsid w:val="61902044"/>
    <w:rsid w:val="61A83C0D"/>
    <w:rsid w:val="61AD0E69"/>
    <w:rsid w:val="61AE2894"/>
    <w:rsid w:val="61B42655"/>
    <w:rsid w:val="61B64AE6"/>
    <w:rsid w:val="61B95A3D"/>
    <w:rsid w:val="61CA338F"/>
    <w:rsid w:val="61DD55E6"/>
    <w:rsid w:val="61E30170"/>
    <w:rsid w:val="61E5752D"/>
    <w:rsid w:val="61EB04E9"/>
    <w:rsid w:val="61EE3FAF"/>
    <w:rsid w:val="622F4266"/>
    <w:rsid w:val="623C143F"/>
    <w:rsid w:val="62462A72"/>
    <w:rsid w:val="624B3781"/>
    <w:rsid w:val="625F13E8"/>
    <w:rsid w:val="6275441F"/>
    <w:rsid w:val="62A565F5"/>
    <w:rsid w:val="62B93485"/>
    <w:rsid w:val="62E015FC"/>
    <w:rsid w:val="62E21A96"/>
    <w:rsid w:val="62E333FD"/>
    <w:rsid w:val="62F673DB"/>
    <w:rsid w:val="62F76DDA"/>
    <w:rsid w:val="6301006C"/>
    <w:rsid w:val="63030F14"/>
    <w:rsid w:val="635E40F3"/>
    <w:rsid w:val="636173F7"/>
    <w:rsid w:val="6384416F"/>
    <w:rsid w:val="638B7104"/>
    <w:rsid w:val="639076DF"/>
    <w:rsid w:val="63923F11"/>
    <w:rsid w:val="63D20FF4"/>
    <w:rsid w:val="63DD7C86"/>
    <w:rsid w:val="63ED4FA7"/>
    <w:rsid w:val="63F427DF"/>
    <w:rsid w:val="640C3504"/>
    <w:rsid w:val="64121615"/>
    <w:rsid w:val="641341B5"/>
    <w:rsid w:val="642011FC"/>
    <w:rsid w:val="643125C3"/>
    <w:rsid w:val="64323CBE"/>
    <w:rsid w:val="645513CC"/>
    <w:rsid w:val="645B5B40"/>
    <w:rsid w:val="645C0EE4"/>
    <w:rsid w:val="64797C89"/>
    <w:rsid w:val="648B66BA"/>
    <w:rsid w:val="64902B7A"/>
    <w:rsid w:val="64A036C7"/>
    <w:rsid w:val="64A04E14"/>
    <w:rsid w:val="64AE2DC0"/>
    <w:rsid w:val="64CC6AAA"/>
    <w:rsid w:val="64E27D92"/>
    <w:rsid w:val="64EC5F80"/>
    <w:rsid w:val="65037271"/>
    <w:rsid w:val="651E6389"/>
    <w:rsid w:val="65312AB4"/>
    <w:rsid w:val="653A1465"/>
    <w:rsid w:val="654235AD"/>
    <w:rsid w:val="65441B1B"/>
    <w:rsid w:val="654E6126"/>
    <w:rsid w:val="656B6764"/>
    <w:rsid w:val="6577447A"/>
    <w:rsid w:val="657A65E0"/>
    <w:rsid w:val="657C4F3A"/>
    <w:rsid w:val="65870560"/>
    <w:rsid w:val="65A12770"/>
    <w:rsid w:val="65B070B7"/>
    <w:rsid w:val="65BD72CE"/>
    <w:rsid w:val="65BF299F"/>
    <w:rsid w:val="65F14EE8"/>
    <w:rsid w:val="661462F7"/>
    <w:rsid w:val="66167837"/>
    <w:rsid w:val="663A65CE"/>
    <w:rsid w:val="66474639"/>
    <w:rsid w:val="666274B9"/>
    <w:rsid w:val="667128E4"/>
    <w:rsid w:val="66740D91"/>
    <w:rsid w:val="669C6912"/>
    <w:rsid w:val="66A85798"/>
    <w:rsid w:val="66DD047E"/>
    <w:rsid w:val="66E30E48"/>
    <w:rsid w:val="66EA4259"/>
    <w:rsid w:val="66F26EF2"/>
    <w:rsid w:val="66FB71D3"/>
    <w:rsid w:val="67010AE3"/>
    <w:rsid w:val="67075894"/>
    <w:rsid w:val="672112E1"/>
    <w:rsid w:val="672659F3"/>
    <w:rsid w:val="67293668"/>
    <w:rsid w:val="67420EC9"/>
    <w:rsid w:val="67465655"/>
    <w:rsid w:val="67545C6E"/>
    <w:rsid w:val="676778F6"/>
    <w:rsid w:val="67685576"/>
    <w:rsid w:val="67686F27"/>
    <w:rsid w:val="67711348"/>
    <w:rsid w:val="67740C3E"/>
    <w:rsid w:val="6781543A"/>
    <w:rsid w:val="67983015"/>
    <w:rsid w:val="679D7A01"/>
    <w:rsid w:val="67A75C44"/>
    <w:rsid w:val="67BA2CE8"/>
    <w:rsid w:val="67C119C7"/>
    <w:rsid w:val="67C373D8"/>
    <w:rsid w:val="67D76C53"/>
    <w:rsid w:val="67E70630"/>
    <w:rsid w:val="68002120"/>
    <w:rsid w:val="6804255B"/>
    <w:rsid w:val="680D1350"/>
    <w:rsid w:val="68347656"/>
    <w:rsid w:val="683977E8"/>
    <w:rsid w:val="683A2EED"/>
    <w:rsid w:val="6842615A"/>
    <w:rsid w:val="68450B02"/>
    <w:rsid w:val="684E3240"/>
    <w:rsid w:val="686E4265"/>
    <w:rsid w:val="689C2770"/>
    <w:rsid w:val="68A13355"/>
    <w:rsid w:val="68A42834"/>
    <w:rsid w:val="68CE58E6"/>
    <w:rsid w:val="68CF2A69"/>
    <w:rsid w:val="68E814B4"/>
    <w:rsid w:val="68F91EAB"/>
    <w:rsid w:val="69142EFB"/>
    <w:rsid w:val="69154D60"/>
    <w:rsid w:val="692B56B7"/>
    <w:rsid w:val="692F6F57"/>
    <w:rsid w:val="694A6DBA"/>
    <w:rsid w:val="695C1CD1"/>
    <w:rsid w:val="696F09AF"/>
    <w:rsid w:val="698E764A"/>
    <w:rsid w:val="69915568"/>
    <w:rsid w:val="69951D6A"/>
    <w:rsid w:val="69BC7777"/>
    <w:rsid w:val="69C64C75"/>
    <w:rsid w:val="69CA6202"/>
    <w:rsid w:val="69CD7FDE"/>
    <w:rsid w:val="69CF6EC4"/>
    <w:rsid w:val="69D05FDB"/>
    <w:rsid w:val="69DA551E"/>
    <w:rsid w:val="69DE5E8A"/>
    <w:rsid w:val="69E00D11"/>
    <w:rsid w:val="69F0389C"/>
    <w:rsid w:val="69F453FE"/>
    <w:rsid w:val="6A1379AE"/>
    <w:rsid w:val="6A27302A"/>
    <w:rsid w:val="6A3828E1"/>
    <w:rsid w:val="6A3E49CA"/>
    <w:rsid w:val="6A602F33"/>
    <w:rsid w:val="6A6468A5"/>
    <w:rsid w:val="6A6F1DC6"/>
    <w:rsid w:val="6A727EED"/>
    <w:rsid w:val="6A783CBE"/>
    <w:rsid w:val="6A8755D3"/>
    <w:rsid w:val="6AA36DF7"/>
    <w:rsid w:val="6AA54025"/>
    <w:rsid w:val="6AC52BD0"/>
    <w:rsid w:val="6AC9111D"/>
    <w:rsid w:val="6ADD40D7"/>
    <w:rsid w:val="6AE2354A"/>
    <w:rsid w:val="6AE91398"/>
    <w:rsid w:val="6AF80E24"/>
    <w:rsid w:val="6AFA140D"/>
    <w:rsid w:val="6B0914DC"/>
    <w:rsid w:val="6B0F3217"/>
    <w:rsid w:val="6B1529A0"/>
    <w:rsid w:val="6B22477C"/>
    <w:rsid w:val="6B2B6B35"/>
    <w:rsid w:val="6B320A31"/>
    <w:rsid w:val="6B3525D9"/>
    <w:rsid w:val="6B467AE6"/>
    <w:rsid w:val="6B491DA4"/>
    <w:rsid w:val="6B563D11"/>
    <w:rsid w:val="6B5727F6"/>
    <w:rsid w:val="6B5D28FD"/>
    <w:rsid w:val="6B5E4D2E"/>
    <w:rsid w:val="6B6508C2"/>
    <w:rsid w:val="6B6B0456"/>
    <w:rsid w:val="6B802B54"/>
    <w:rsid w:val="6B837812"/>
    <w:rsid w:val="6B875B60"/>
    <w:rsid w:val="6BA45627"/>
    <w:rsid w:val="6BBE54E5"/>
    <w:rsid w:val="6BBE7BEB"/>
    <w:rsid w:val="6BCD2719"/>
    <w:rsid w:val="6BD10E4A"/>
    <w:rsid w:val="6BD15D59"/>
    <w:rsid w:val="6BE116D3"/>
    <w:rsid w:val="6BFE01CD"/>
    <w:rsid w:val="6C084F5B"/>
    <w:rsid w:val="6C27645D"/>
    <w:rsid w:val="6C2A7865"/>
    <w:rsid w:val="6C2D715B"/>
    <w:rsid w:val="6C5207BE"/>
    <w:rsid w:val="6C562931"/>
    <w:rsid w:val="6C566E6B"/>
    <w:rsid w:val="6C592A82"/>
    <w:rsid w:val="6C5D5B6B"/>
    <w:rsid w:val="6C625544"/>
    <w:rsid w:val="6C6A54FD"/>
    <w:rsid w:val="6C7D01C0"/>
    <w:rsid w:val="6C7D32EB"/>
    <w:rsid w:val="6C82426E"/>
    <w:rsid w:val="6C98158A"/>
    <w:rsid w:val="6CAA0B60"/>
    <w:rsid w:val="6CC21518"/>
    <w:rsid w:val="6CE06EE3"/>
    <w:rsid w:val="6CE16E6B"/>
    <w:rsid w:val="6CE64DA0"/>
    <w:rsid w:val="6D0A492C"/>
    <w:rsid w:val="6D0E0C03"/>
    <w:rsid w:val="6D1E0EC9"/>
    <w:rsid w:val="6D1F6156"/>
    <w:rsid w:val="6D257859"/>
    <w:rsid w:val="6D301B26"/>
    <w:rsid w:val="6D3549DB"/>
    <w:rsid w:val="6D3F14A5"/>
    <w:rsid w:val="6D407F2C"/>
    <w:rsid w:val="6D4123A1"/>
    <w:rsid w:val="6D555633"/>
    <w:rsid w:val="6D572015"/>
    <w:rsid w:val="6D5864F7"/>
    <w:rsid w:val="6D805F6C"/>
    <w:rsid w:val="6D917BF7"/>
    <w:rsid w:val="6D9B002E"/>
    <w:rsid w:val="6DA301E3"/>
    <w:rsid w:val="6DB166DC"/>
    <w:rsid w:val="6DB70CB4"/>
    <w:rsid w:val="6DE242AA"/>
    <w:rsid w:val="6DEF42AA"/>
    <w:rsid w:val="6DFC6FEC"/>
    <w:rsid w:val="6E094352"/>
    <w:rsid w:val="6E200223"/>
    <w:rsid w:val="6E3E2358"/>
    <w:rsid w:val="6E424BD5"/>
    <w:rsid w:val="6E430162"/>
    <w:rsid w:val="6E55742C"/>
    <w:rsid w:val="6E6A27E1"/>
    <w:rsid w:val="6E6D358E"/>
    <w:rsid w:val="6EC266E7"/>
    <w:rsid w:val="6ECB70B1"/>
    <w:rsid w:val="6F023957"/>
    <w:rsid w:val="6F077F6F"/>
    <w:rsid w:val="6F1C37FF"/>
    <w:rsid w:val="6F7209F9"/>
    <w:rsid w:val="6F815117"/>
    <w:rsid w:val="6F8C3D1F"/>
    <w:rsid w:val="6FB04A52"/>
    <w:rsid w:val="6FB36977"/>
    <w:rsid w:val="6FBA66BD"/>
    <w:rsid w:val="6FBC2C44"/>
    <w:rsid w:val="6FD67F20"/>
    <w:rsid w:val="6FD9564E"/>
    <w:rsid w:val="6FDB0700"/>
    <w:rsid w:val="6FF65032"/>
    <w:rsid w:val="70222F03"/>
    <w:rsid w:val="702A2DF0"/>
    <w:rsid w:val="70385CF1"/>
    <w:rsid w:val="704A1802"/>
    <w:rsid w:val="706F095A"/>
    <w:rsid w:val="70702B1B"/>
    <w:rsid w:val="708B6298"/>
    <w:rsid w:val="708F3F4F"/>
    <w:rsid w:val="70AF1A8E"/>
    <w:rsid w:val="70AF29BB"/>
    <w:rsid w:val="70CD73A6"/>
    <w:rsid w:val="70D17379"/>
    <w:rsid w:val="70E34A11"/>
    <w:rsid w:val="70EC1752"/>
    <w:rsid w:val="70FA6A76"/>
    <w:rsid w:val="71016664"/>
    <w:rsid w:val="71041FC2"/>
    <w:rsid w:val="71102541"/>
    <w:rsid w:val="71144AD3"/>
    <w:rsid w:val="71173E45"/>
    <w:rsid w:val="71287EBB"/>
    <w:rsid w:val="7131211A"/>
    <w:rsid w:val="7137018B"/>
    <w:rsid w:val="7137369D"/>
    <w:rsid w:val="719E503F"/>
    <w:rsid w:val="71AC3D91"/>
    <w:rsid w:val="71BB1304"/>
    <w:rsid w:val="71BF09ED"/>
    <w:rsid w:val="71C13A31"/>
    <w:rsid w:val="71D55CAE"/>
    <w:rsid w:val="71D62B72"/>
    <w:rsid w:val="71E056E7"/>
    <w:rsid w:val="71ED03B4"/>
    <w:rsid w:val="71FF0740"/>
    <w:rsid w:val="71FF0BB1"/>
    <w:rsid w:val="7205522D"/>
    <w:rsid w:val="72247F14"/>
    <w:rsid w:val="723A4899"/>
    <w:rsid w:val="72401DE3"/>
    <w:rsid w:val="72506C47"/>
    <w:rsid w:val="72521192"/>
    <w:rsid w:val="72660F67"/>
    <w:rsid w:val="72740981"/>
    <w:rsid w:val="727E488A"/>
    <w:rsid w:val="728733AE"/>
    <w:rsid w:val="728A466C"/>
    <w:rsid w:val="729A404B"/>
    <w:rsid w:val="72B84433"/>
    <w:rsid w:val="72CB47D7"/>
    <w:rsid w:val="72D3059A"/>
    <w:rsid w:val="72FE12FE"/>
    <w:rsid w:val="73013FCC"/>
    <w:rsid w:val="7305661E"/>
    <w:rsid w:val="730967FD"/>
    <w:rsid w:val="730B40D5"/>
    <w:rsid w:val="730C18EF"/>
    <w:rsid w:val="73147453"/>
    <w:rsid w:val="732F35BA"/>
    <w:rsid w:val="73497518"/>
    <w:rsid w:val="73547991"/>
    <w:rsid w:val="736938A6"/>
    <w:rsid w:val="736B7CB7"/>
    <w:rsid w:val="737A7971"/>
    <w:rsid w:val="737A7FF3"/>
    <w:rsid w:val="73891BFD"/>
    <w:rsid w:val="738B6948"/>
    <w:rsid w:val="73904D90"/>
    <w:rsid w:val="739169F9"/>
    <w:rsid w:val="73A93B13"/>
    <w:rsid w:val="73B76D83"/>
    <w:rsid w:val="73C347BF"/>
    <w:rsid w:val="73F328B4"/>
    <w:rsid w:val="740E561C"/>
    <w:rsid w:val="74324CC1"/>
    <w:rsid w:val="7433686E"/>
    <w:rsid w:val="74375F03"/>
    <w:rsid w:val="743A39BF"/>
    <w:rsid w:val="74523D2E"/>
    <w:rsid w:val="746B439E"/>
    <w:rsid w:val="746E5CAF"/>
    <w:rsid w:val="7471367E"/>
    <w:rsid w:val="7474255D"/>
    <w:rsid w:val="747648A7"/>
    <w:rsid w:val="749E119A"/>
    <w:rsid w:val="749F7F31"/>
    <w:rsid w:val="74AE17EE"/>
    <w:rsid w:val="74BB3D0A"/>
    <w:rsid w:val="74C508AE"/>
    <w:rsid w:val="74D33EF6"/>
    <w:rsid w:val="7505631A"/>
    <w:rsid w:val="75317252"/>
    <w:rsid w:val="753D0120"/>
    <w:rsid w:val="7545306E"/>
    <w:rsid w:val="75595E31"/>
    <w:rsid w:val="75645C23"/>
    <w:rsid w:val="756F79DE"/>
    <w:rsid w:val="75887F63"/>
    <w:rsid w:val="75925EFC"/>
    <w:rsid w:val="75992D53"/>
    <w:rsid w:val="75A2439F"/>
    <w:rsid w:val="75A91967"/>
    <w:rsid w:val="75C32B15"/>
    <w:rsid w:val="75C56AEC"/>
    <w:rsid w:val="75D94171"/>
    <w:rsid w:val="75E12807"/>
    <w:rsid w:val="75EE6F1B"/>
    <w:rsid w:val="75FB22F9"/>
    <w:rsid w:val="76023178"/>
    <w:rsid w:val="760A68D4"/>
    <w:rsid w:val="7614520D"/>
    <w:rsid w:val="761A6A1B"/>
    <w:rsid w:val="763165DE"/>
    <w:rsid w:val="76346F66"/>
    <w:rsid w:val="76390822"/>
    <w:rsid w:val="764C3D78"/>
    <w:rsid w:val="76661857"/>
    <w:rsid w:val="7668647B"/>
    <w:rsid w:val="76784C8D"/>
    <w:rsid w:val="767A50C2"/>
    <w:rsid w:val="7698243C"/>
    <w:rsid w:val="769D4442"/>
    <w:rsid w:val="76AF515A"/>
    <w:rsid w:val="76B80C7F"/>
    <w:rsid w:val="76C75DB3"/>
    <w:rsid w:val="76E85855"/>
    <w:rsid w:val="76EC12E2"/>
    <w:rsid w:val="76F03075"/>
    <w:rsid w:val="76F658FD"/>
    <w:rsid w:val="76F6644C"/>
    <w:rsid w:val="77006B0F"/>
    <w:rsid w:val="772B3F12"/>
    <w:rsid w:val="772D0C87"/>
    <w:rsid w:val="773D64AD"/>
    <w:rsid w:val="774A4881"/>
    <w:rsid w:val="775A0279"/>
    <w:rsid w:val="77616EF2"/>
    <w:rsid w:val="77663478"/>
    <w:rsid w:val="777703EE"/>
    <w:rsid w:val="777E2C3B"/>
    <w:rsid w:val="777F21C3"/>
    <w:rsid w:val="77877D29"/>
    <w:rsid w:val="7789020C"/>
    <w:rsid w:val="778C3F53"/>
    <w:rsid w:val="778F32FA"/>
    <w:rsid w:val="7793320B"/>
    <w:rsid w:val="7798025B"/>
    <w:rsid w:val="77CA5641"/>
    <w:rsid w:val="77D46871"/>
    <w:rsid w:val="77D86A80"/>
    <w:rsid w:val="77DD019D"/>
    <w:rsid w:val="77F16BB1"/>
    <w:rsid w:val="77F82B38"/>
    <w:rsid w:val="780C3DBA"/>
    <w:rsid w:val="780D4DDE"/>
    <w:rsid w:val="78203AD8"/>
    <w:rsid w:val="78307537"/>
    <w:rsid w:val="783A582F"/>
    <w:rsid w:val="78484DE5"/>
    <w:rsid w:val="784F639F"/>
    <w:rsid w:val="78636907"/>
    <w:rsid w:val="78780CEE"/>
    <w:rsid w:val="78807E7F"/>
    <w:rsid w:val="788A489C"/>
    <w:rsid w:val="7899691A"/>
    <w:rsid w:val="78A37D7C"/>
    <w:rsid w:val="78C83AD2"/>
    <w:rsid w:val="78D429E5"/>
    <w:rsid w:val="790C5859"/>
    <w:rsid w:val="79255BA6"/>
    <w:rsid w:val="794037B5"/>
    <w:rsid w:val="79455F0D"/>
    <w:rsid w:val="7945643C"/>
    <w:rsid w:val="795C6137"/>
    <w:rsid w:val="795E77E1"/>
    <w:rsid w:val="79746DD5"/>
    <w:rsid w:val="79755663"/>
    <w:rsid w:val="797845D9"/>
    <w:rsid w:val="797A48CF"/>
    <w:rsid w:val="797D5665"/>
    <w:rsid w:val="798A5C60"/>
    <w:rsid w:val="79A07515"/>
    <w:rsid w:val="79A1229B"/>
    <w:rsid w:val="79EF7E4E"/>
    <w:rsid w:val="7A00729F"/>
    <w:rsid w:val="7A135A7D"/>
    <w:rsid w:val="7A1771FB"/>
    <w:rsid w:val="7A1B2D1C"/>
    <w:rsid w:val="7A2B5CC7"/>
    <w:rsid w:val="7A2E15EF"/>
    <w:rsid w:val="7A374B1F"/>
    <w:rsid w:val="7A382897"/>
    <w:rsid w:val="7A391F76"/>
    <w:rsid w:val="7A392CE7"/>
    <w:rsid w:val="7A3E2F80"/>
    <w:rsid w:val="7A7C38B0"/>
    <w:rsid w:val="7A7E1079"/>
    <w:rsid w:val="7A9861CB"/>
    <w:rsid w:val="7AAB2866"/>
    <w:rsid w:val="7AAE3E65"/>
    <w:rsid w:val="7ACA5466"/>
    <w:rsid w:val="7AD45C10"/>
    <w:rsid w:val="7AD537D1"/>
    <w:rsid w:val="7ADC5436"/>
    <w:rsid w:val="7AE3328E"/>
    <w:rsid w:val="7AE959D4"/>
    <w:rsid w:val="7B0077C8"/>
    <w:rsid w:val="7B0A6A9B"/>
    <w:rsid w:val="7B0D2818"/>
    <w:rsid w:val="7B1254BB"/>
    <w:rsid w:val="7B1306E3"/>
    <w:rsid w:val="7B2750E0"/>
    <w:rsid w:val="7B6724CC"/>
    <w:rsid w:val="7B795F0A"/>
    <w:rsid w:val="7B81556A"/>
    <w:rsid w:val="7B8301FB"/>
    <w:rsid w:val="7B8D4E9E"/>
    <w:rsid w:val="7B8E1EA6"/>
    <w:rsid w:val="7B94060C"/>
    <w:rsid w:val="7B994E29"/>
    <w:rsid w:val="7BA25C27"/>
    <w:rsid w:val="7BA73227"/>
    <w:rsid w:val="7BA838BD"/>
    <w:rsid w:val="7BB75777"/>
    <w:rsid w:val="7BC266AD"/>
    <w:rsid w:val="7BCC6F60"/>
    <w:rsid w:val="7BD307B8"/>
    <w:rsid w:val="7BD41347"/>
    <w:rsid w:val="7BD63B6E"/>
    <w:rsid w:val="7BE45584"/>
    <w:rsid w:val="7BF22378"/>
    <w:rsid w:val="7C166823"/>
    <w:rsid w:val="7C291216"/>
    <w:rsid w:val="7C2B048D"/>
    <w:rsid w:val="7C362CAE"/>
    <w:rsid w:val="7C44237D"/>
    <w:rsid w:val="7C460013"/>
    <w:rsid w:val="7C4B4317"/>
    <w:rsid w:val="7C627441"/>
    <w:rsid w:val="7C66565C"/>
    <w:rsid w:val="7C884F07"/>
    <w:rsid w:val="7C8D1BCF"/>
    <w:rsid w:val="7C8D43AB"/>
    <w:rsid w:val="7C8F1DDB"/>
    <w:rsid w:val="7C99511D"/>
    <w:rsid w:val="7C996138"/>
    <w:rsid w:val="7CB82DCD"/>
    <w:rsid w:val="7CBD31D9"/>
    <w:rsid w:val="7CE3614E"/>
    <w:rsid w:val="7CFB0787"/>
    <w:rsid w:val="7CFB2AE8"/>
    <w:rsid w:val="7CFD06A4"/>
    <w:rsid w:val="7D117314"/>
    <w:rsid w:val="7D635745"/>
    <w:rsid w:val="7D6D0647"/>
    <w:rsid w:val="7D984607"/>
    <w:rsid w:val="7DA9460F"/>
    <w:rsid w:val="7DB02E07"/>
    <w:rsid w:val="7DBC4016"/>
    <w:rsid w:val="7DC6049B"/>
    <w:rsid w:val="7DD02DBF"/>
    <w:rsid w:val="7DDF08AD"/>
    <w:rsid w:val="7DE65FBE"/>
    <w:rsid w:val="7DFD140B"/>
    <w:rsid w:val="7DFD3D7D"/>
    <w:rsid w:val="7DFF6F70"/>
    <w:rsid w:val="7E0B4334"/>
    <w:rsid w:val="7E1640FB"/>
    <w:rsid w:val="7E197B87"/>
    <w:rsid w:val="7E1D725E"/>
    <w:rsid w:val="7E232692"/>
    <w:rsid w:val="7E345DFF"/>
    <w:rsid w:val="7E3B2283"/>
    <w:rsid w:val="7E4B0118"/>
    <w:rsid w:val="7E5871FA"/>
    <w:rsid w:val="7E5B49B5"/>
    <w:rsid w:val="7E6C6EF8"/>
    <w:rsid w:val="7E7145B3"/>
    <w:rsid w:val="7E7B3986"/>
    <w:rsid w:val="7E826950"/>
    <w:rsid w:val="7E88183C"/>
    <w:rsid w:val="7E9064E4"/>
    <w:rsid w:val="7E9E2C4F"/>
    <w:rsid w:val="7E9F4D2C"/>
    <w:rsid w:val="7EA30CDC"/>
    <w:rsid w:val="7EC2387D"/>
    <w:rsid w:val="7EC30BBA"/>
    <w:rsid w:val="7ED8373F"/>
    <w:rsid w:val="7EDD57F4"/>
    <w:rsid w:val="7EE615FE"/>
    <w:rsid w:val="7EEC5C4D"/>
    <w:rsid w:val="7EED0F0A"/>
    <w:rsid w:val="7EF32DF2"/>
    <w:rsid w:val="7EF82D86"/>
    <w:rsid w:val="7EFB1E9B"/>
    <w:rsid w:val="7F096F96"/>
    <w:rsid w:val="7F182FE7"/>
    <w:rsid w:val="7F220E8A"/>
    <w:rsid w:val="7F5828CA"/>
    <w:rsid w:val="7F651FE6"/>
    <w:rsid w:val="7F7405C7"/>
    <w:rsid w:val="7F8A7F3B"/>
    <w:rsid w:val="7F8B15A9"/>
    <w:rsid w:val="7F925810"/>
    <w:rsid w:val="7FA2267A"/>
    <w:rsid w:val="7FF45605"/>
    <w:rsid w:val="7FFA2F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43"/>
    <w:qFormat/>
    <w:uiPriority w:val="0"/>
    <w:pPr>
      <w:keepNext/>
      <w:keepLines/>
      <w:spacing w:line="576" w:lineRule="auto"/>
      <w:jc w:val="center"/>
      <w:outlineLvl w:val="0"/>
    </w:pPr>
    <w:rPr>
      <w:b/>
      <w:kern w:val="44"/>
      <w:sz w:val="32"/>
      <w:szCs w:val="20"/>
    </w:rPr>
  </w:style>
  <w:style w:type="paragraph" w:styleId="3">
    <w:name w:val="heading 2"/>
    <w:basedOn w:val="1"/>
    <w:next w:val="1"/>
    <w:qFormat/>
    <w:uiPriority w:val="0"/>
    <w:pPr>
      <w:keepNext/>
      <w:keepLines/>
      <w:spacing w:line="413" w:lineRule="auto"/>
      <w:jc w:val="left"/>
      <w:outlineLvl w:val="1"/>
    </w:pPr>
    <w:rPr>
      <w:rFonts w:ascii="Arial" w:hAnsi="Arial"/>
      <w:b/>
      <w:sz w:val="28"/>
    </w:rPr>
  </w:style>
  <w:style w:type="paragraph" w:styleId="4">
    <w:name w:val="heading 3"/>
    <w:basedOn w:val="1"/>
    <w:next w:val="1"/>
    <w:qFormat/>
    <w:uiPriority w:val="0"/>
    <w:pPr>
      <w:keepNext/>
      <w:keepLines/>
      <w:spacing w:line="413" w:lineRule="auto"/>
      <w:outlineLvl w:val="2"/>
    </w:pPr>
    <w:rPr>
      <w:b/>
      <w:sz w:val="28"/>
    </w:rPr>
  </w:style>
  <w:style w:type="paragraph" w:styleId="5">
    <w:name w:val="heading 4"/>
    <w:basedOn w:val="1"/>
    <w:next w:val="1"/>
    <w:qFormat/>
    <w:uiPriority w:val="0"/>
    <w:pPr>
      <w:keepNext/>
      <w:keepLines/>
      <w:jc w:val="left"/>
      <w:outlineLvl w:val="3"/>
    </w:pPr>
    <w:rPr>
      <w:rFonts w:hint="eastAsia" w:ascii="Arial" w:hAnsi="Arial"/>
      <w:b/>
      <w:sz w:val="32"/>
    </w:rPr>
  </w:style>
  <w:style w:type="paragraph" w:styleId="6">
    <w:name w:val="heading 6"/>
    <w:basedOn w:val="1"/>
    <w:next w:val="1"/>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7">
    <w:name w:val="List Number"/>
    <w:basedOn w:val="1"/>
    <w:qFormat/>
    <w:uiPriority w:val="0"/>
    <w:pPr>
      <w:numPr>
        <w:ilvl w:val="0"/>
        <w:numId w:val="1"/>
      </w:numPr>
    </w:pPr>
  </w:style>
  <w:style w:type="paragraph" w:styleId="8">
    <w:name w:val="Normal Indent"/>
    <w:basedOn w:val="1"/>
    <w:qFormat/>
    <w:uiPriority w:val="0"/>
    <w:pPr>
      <w:ind w:firstLine="420"/>
    </w:pPr>
    <w:rPr>
      <w:szCs w:val="20"/>
    </w:rPr>
  </w:style>
  <w:style w:type="paragraph" w:styleId="9">
    <w:name w:val="Document Map"/>
    <w:basedOn w:val="1"/>
    <w:link w:val="44"/>
    <w:qFormat/>
    <w:uiPriority w:val="0"/>
    <w:rPr>
      <w:rFonts w:ascii="宋体" w:hAnsi="Calibri"/>
      <w:sz w:val="18"/>
      <w:szCs w:val="18"/>
    </w:rPr>
  </w:style>
  <w:style w:type="paragraph" w:styleId="10">
    <w:name w:val="annotation text"/>
    <w:basedOn w:val="1"/>
    <w:link w:val="45"/>
    <w:qFormat/>
    <w:uiPriority w:val="0"/>
    <w:pPr>
      <w:jc w:val="left"/>
    </w:pPr>
    <w:rPr>
      <w:rFonts w:ascii="宋体" w:hAnsi="Calibri"/>
      <w:kern w:val="0"/>
      <w:sz w:val="34"/>
    </w:rPr>
  </w:style>
  <w:style w:type="paragraph" w:styleId="11">
    <w:name w:val="Body Text"/>
    <w:basedOn w:val="1"/>
    <w:next w:val="1"/>
    <w:link w:val="42"/>
    <w:qFormat/>
    <w:uiPriority w:val="0"/>
    <w:rPr>
      <w:color w:val="993300"/>
      <w:kern w:val="0"/>
      <w:sz w:val="24"/>
      <w:szCs w:val="24"/>
    </w:rPr>
  </w:style>
  <w:style w:type="paragraph" w:styleId="12">
    <w:name w:val="Body Text Indent"/>
    <w:basedOn w:val="1"/>
    <w:qFormat/>
    <w:uiPriority w:val="0"/>
    <w:pPr>
      <w:ind w:left="420" w:leftChars="200"/>
    </w:pPr>
  </w:style>
  <w:style w:type="paragraph" w:styleId="13">
    <w:name w:val="toc 3"/>
    <w:basedOn w:val="1"/>
    <w:next w:val="1"/>
    <w:qFormat/>
    <w:uiPriority w:val="0"/>
    <w:pPr>
      <w:ind w:left="840" w:leftChars="400"/>
    </w:pPr>
  </w:style>
  <w:style w:type="paragraph" w:styleId="14">
    <w:name w:val="Plain Text"/>
    <w:basedOn w:val="1"/>
    <w:qFormat/>
    <w:uiPriority w:val="0"/>
    <w:pPr>
      <w:spacing w:line="324" w:lineRule="auto"/>
    </w:pPr>
    <w:rPr>
      <w:rFonts w:ascii="宋体" w:hAnsi="Courier New" w:cs="Courier New"/>
      <w:szCs w:val="21"/>
    </w:rPr>
  </w:style>
  <w:style w:type="paragraph" w:styleId="15">
    <w:name w:val="Date"/>
    <w:basedOn w:val="1"/>
    <w:next w:val="1"/>
    <w:qFormat/>
    <w:uiPriority w:val="0"/>
    <w:rPr>
      <w:rFonts w:ascii="Copperplate Gothic Bold" w:hAnsi="Copperplate Gothic Bold"/>
      <w:sz w:val="32"/>
      <w:szCs w:val="20"/>
    </w:rPr>
  </w:style>
  <w:style w:type="paragraph" w:styleId="16">
    <w:name w:val="Body Text Indent 2"/>
    <w:basedOn w:val="1"/>
    <w:qFormat/>
    <w:uiPriority w:val="0"/>
    <w:pPr>
      <w:spacing w:after="120" w:line="480" w:lineRule="auto"/>
      <w:ind w:left="420" w:leftChars="200"/>
    </w:pPr>
  </w:style>
  <w:style w:type="paragraph" w:styleId="17">
    <w:name w:val="Balloon Text"/>
    <w:basedOn w:val="1"/>
    <w:link w:val="46"/>
    <w:qFormat/>
    <w:uiPriority w:val="0"/>
    <w:rPr>
      <w:rFonts w:ascii="Calibri" w:hAnsi="Calibri"/>
      <w:sz w:val="18"/>
      <w:szCs w:val="18"/>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envelope return"/>
    <w:basedOn w:val="1"/>
    <w:qFormat/>
    <w:uiPriority w:val="0"/>
    <w:pPr>
      <w:snapToGrid w:val="0"/>
    </w:pPr>
    <w:rPr>
      <w:rFonts w:ascii="Arial" w:hAnsi="Arial"/>
    </w:rPr>
  </w:style>
  <w:style w:type="paragraph" w:styleId="2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0"/>
  </w:style>
  <w:style w:type="paragraph" w:styleId="22">
    <w:name w:val="toc 2"/>
    <w:basedOn w:val="1"/>
    <w:next w:val="1"/>
    <w:qFormat/>
    <w:uiPriority w:val="0"/>
    <w:pPr>
      <w:ind w:left="420" w:leftChars="200"/>
    </w:pPr>
  </w:style>
  <w:style w:type="paragraph" w:styleId="23">
    <w:name w:val="toc 9"/>
    <w:basedOn w:val="1"/>
    <w:next w:val="1"/>
    <w:qFormat/>
    <w:uiPriority w:val="0"/>
    <w:pPr>
      <w:wordWrap w:val="0"/>
      <w:ind w:left="2975"/>
    </w:pPr>
  </w:style>
  <w:style w:type="paragraph" w:styleId="24">
    <w:name w:val="Body Text 2"/>
    <w:basedOn w:val="1"/>
    <w:qFormat/>
    <w:uiPriority w:val="0"/>
    <w:pPr>
      <w:jc w:val="center"/>
    </w:pPr>
    <w:rPr>
      <w:b/>
      <w:spacing w:val="-20"/>
      <w:w w:val="130"/>
      <w:sz w:val="48"/>
      <w:szCs w:val="20"/>
    </w:rPr>
  </w:style>
  <w:style w:type="paragraph" w:styleId="25">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26">
    <w:name w:val="Title"/>
    <w:basedOn w:val="1"/>
    <w:qFormat/>
    <w:uiPriority w:val="0"/>
    <w:pPr>
      <w:jc w:val="center"/>
    </w:pPr>
    <w:rPr>
      <w:sz w:val="30"/>
      <w:szCs w:val="24"/>
    </w:rPr>
  </w:style>
  <w:style w:type="paragraph" w:styleId="27">
    <w:name w:val="annotation subject"/>
    <w:basedOn w:val="10"/>
    <w:next w:val="10"/>
    <w:link w:val="47"/>
    <w:qFormat/>
    <w:uiPriority w:val="0"/>
    <w:rPr>
      <w:rFonts w:ascii="Calibri"/>
      <w:b/>
      <w:bCs/>
      <w:kern w:val="2"/>
      <w:sz w:val="21"/>
    </w:rPr>
  </w:style>
  <w:style w:type="paragraph" w:styleId="28">
    <w:name w:val="Body Text First Indent"/>
    <w:basedOn w:val="11"/>
    <w:link w:val="92"/>
    <w:qFormat/>
    <w:uiPriority w:val="0"/>
    <w:rPr>
      <w:rFonts w:hAnsi="宋体"/>
      <w:sz w:val="18"/>
      <w:szCs w:val="18"/>
    </w:rPr>
  </w:style>
  <w:style w:type="paragraph" w:styleId="29">
    <w:name w:val="Body Text First Indent 2"/>
    <w:basedOn w:val="12"/>
    <w:next w:val="1"/>
    <w:unhideWhenUsed/>
    <w:qFormat/>
    <w:uiPriority w:val="0"/>
    <w:pPr>
      <w:ind w:firstLine="420" w:firstLineChars="200"/>
    </w:pPr>
    <w:rPr>
      <w:szCs w:val="20"/>
    </w:rPr>
  </w:style>
  <w:style w:type="table" w:styleId="31">
    <w:name w:val="Table Grid"/>
    <w:basedOn w:val="30"/>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qFormat/>
    <w:uiPriority w:val="0"/>
    <w:rPr>
      <w:b/>
      <w:sz w:val="24"/>
      <w:szCs w:val="24"/>
    </w:rPr>
  </w:style>
  <w:style w:type="character" w:styleId="34">
    <w:name w:val="page number"/>
    <w:qFormat/>
    <w:uiPriority w:val="0"/>
  </w:style>
  <w:style w:type="character" w:styleId="35">
    <w:name w:val="FollowedHyperlink"/>
    <w:qFormat/>
    <w:uiPriority w:val="0"/>
    <w:rPr>
      <w:rFonts w:hint="eastAsia" w:ascii="宋体" w:hAnsi="宋体" w:eastAsia="宋体" w:cs="宋体"/>
      <w:color w:val="000000"/>
      <w:sz w:val="18"/>
      <w:szCs w:val="18"/>
      <w:u w:val="none"/>
    </w:rPr>
  </w:style>
  <w:style w:type="character" w:styleId="36">
    <w:name w:val="Emphasis"/>
    <w:qFormat/>
    <w:uiPriority w:val="0"/>
    <w:rPr>
      <w:i/>
      <w:iCs/>
    </w:rPr>
  </w:style>
  <w:style w:type="character" w:styleId="37">
    <w:name w:val="Hyperlink"/>
    <w:qFormat/>
    <w:uiPriority w:val="0"/>
    <w:rPr>
      <w:color w:val="0000FF"/>
      <w:u w:val="single"/>
    </w:rPr>
  </w:style>
  <w:style w:type="character" w:styleId="38">
    <w:name w:val="annotation reference"/>
    <w:qFormat/>
    <w:uiPriority w:val="99"/>
    <w:rPr>
      <w:sz w:val="21"/>
      <w:szCs w:val="21"/>
    </w:rPr>
  </w:style>
  <w:style w:type="character" w:styleId="39">
    <w:name w:val="HTML Cite"/>
    <w:qFormat/>
    <w:uiPriority w:val="0"/>
    <w:rPr>
      <w:sz w:val="24"/>
      <w:szCs w:val="24"/>
    </w:rPr>
  </w:style>
  <w:style w:type="paragraph" w:customStyle="1" w:styleId="40">
    <w:name w:val="Default"/>
    <w:next w:val="41"/>
    <w:qFormat/>
    <w:uiPriority w:val="0"/>
    <w:pPr>
      <w:widowControl w:val="0"/>
      <w:autoSpaceDE w:val="0"/>
      <w:autoSpaceDN w:val="0"/>
      <w:adjustRightInd w:val="0"/>
    </w:pPr>
    <w:rPr>
      <w:rFonts w:ascii="华文仿宋" w:hAnsi="华文仿宋" w:eastAsia="宋体" w:cs="华文仿宋"/>
      <w:color w:val="000000"/>
      <w:sz w:val="24"/>
      <w:szCs w:val="24"/>
      <w:lang w:val="en-US" w:eastAsia="zh-CN" w:bidi="ar-SA"/>
    </w:rPr>
  </w:style>
  <w:style w:type="paragraph" w:customStyle="1" w:styleId="41">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42">
    <w:name w:val="正文文本 字符"/>
    <w:link w:val="11"/>
    <w:qFormat/>
    <w:uiPriority w:val="0"/>
    <w:rPr>
      <w:rFonts w:hint="default" w:ascii="Times New Roman" w:hAnsi="Times New Roman" w:eastAsia="宋体" w:cs="Times New Roman"/>
      <w:color w:val="993300"/>
      <w:sz w:val="24"/>
      <w:szCs w:val="24"/>
    </w:rPr>
  </w:style>
  <w:style w:type="character" w:customStyle="1" w:styleId="43">
    <w:name w:val="标题 1 字符"/>
    <w:link w:val="2"/>
    <w:qFormat/>
    <w:uiPriority w:val="9"/>
    <w:rPr>
      <w:rFonts w:ascii="Times New Roman" w:hAnsi="Times New Roman" w:eastAsia="宋体"/>
      <w:b/>
      <w:kern w:val="44"/>
      <w:sz w:val="32"/>
    </w:rPr>
  </w:style>
  <w:style w:type="character" w:customStyle="1" w:styleId="44">
    <w:name w:val="文档结构图 字符"/>
    <w:link w:val="9"/>
    <w:qFormat/>
    <w:uiPriority w:val="0"/>
    <w:rPr>
      <w:rFonts w:ascii="宋体" w:hAnsi="Calibri" w:cs="Times New Roman"/>
      <w:kern w:val="2"/>
      <w:sz w:val="18"/>
      <w:szCs w:val="18"/>
    </w:rPr>
  </w:style>
  <w:style w:type="character" w:customStyle="1" w:styleId="45">
    <w:name w:val="批注文字 字符"/>
    <w:link w:val="10"/>
    <w:qFormat/>
    <w:uiPriority w:val="99"/>
    <w:rPr>
      <w:rFonts w:ascii="宋体" w:hAnsi="Calibri" w:eastAsia="宋体" w:cs="Times New Roman"/>
      <w:sz w:val="34"/>
      <w:szCs w:val="22"/>
    </w:rPr>
  </w:style>
  <w:style w:type="character" w:customStyle="1" w:styleId="46">
    <w:name w:val="批注框文本 字符"/>
    <w:link w:val="17"/>
    <w:qFormat/>
    <w:uiPriority w:val="0"/>
    <w:rPr>
      <w:rFonts w:ascii="Calibri" w:hAnsi="Calibri" w:eastAsia="宋体" w:cs="Times New Roman"/>
      <w:kern w:val="2"/>
      <w:sz w:val="18"/>
      <w:szCs w:val="18"/>
    </w:rPr>
  </w:style>
  <w:style w:type="character" w:customStyle="1" w:styleId="47">
    <w:name w:val="批注主题 字符"/>
    <w:link w:val="27"/>
    <w:qFormat/>
    <w:uiPriority w:val="0"/>
    <w:rPr>
      <w:rFonts w:ascii="Calibri" w:hAnsi="Calibri" w:eastAsia="宋体" w:cs="Times New Roman"/>
      <w:b/>
      <w:bCs/>
      <w:kern w:val="2"/>
      <w:sz w:val="21"/>
      <w:szCs w:val="22"/>
    </w:rPr>
  </w:style>
  <w:style w:type="character" w:customStyle="1" w:styleId="48">
    <w:name w:val="font11"/>
    <w:qFormat/>
    <w:uiPriority w:val="0"/>
    <w:rPr>
      <w:rFonts w:hint="eastAsia" w:ascii="宋体" w:hAnsi="宋体" w:eastAsia="宋体" w:cs="宋体"/>
      <w:color w:val="000000"/>
      <w:sz w:val="22"/>
      <w:szCs w:val="22"/>
      <w:u w:val="none"/>
    </w:rPr>
  </w:style>
  <w:style w:type="character" w:customStyle="1" w:styleId="49">
    <w:name w:val="15"/>
    <w:qFormat/>
    <w:uiPriority w:val="0"/>
    <w:rPr>
      <w:rFonts w:hint="default" w:ascii="Calibri" w:hAnsi="Calibri"/>
      <w:i/>
      <w:iCs/>
    </w:rPr>
  </w:style>
  <w:style w:type="character" w:customStyle="1" w:styleId="50">
    <w:name w:val="font01"/>
    <w:qFormat/>
    <w:uiPriority w:val="0"/>
    <w:rPr>
      <w:rFonts w:hint="eastAsia" w:ascii="宋体" w:hAnsi="宋体" w:eastAsia="宋体" w:cs="宋体"/>
      <w:b/>
      <w:color w:val="000000"/>
      <w:sz w:val="24"/>
      <w:szCs w:val="24"/>
      <w:u w:val="none"/>
    </w:rPr>
  </w:style>
  <w:style w:type="character" w:customStyle="1" w:styleId="51">
    <w:name w:val="del2"/>
    <w:qFormat/>
    <w:uiPriority w:val="0"/>
    <w:rPr>
      <w:vanish/>
    </w:rPr>
  </w:style>
  <w:style w:type="character" w:customStyle="1" w:styleId="52">
    <w:name w:val="apple-style-span"/>
    <w:qFormat/>
    <w:uiPriority w:val="0"/>
  </w:style>
  <w:style w:type="character" w:customStyle="1" w:styleId="53">
    <w:name w:val="del3"/>
    <w:qFormat/>
    <w:uiPriority w:val="0"/>
    <w:rPr>
      <w:vanish/>
    </w:rPr>
  </w:style>
  <w:style w:type="character" w:customStyle="1" w:styleId="54">
    <w:name w:val="font61"/>
    <w:qFormat/>
    <w:uiPriority w:val="0"/>
    <w:rPr>
      <w:rFonts w:hint="default" w:ascii="Tahoma" w:hAnsi="Tahoma" w:eastAsia="Tahoma" w:cs="Tahoma"/>
      <w:color w:val="000000"/>
      <w:sz w:val="22"/>
      <w:szCs w:val="22"/>
      <w:u w:val="none"/>
    </w:rPr>
  </w:style>
  <w:style w:type="character" w:customStyle="1" w:styleId="55">
    <w:name w:val="del"/>
    <w:qFormat/>
    <w:uiPriority w:val="0"/>
  </w:style>
  <w:style w:type="character" w:customStyle="1" w:styleId="56">
    <w:name w:val="10"/>
    <w:qFormat/>
    <w:uiPriority w:val="0"/>
    <w:rPr>
      <w:rFonts w:hint="default" w:ascii="Calibri" w:hAnsi="Calibri"/>
    </w:rPr>
  </w:style>
  <w:style w:type="character" w:customStyle="1" w:styleId="57">
    <w:name w:val="del1"/>
    <w:qFormat/>
    <w:uiPriority w:val="0"/>
    <w:rPr>
      <w:vanish/>
      <w:color w:val="666666"/>
      <w:sz w:val="18"/>
      <w:szCs w:val="18"/>
      <w:u w:val="single"/>
    </w:rPr>
  </w:style>
  <w:style w:type="paragraph" w:customStyle="1" w:styleId="58">
    <w:name w:val="样式 宋体 小四 首行缩进:  0.93 厘米 段前: 11.15 磅 段后: 11.15 磅1"/>
    <w:basedOn w:val="1"/>
    <w:qFormat/>
    <w:uiPriority w:val="0"/>
    <w:pPr>
      <w:ind w:left="200"/>
    </w:pPr>
    <w:rPr>
      <w:rFonts w:hint="eastAsia" w:ascii="宋体" w:hAnsi="宋体"/>
      <w:color w:val="000000"/>
      <w:kern w:val="1"/>
      <w:sz w:val="24"/>
      <w:szCs w:val="20"/>
    </w:rPr>
  </w:style>
  <w:style w:type="paragraph" w:customStyle="1" w:styleId="59">
    <w:name w:val="列出段落3"/>
    <w:basedOn w:val="1"/>
    <w:qFormat/>
    <w:uiPriority w:val="0"/>
    <w:pPr>
      <w:ind w:firstLine="420" w:firstLineChars="200"/>
    </w:pPr>
    <w:rPr>
      <w:rFonts w:ascii="宋体"/>
      <w:sz w:val="28"/>
    </w:rPr>
  </w:style>
  <w:style w:type="paragraph" w:customStyle="1" w:styleId="60">
    <w:name w:val="无间隔1"/>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61">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62">
    <w:name w:val="表格样式 2"/>
    <w:qFormat/>
    <w:uiPriority w:val="0"/>
    <w:rPr>
      <w:rFonts w:ascii="Helvetica Neue" w:hAnsi="Helvetica Neue" w:eastAsia="Helvetica Neue" w:cs="Helvetica Neue"/>
      <w:color w:val="000000"/>
      <w:lang w:val="en-US" w:eastAsia="zh-CN" w:bidi="ar-SA"/>
    </w:rPr>
  </w:style>
  <w:style w:type="paragraph" w:customStyle="1" w:styleId="63">
    <w:name w:val="TableHeader"/>
    <w:qFormat/>
    <w:uiPriority w:val="1"/>
    <w:pPr>
      <w:spacing w:before="40" w:after="40"/>
      <w:jc w:val="center"/>
    </w:pPr>
    <w:rPr>
      <w:rFonts w:ascii="Arial" w:hAnsi="Arial" w:eastAsia="宋体" w:cs="Times New Roman"/>
      <w:b/>
      <w:bCs/>
      <w:kern w:val="44"/>
      <w:sz w:val="18"/>
      <w:szCs w:val="44"/>
      <w:lang w:val="en-US" w:eastAsia="zh-CN" w:bidi="ar-SA"/>
    </w:rPr>
  </w:style>
  <w:style w:type="paragraph" w:customStyle="1" w:styleId="64">
    <w:name w:val="页眉与页脚"/>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65">
    <w:name w:val="正文框"/>
    <w:basedOn w:val="1"/>
    <w:qFormat/>
    <w:uiPriority w:val="0"/>
    <w:pPr>
      <w:widowControl/>
      <w:adjustRightInd w:val="0"/>
      <w:spacing w:line="312" w:lineRule="atLeast"/>
      <w:jc w:val="left"/>
      <w:textAlignment w:val="baseline"/>
    </w:pPr>
    <w:rPr>
      <w:sz w:val="24"/>
    </w:rPr>
  </w:style>
  <w:style w:type="paragraph" w:customStyle="1" w:styleId="66">
    <w:name w:val="列表段落1"/>
    <w:basedOn w:val="1"/>
    <w:qFormat/>
    <w:uiPriority w:val="99"/>
    <w:pPr>
      <w:ind w:firstLine="420" w:firstLineChars="200"/>
    </w:pPr>
  </w:style>
  <w:style w:type="paragraph" w:customStyle="1" w:styleId="67">
    <w:name w:val="列出段落1"/>
    <w:basedOn w:val="1"/>
    <w:qFormat/>
    <w:uiPriority w:val="99"/>
    <w:pPr>
      <w:ind w:firstLine="420" w:firstLineChars="200"/>
    </w:pPr>
  </w:style>
  <w:style w:type="paragraph" w:customStyle="1" w:styleId="68">
    <w:name w:val="列出段落6"/>
    <w:basedOn w:val="1"/>
    <w:qFormat/>
    <w:uiPriority w:val="34"/>
    <w:pPr>
      <w:widowControl/>
      <w:spacing w:after="200" w:line="276" w:lineRule="auto"/>
      <w:ind w:left="720"/>
      <w:contextualSpacing/>
      <w:jc w:val="left"/>
    </w:pPr>
    <w:rPr>
      <w:kern w:val="0"/>
      <w:sz w:val="22"/>
    </w:rPr>
  </w:style>
  <w:style w:type="paragraph" w:customStyle="1" w:styleId="69">
    <w:name w:val="表格样式 1"/>
    <w:qFormat/>
    <w:uiPriority w:val="0"/>
    <w:rPr>
      <w:rFonts w:ascii="Helvetica Neue" w:hAnsi="Helvetica Neue" w:eastAsia="Helvetica Neue" w:cs="Helvetica Neue"/>
      <w:b/>
      <w:bCs/>
      <w:color w:val="000000"/>
      <w:lang w:val="en-US" w:eastAsia="zh-CN" w:bidi="ar-SA"/>
    </w:rPr>
  </w:style>
  <w:style w:type="paragraph" w:customStyle="1" w:styleId="70">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1">
    <w:name w:val="Char"/>
    <w:basedOn w:val="1"/>
    <w:qFormat/>
    <w:uiPriority w:val="0"/>
    <w:pPr>
      <w:jc w:val="left"/>
    </w:pPr>
    <w:rPr>
      <w:rFonts w:ascii="Tahoma" w:hAnsi="Tahoma"/>
      <w:sz w:val="24"/>
      <w:szCs w:val="20"/>
    </w:rPr>
  </w:style>
  <w:style w:type="paragraph" w:customStyle="1" w:styleId="72">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73">
    <w:name w:val="列出段落2"/>
    <w:basedOn w:val="1"/>
    <w:qFormat/>
    <w:uiPriority w:val="0"/>
    <w:pPr>
      <w:ind w:firstLine="420" w:firstLineChars="200"/>
    </w:pPr>
    <w:rPr>
      <w:rFonts w:ascii="宋体"/>
      <w:sz w:val="28"/>
    </w:rPr>
  </w:style>
  <w:style w:type="paragraph" w:customStyle="1" w:styleId="74">
    <w:name w:val="默认"/>
    <w:qFormat/>
    <w:uiPriority w:val="0"/>
    <w:rPr>
      <w:rFonts w:hint="eastAsia" w:ascii="Arial Unicode MS" w:hAnsi="Arial Unicode MS" w:eastAsia="Helvetica Neue" w:cs="Arial Unicode MS"/>
      <w:color w:val="000000"/>
      <w:sz w:val="22"/>
      <w:szCs w:val="22"/>
      <w:lang w:val="zh-CN" w:eastAsia="zh-CN" w:bidi="ar-SA"/>
    </w:rPr>
  </w:style>
  <w:style w:type="paragraph" w:customStyle="1" w:styleId="75">
    <w:name w:val="普通(网站)1"/>
    <w:basedOn w:val="1"/>
    <w:qFormat/>
    <w:uiPriority w:val="0"/>
    <w:pPr>
      <w:widowControl/>
      <w:spacing w:before="100" w:beforeAutospacing="1" w:after="100" w:afterAutospacing="1" w:line="360" w:lineRule="auto"/>
      <w:ind w:firstLine="200" w:firstLineChars="200"/>
      <w:jc w:val="left"/>
    </w:pPr>
    <w:rPr>
      <w:rFonts w:ascii="宋体"/>
      <w:kern w:val="0"/>
      <w:sz w:val="24"/>
      <w:szCs w:val="20"/>
    </w:rPr>
  </w:style>
  <w:style w:type="paragraph" w:customStyle="1" w:styleId="76">
    <w:name w:val="小标题"/>
    <w:next w:val="1"/>
    <w:qFormat/>
    <w:uiPriority w:val="0"/>
    <w:pPr>
      <w:keepNext/>
      <w:outlineLvl w:val="0"/>
    </w:pPr>
    <w:rPr>
      <w:rFonts w:ascii="Helvetica Neue" w:hAnsi="Helvetica Neue" w:eastAsia="Helvetica Neue" w:cs="Helvetica Neue"/>
      <w:b/>
      <w:bCs/>
      <w:color w:val="000000"/>
      <w:sz w:val="36"/>
      <w:szCs w:val="36"/>
      <w:lang w:val="en-US" w:eastAsia="zh-CN" w:bidi="ar-SA"/>
    </w:rPr>
  </w:style>
  <w:style w:type="paragraph" w:customStyle="1" w:styleId="77">
    <w:name w:val="list number ＋left spaceing"/>
    <w:basedOn w:val="7"/>
    <w:qFormat/>
    <w:uiPriority w:val="0"/>
    <w:pPr>
      <w:widowControl/>
      <w:tabs>
        <w:tab w:val="left" w:pos="839"/>
      </w:tabs>
      <w:ind w:left="0" w:firstLine="0"/>
      <w:jc w:val="left"/>
    </w:pPr>
    <w:rPr>
      <w:kern w:val="0"/>
    </w:rPr>
  </w:style>
  <w:style w:type="paragraph" w:customStyle="1" w:styleId="78">
    <w:name w:val="列出段落4"/>
    <w:basedOn w:val="1"/>
    <w:qFormat/>
    <w:uiPriority w:val="34"/>
    <w:pPr>
      <w:ind w:firstLine="420" w:firstLineChars="200"/>
    </w:pPr>
  </w:style>
  <w:style w:type="paragraph" w:customStyle="1" w:styleId="79">
    <w:name w:val="Char2 Char Char Char"/>
    <w:basedOn w:val="1"/>
    <w:qFormat/>
    <w:uiPriority w:val="0"/>
    <w:rPr>
      <w:rFonts w:ascii="Tahoma" w:hAnsi="Tahoma"/>
      <w:sz w:val="24"/>
      <w:szCs w:val="20"/>
    </w:rPr>
  </w:style>
  <w:style w:type="paragraph" w:customStyle="1" w:styleId="80">
    <w:name w:val="列出段落61"/>
    <w:basedOn w:val="1"/>
    <w:qFormat/>
    <w:uiPriority w:val="34"/>
    <w:pPr>
      <w:widowControl/>
      <w:spacing w:after="200" w:line="276" w:lineRule="auto"/>
      <w:ind w:left="720"/>
      <w:contextualSpacing/>
      <w:jc w:val="left"/>
    </w:pPr>
    <w:rPr>
      <w:kern w:val="0"/>
      <w:sz w:val="22"/>
    </w:rPr>
  </w:style>
  <w:style w:type="paragraph" w:customStyle="1" w:styleId="81">
    <w:name w:val="表格内文字"/>
    <w:basedOn w:val="1"/>
    <w:qFormat/>
    <w:uiPriority w:val="0"/>
    <w:pPr>
      <w:keepLines/>
      <w:widowControl/>
      <w:spacing w:before="40" w:after="40"/>
    </w:pPr>
    <w:rPr>
      <w:rFonts w:ascii="Arial" w:hAnsi="Arial" w:cs="宋体"/>
      <w:color w:val="008ED3"/>
      <w:kern w:val="0"/>
      <w:sz w:val="18"/>
      <w:szCs w:val="18"/>
    </w:rPr>
  </w:style>
  <w:style w:type="paragraph" w:customStyle="1" w:styleId="82">
    <w:name w:val="_Style 2"/>
    <w:basedOn w:val="1"/>
    <w:qFormat/>
    <w:uiPriority w:val="34"/>
    <w:pPr>
      <w:ind w:firstLine="420" w:firstLineChars="200"/>
    </w:pPr>
  </w:style>
  <w:style w:type="paragraph" w:customStyle="1" w:styleId="83">
    <w:name w:val="列出段落111"/>
    <w:basedOn w:val="1"/>
    <w:unhideWhenUsed/>
    <w:qFormat/>
    <w:uiPriority w:val="0"/>
    <w:pPr>
      <w:ind w:firstLine="420" w:firstLineChars="200"/>
    </w:pPr>
  </w:style>
  <w:style w:type="paragraph" w:customStyle="1" w:styleId="84">
    <w:name w:val="列出段落11"/>
    <w:basedOn w:val="1"/>
    <w:qFormat/>
    <w:uiPriority w:val="99"/>
    <w:pPr>
      <w:ind w:firstLine="420" w:firstLineChars="200"/>
    </w:pPr>
  </w:style>
  <w:style w:type="paragraph" w:customStyle="1" w:styleId="85">
    <w:name w:val="No Spacing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86">
    <w:name w:val="Body text|21"/>
    <w:basedOn w:val="1"/>
    <w:qFormat/>
    <w:uiPriority w:val="0"/>
    <w:pPr>
      <w:shd w:val="clear" w:color="auto" w:fill="FFFFFF"/>
      <w:spacing w:before="240" w:after="340" w:line="200" w:lineRule="exact"/>
      <w:ind w:hanging="480"/>
      <w:jc w:val="left"/>
    </w:pPr>
    <w:rPr>
      <w:rFonts w:ascii="PMingLiU" w:hAnsi="PMingLiU" w:eastAsia="PMingLiU" w:cs="PMingLiU"/>
      <w:spacing w:val="10"/>
      <w:kern w:val="0"/>
      <w:sz w:val="20"/>
      <w:szCs w:val="20"/>
    </w:rPr>
  </w:style>
  <w:style w:type="paragraph" w:customStyle="1" w:styleId="87">
    <w:name w:val="列出段落5"/>
    <w:basedOn w:val="1"/>
    <w:unhideWhenUsed/>
    <w:qFormat/>
    <w:uiPriority w:val="99"/>
    <w:pPr>
      <w:ind w:firstLine="420" w:firstLineChars="200"/>
    </w:pPr>
  </w:style>
  <w:style w:type="table" w:customStyle="1" w:styleId="88">
    <w:name w:val="Table Normal"/>
    <w:qFormat/>
    <w:uiPriority w:val="0"/>
    <w:tblPr>
      <w:tblCellMar>
        <w:top w:w="0" w:type="dxa"/>
        <w:left w:w="0" w:type="dxa"/>
        <w:bottom w:w="0" w:type="dxa"/>
        <w:right w:w="0" w:type="dxa"/>
      </w:tblCellMar>
    </w:tblPr>
  </w:style>
  <w:style w:type="paragraph" w:customStyle="1" w:styleId="89">
    <w:name w:val="Table Paragraph"/>
    <w:basedOn w:val="1"/>
    <w:qFormat/>
    <w:uiPriority w:val="0"/>
    <w:pPr>
      <w:autoSpaceDE w:val="0"/>
      <w:autoSpaceDN w:val="0"/>
      <w:jc w:val="left"/>
    </w:pPr>
    <w:rPr>
      <w:rFonts w:hint="eastAsia" w:ascii="宋体" w:hAnsi="宋体"/>
      <w:kern w:val="0"/>
      <w:sz w:val="22"/>
    </w:rPr>
  </w:style>
  <w:style w:type="character" w:customStyle="1" w:styleId="90">
    <w:name w:val="font21"/>
    <w:qFormat/>
    <w:uiPriority w:val="0"/>
    <w:rPr>
      <w:rFonts w:hint="eastAsia" w:ascii="宋体" w:hAnsi="宋体" w:eastAsia="宋体" w:cs="宋体"/>
      <w:color w:val="000000"/>
      <w:sz w:val="21"/>
      <w:szCs w:val="21"/>
      <w:u w:val="none"/>
    </w:rPr>
  </w:style>
  <w:style w:type="paragraph" w:customStyle="1" w:styleId="91">
    <w:name w:val="修订1"/>
    <w:hidden/>
    <w:semiHidden/>
    <w:qFormat/>
    <w:uiPriority w:val="99"/>
    <w:rPr>
      <w:rFonts w:ascii="Times New Roman" w:hAnsi="Times New Roman" w:eastAsia="宋体" w:cs="Times New Roman"/>
      <w:kern w:val="2"/>
      <w:sz w:val="21"/>
      <w:szCs w:val="22"/>
      <w:lang w:val="en-US" w:eastAsia="zh-CN" w:bidi="ar-SA"/>
    </w:rPr>
  </w:style>
  <w:style w:type="character" w:customStyle="1" w:styleId="92">
    <w:name w:val="正文首行缩进 字符"/>
    <w:link w:val="28"/>
    <w:qFormat/>
    <w:uiPriority w:val="0"/>
    <w:rPr>
      <w:rFonts w:hAnsi="宋体"/>
      <w:sz w:val="18"/>
      <w:szCs w:val="18"/>
    </w:rPr>
  </w:style>
  <w:style w:type="paragraph" w:customStyle="1" w:styleId="93">
    <w:name w:val="WPSOffice手动目录 1"/>
    <w:qFormat/>
    <w:uiPriority w:val="0"/>
    <w:rPr>
      <w:rFonts w:ascii="Times New Roman" w:hAnsi="Times New Roman" w:eastAsia="宋体" w:cs="Times New Roman"/>
      <w:lang w:val="en-US" w:eastAsia="zh-CN" w:bidi="ar-SA"/>
    </w:rPr>
  </w:style>
  <w:style w:type="paragraph" w:customStyle="1" w:styleId="94">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95">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96">
    <w:name w:val="正文 New New New New"/>
    <w:qFormat/>
    <w:uiPriority w:val="99"/>
    <w:pPr>
      <w:widowControl w:val="0"/>
      <w:jc w:val="both"/>
    </w:pPr>
    <w:rPr>
      <w:rFonts w:ascii="Times New Roman" w:hAnsi="Times New Roman" w:eastAsia="宋体" w:cs="Times New Roman"/>
      <w:szCs w:val="24"/>
      <w:lang w:val="en-US" w:eastAsia="zh-CN" w:bidi="ar-SA"/>
    </w:rPr>
  </w:style>
  <w:style w:type="paragraph" w:customStyle="1" w:styleId="97">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character" w:customStyle="1" w:styleId="98">
    <w:name w:val="font71"/>
    <w:basedOn w:val="32"/>
    <w:qFormat/>
    <w:uiPriority w:val="0"/>
    <w:rPr>
      <w:rFonts w:ascii="Arial" w:hAnsi="Arial" w:cs="Arial"/>
      <w:color w:val="000000"/>
      <w:sz w:val="21"/>
      <w:szCs w:val="21"/>
      <w:u w:val="none"/>
    </w:rPr>
  </w:style>
  <w:style w:type="paragraph" w:customStyle="1" w:styleId="99">
    <w:name w:val="null3"/>
    <w:hidden/>
    <w:qFormat/>
    <w:uiPriority w:val="0"/>
    <w:rPr>
      <w:rFonts w:hint="eastAsia" w:asciiTheme="minorHAnsi" w:hAnsiTheme="minorHAnsi" w:eastAsiaTheme="minorEastAsia" w:cstheme="minorBidi"/>
      <w:lang w:val="en-US" w:eastAsia="zh-Hans"/>
    </w:rPr>
  </w:style>
  <w:style w:type="paragraph" w:customStyle="1" w:styleId="100">
    <w:name w:val="纯文本1"/>
    <w:basedOn w:val="1"/>
    <w:qFormat/>
    <w:uiPriority w:val="0"/>
    <w:pPr>
      <w:spacing w:line="324" w:lineRule="auto"/>
    </w:pPr>
    <w:rPr>
      <w:rFonts w:ascii="宋体" w:hAnsi="宋体" w:cs="Courier New"/>
      <w:kern w:val="0"/>
      <w:szCs w:val="21"/>
    </w:rPr>
  </w:style>
  <w:style w:type="paragraph" w:customStyle="1" w:styleId="101">
    <w:name w:val="附录标题"/>
    <w:next w:val="1"/>
    <w:qFormat/>
    <w:uiPriority w:val="0"/>
    <w:pPr>
      <w:keepNext w:val="0"/>
      <w:keepLines w:val="0"/>
      <w:widowControl w:val="0"/>
      <w:spacing w:before="240" w:after="120" w:line="360" w:lineRule="auto"/>
      <w:jc w:val="left"/>
      <w:outlineLvl w:val="0"/>
    </w:pPr>
    <w:rPr>
      <w:rFonts w:ascii="Times New Roman" w:hAnsi="Times New Roman" w:eastAsia="宋体" w:cs="Times New Roman"/>
      <w:b/>
      <w:sz w:val="24"/>
    </w:rPr>
  </w:style>
  <w:style w:type="paragraph" w:customStyle="1" w:styleId="102">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image" Target="media/image3.png"/><Relationship Id="rId27" Type="http://schemas.openxmlformats.org/officeDocument/2006/relationships/image" Target="media/image2.jpeg"/><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footer" Target="footer13.xml"/><Relationship Id="rId23" Type="http://schemas.openxmlformats.org/officeDocument/2006/relationships/header" Target="header9.xml"/><Relationship Id="rId22" Type="http://schemas.openxmlformats.org/officeDocument/2006/relationships/footer" Target="footer12.xml"/><Relationship Id="rId21" Type="http://schemas.openxmlformats.org/officeDocument/2006/relationships/header" Target="header8.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header" Target="header6.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http://www.windows89.com</Company>
  <Pages>117</Pages>
  <Words>10397</Words>
  <Characters>61715</Characters>
  <Lines>277</Lines>
  <Paragraphs>78</Paragraphs>
  <TotalTime>0</TotalTime>
  <ScaleCrop>false</ScaleCrop>
  <LinksUpToDate>false</LinksUpToDate>
  <CharactersWithSpaces>71616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2024-04-30T09:00:00Z</dcterms:created>
  <dc:creator>Administrator</dc:creator>
  <cp:lastModifiedBy>趁早</cp:lastModifiedBy>
  <cp:lastPrinted>2022-07-18T10:10:00Z</cp:lastPrinted>
  <dcterms:modified xsi:type="dcterms:W3CDTF">2026-07-22T03:30:00Z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E5204992B26A4CBDA0DA2CF97A0DDF6E_13</vt:lpwstr>
  </property>
  <property fmtid="{D5CDD505-2E9C-101B-9397-08002B2CF9AE}" pid="4" name="KSOTemplateDocerSaveRecord">
    <vt:lpwstr>eyJoZGlkIjoiZGE3NGIyMjdiOTUyMzM5NDlmZDE3ZTcwNGFkOTdiYzAiLCJ1c2VySWQiOiIyNDE1Nzk0OTUifQ==</vt:lpwstr>
  </property>
</Properties>
</file>