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B830EC">
      <w:pPr>
        <w:adjustRightInd w:val="0"/>
        <w:snapToGrid w:val="0"/>
        <w:spacing w:line="360" w:lineRule="auto"/>
        <w:ind w:firstLine="565" w:firstLineChars="202"/>
        <w:jc w:val="center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学生宿舍壁柜翻新改造工程施工合同</w:t>
      </w:r>
    </w:p>
    <w:p w14:paraId="0705C005">
      <w:pPr>
        <w:adjustRightInd w:val="0"/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Style w:val="4"/>
          <w:rFonts w:ascii="仿宋" w:hAnsi="仿宋" w:eastAsia="仿宋" w:cs="Segoe UI"/>
          <w:b w:val="0"/>
          <w:bCs w:val="0"/>
          <w:color w:val="0F1115"/>
          <w:sz w:val="28"/>
          <w:szCs w:val="28"/>
        </w:rPr>
        <w:t>甲方（发包方）：</w:t>
      </w: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ascii="仿宋" w:hAnsi="仿宋" w:eastAsia="仿宋"/>
          <w:sz w:val="28"/>
          <w:szCs w:val="28"/>
        </w:rPr>
        <w:t>西安石油大学</w:t>
      </w:r>
    </w:p>
    <w:p w14:paraId="333991EC">
      <w:pPr>
        <w:adjustRightInd w:val="0"/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Style w:val="4"/>
          <w:rFonts w:ascii="仿宋" w:hAnsi="仿宋" w:eastAsia="仿宋" w:cs="Segoe UI"/>
          <w:b w:val="0"/>
          <w:bCs w:val="0"/>
          <w:color w:val="0F1115"/>
          <w:sz w:val="28"/>
          <w:szCs w:val="28"/>
        </w:rPr>
        <w:t>乙方（承包方）：</w:t>
      </w: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ascii="仿宋" w:hAnsi="仿宋" w:eastAsia="仿宋"/>
          <w:sz w:val="28"/>
          <w:szCs w:val="28"/>
        </w:rPr>
        <w:t>________</w:t>
      </w:r>
    </w:p>
    <w:p w14:paraId="429FC973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依照《中华人民共和国民法典》及相关法律法规，甲乙双方就</w:t>
      </w:r>
      <w:r>
        <w:rPr>
          <w:rStyle w:val="4"/>
          <w:rFonts w:ascii="仿宋" w:hAnsi="仿宋" w:eastAsia="仿宋" w:cs="Segoe UI"/>
          <w:b w:val="0"/>
          <w:bCs w:val="0"/>
          <w:color w:val="0F1115"/>
          <w:sz w:val="28"/>
          <w:szCs w:val="28"/>
        </w:rPr>
        <w:t>2号、3号学生公寓壁柜翻新改造工程</w:t>
      </w:r>
      <w:r>
        <w:rPr>
          <w:rFonts w:ascii="仿宋" w:hAnsi="仿宋" w:eastAsia="仿宋"/>
          <w:sz w:val="28"/>
          <w:szCs w:val="28"/>
        </w:rPr>
        <w:t>，经协商一致，签订本合同。</w:t>
      </w:r>
    </w:p>
    <w:p w14:paraId="07001BE5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一、工程概况</w:t>
      </w:r>
    </w:p>
    <w:p w14:paraId="2A3ACEE0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Style w:val="4"/>
          <w:rFonts w:ascii="仿宋" w:hAnsi="仿宋" w:eastAsia="仿宋" w:cs="Segoe UI"/>
          <w:b w:val="0"/>
          <w:bCs w:val="0"/>
          <w:color w:val="0F1115"/>
          <w:sz w:val="28"/>
          <w:szCs w:val="28"/>
        </w:rPr>
        <w:t>工程名称</w:t>
      </w:r>
      <w:r>
        <w:rPr>
          <w:rFonts w:ascii="仿宋" w:hAnsi="仿宋" w:eastAsia="仿宋"/>
          <w:sz w:val="28"/>
          <w:szCs w:val="28"/>
        </w:rPr>
        <w:t>：学生宿舍壁柜翻新改造工程</w:t>
      </w:r>
    </w:p>
    <w:p w14:paraId="2D1F2112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Style w:val="4"/>
          <w:rFonts w:ascii="仿宋" w:hAnsi="仿宋" w:eastAsia="仿宋" w:cs="Segoe UI"/>
          <w:b w:val="0"/>
          <w:bCs w:val="0"/>
          <w:color w:val="0F1115"/>
          <w:sz w:val="28"/>
          <w:szCs w:val="28"/>
        </w:rPr>
        <w:t>工程地点</w:t>
      </w:r>
      <w:r>
        <w:rPr>
          <w:rFonts w:ascii="仿宋" w:hAnsi="仿宋" w:eastAsia="仿宋"/>
          <w:sz w:val="28"/>
          <w:szCs w:val="28"/>
        </w:rPr>
        <w:t>：西安石油大学</w:t>
      </w:r>
      <w:r>
        <w:rPr>
          <w:rFonts w:hint="eastAsia" w:ascii="仿宋" w:hAnsi="仿宋" w:eastAsia="仿宋"/>
          <w:sz w:val="28"/>
          <w:szCs w:val="28"/>
        </w:rPr>
        <w:t>雁塔校区</w:t>
      </w:r>
      <w:r>
        <w:rPr>
          <w:rFonts w:ascii="仿宋" w:hAnsi="仿宋" w:eastAsia="仿宋"/>
          <w:sz w:val="28"/>
          <w:szCs w:val="28"/>
        </w:rPr>
        <w:t>2号、3号学生公寓</w:t>
      </w:r>
    </w:p>
    <w:p w14:paraId="1E448423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Style w:val="4"/>
          <w:rFonts w:ascii="仿宋" w:hAnsi="仿宋" w:eastAsia="仿宋" w:cs="Segoe UI"/>
          <w:b w:val="0"/>
          <w:bCs w:val="0"/>
          <w:color w:val="0F1115"/>
          <w:sz w:val="28"/>
          <w:szCs w:val="28"/>
        </w:rPr>
        <w:t>改造范围</w:t>
      </w:r>
      <w:r>
        <w:rPr>
          <w:rFonts w:ascii="仿宋" w:hAnsi="仿宋" w:eastAsia="仿宋"/>
          <w:sz w:val="28"/>
          <w:szCs w:val="28"/>
        </w:rPr>
        <w:t>：</w:t>
      </w:r>
    </w:p>
    <w:p w14:paraId="458DE8F7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2号公寓234间、3号公寓276间，共计510间宿舍室内原有内嵌式通顶壁柜。</w:t>
      </w:r>
    </w:p>
    <w:p w14:paraId="702F12AF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保留原有柜体主体框架，仅做内部隔板铺装、柜门换新、外露木框架饰面更换。</w:t>
      </w:r>
    </w:p>
    <w:p w14:paraId="58ECC44D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Style w:val="4"/>
          <w:rFonts w:ascii="仿宋" w:hAnsi="仿宋" w:eastAsia="仿宋" w:cs="Segoe UI"/>
          <w:b w:val="0"/>
          <w:bCs w:val="0"/>
          <w:color w:val="0F1115"/>
          <w:sz w:val="28"/>
          <w:szCs w:val="28"/>
        </w:rPr>
        <w:t>改造内容</w:t>
      </w:r>
      <w:r>
        <w:rPr>
          <w:rFonts w:ascii="仿宋" w:hAnsi="仿宋" w:eastAsia="仿宋"/>
          <w:sz w:val="28"/>
          <w:szCs w:val="28"/>
        </w:rPr>
        <w:t>：</w:t>
      </w:r>
    </w:p>
    <w:p w14:paraId="0E339A36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柜体内部原有空置层位加装三合板层板（全柜分层铺装），部分竖板拆除；</w:t>
      </w:r>
    </w:p>
    <w:p w14:paraId="6CAFD418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拆除原有老旧破损柜门，全新定制替换整扇柜门门板；</w:t>
      </w:r>
    </w:p>
    <w:p w14:paraId="30688BB0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柜体外露可见木质边框、收口外框整体更换/包覆新饰面用材。</w:t>
      </w:r>
    </w:p>
    <w:p w14:paraId="35C3B93A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二、主要技术参数</w:t>
      </w:r>
    </w:p>
    <w:p w14:paraId="610B0776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Style w:val="4"/>
          <w:rFonts w:ascii="仿宋" w:hAnsi="仿宋" w:eastAsia="仿宋" w:cs="Segoe UI"/>
          <w:b w:val="0"/>
          <w:bCs w:val="0"/>
          <w:color w:val="0F1115"/>
          <w:sz w:val="28"/>
          <w:szCs w:val="28"/>
        </w:rPr>
        <w:t>内部搁板</w:t>
      </w:r>
      <w:r>
        <w:rPr>
          <w:rFonts w:ascii="仿宋" w:hAnsi="仿宋" w:eastAsia="仿宋"/>
          <w:sz w:val="28"/>
          <w:szCs w:val="28"/>
        </w:rPr>
        <w:t>：优质密度板，厚度≥5mm，E0级环保，精准裁切铺设。</w:t>
      </w:r>
    </w:p>
    <w:p w14:paraId="7F2A30B3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Style w:val="4"/>
          <w:rFonts w:ascii="仿宋" w:hAnsi="仿宋" w:eastAsia="仿宋" w:cs="Segoe UI"/>
          <w:b w:val="0"/>
          <w:bCs w:val="0"/>
          <w:color w:val="0F1115"/>
          <w:sz w:val="28"/>
          <w:szCs w:val="28"/>
        </w:rPr>
        <w:t>柜门门板</w:t>
      </w:r>
      <w:r>
        <w:rPr>
          <w:rFonts w:ascii="仿宋" w:hAnsi="仿宋" w:eastAsia="仿宋"/>
          <w:sz w:val="28"/>
          <w:szCs w:val="28"/>
        </w:rPr>
        <w:t>：E0级实木颗粒板，厚度≥16mm，双饰面，配套合页质保≥2年。</w:t>
      </w:r>
    </w:p>
    <w:p w14:paraId="109B4661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Style w:val="4"/>
          <w:rFonts w:ascii="仿宋" w:hAnsi="仿宋" w:eastAsia="仿宋" w:cs="Segoe UI"/>
          <w:b w:val="0"/>
          <w:bCs w:val="0"/>
          <w:color w:val="0F1115"/>
          <w:sz w:val="28"/>
          <w:szCs w:val="28"/>
        </w:rPr>
        <w:t>柜体外露外框</w:t>
      </w:r>
      <w:r>
        <w:rPr>
          <w:rFonts w:ascii="仿宋" w:hAnsi="仿宋" w:eastAsia="仿宋"/>
          <w:sz w:val="28"/>
          <w:szCs w:val="28"/>
        </w:rPr>
        <w:t>：E0级实木颗粒板，厚度≥16mm，与柜门同色同材质包覆。</w:t>
      </w:r>
    </w:p>
    <w:p w14:paraId="2FE7BAC0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三、合同价款</w:t>
      </w:r>
    </w:p>
    <w:p w14:paraId="67F42479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本合同为</w:t>
      </w:r>
      <w:r>
        <w:rPr>
          <w:rStyle w:val="4"/>
          <w:rFonts w:ascii="仿宋" w:hAnsi="仿宋" w:eastAsia="仿宋" w:cs="Segoe UI"/>
          <w:b w:val="0"/>
          <w:bCs w:val="0"/>
          <w:color w:val="0F1115"/>
          <w:sz w:val="28"/>
          <w:szCs w:val="28"/>
        </w:rPr>
        <w:t>固定总价包干</w:t>
      </w:r>
      <w:r>
        <w:rPr>
          <w:rFonts w:ascii="仿宋" w:hAnsi="仿宋" w:eastAsia="仿宋"/>
          <w:sz w:val="28"/>
          <w:szCs w:val="28"/>
        </w:rPr>
        <w:t>，总金额为人民币</w:t>
      </w:r>
      <w:r>
        <w:rPr>
          <w:rFonts w:ascii="Calibri" w:hAnsi="Calibri" w:eastAsia="仿宋" w:cs="Calibri"/>
          <w:sz w:val="28"/>
          <w:szCs w:val="28"/>
        </w:rPr>
        <w:t> </w:t>
      </w:r>
      <w:r>
        <w:rPr>
          <w:rStyle w:val="4"/>
          <w:rFonts w:ascii="仿宋" w:hAnsi="仿宋" w:eastAsia="仿宋" w:cs="Segoe UI"/>
          <w:b w:val="0"/>
          <w:bCs w:val="0"/>
          <w:color w:val="0F1115"/>
          <w:sz w:val="28"/>
          <w:szCs w:val="28"/>
        </w:rPr>
        <w:t>________ 元</w:t>
      </w:r>
      <w:r>
        <w:rPr>
          <w:rFonts w:ascii="仿宋" w:hAnsi="仿宋" w:eastAsia="仿宋"/>
          <w:sz w:val="28"/>
          <w:szCs w:val="28"/>
        </w:rPr>
        <w:t>（大写：________）。包含：板材、辅材、五金、裁切加工、运输、人工拆除旧柜门旧外框、安装、垃圾清运、税费等全部费用。</w:t>
      </w:r>
    </w:p>
    <w:p w14:paraId="1C283629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四、工期及施工要求</w:t>
      </w:r>
    </w:p>
    <w:p w14:paraId="4DB29491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Style w:val="4"/>
          <w:rFonts w:ascii="仿宋" w:hAnsi="仿宋" w:eastAsia="仿宋" w:cs="Segoe UI"/>
          <w:b w:val="0"/>
          <w:bCs w:val="0"/>
          <w:color w:val="0F1115"/>
          <w:sz w:val="28"/>
          <w:szCs w:val="28"/>
        </w:rPr>
        <w:t>工期</w:t>
      </w:r>
      <w:r>
        <w:rPr>
          <w:rFonts w:ascii="仿宋" w:hAnsi="仿宋" w:eastAsia="仿宋"/>
          <w:sz w:val="28"/>
          <w:szCs w:val="28"/>
        </w:rPr>
        <w:t>：合同签订后，具体开工日期以甲方通知为准，总工期不超过</w:t>
      </w:r>
      <w:r>
        <w:rPr>
          <w:rFonts w:ascii="Calibri" w:hAnsi="Calibri" w:eastAsia="仿宋" w:cs="Calibri"/>
          <w:sz w:val="28"/>
          <w:szCs w:val="28"/>
        </w:rPr>
        <w:t> </w:t>
      </w:r>
      <w:r>
        <w:rPr>
          <w:rStyle w:val="4"/>
          <w:rFonts w:ascii="仿宋" w:hAnsi="仿宋" w:eastAsia="仿宋" w:cs="Segoe UI"/>
          <w:b w:val="0"/>
          <w:bCs w:val="0"/>
          <w:color w:val="0F1115"/>
          <w:sz w:val="28"/>
          <w:szCs w:val="28"/>
        </w:rPr>
        <w:t>30 日历天</w:t>
      </w:r>
      <w:r>
        <w:rPr>
          <w:rFonts w:ascii="仿宋" w:hAnsi="仿宋" w:eastAsia="仿宋"/>
          <w:sz w:val="28"/>
          <w:szCs w:val="28"/>
        </w:rPr>
        <w:t>。</w:t>
      </w:r>
    </w:p>
    <w:p w14:paraId="56FA5810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进场前须对每间宿舍壁柜进行现场实测，出具深化下料清单，经甲方书面确认后方可下料生产。</w:t>
      </w:r>
    </w:p>
    <w:p w14:paraId="5D115266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柜体内部清理除尘，老旧突出钉头、毛刺打磨平整后安装层板。</w:t>
      </w:r>
    </w:p>
    <w:p w14:paraId="7C93052B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所有板材裁切无崩边、破损，安装牢固无松动异响。</w:t>
      </w:r>
    </w:p>
    <w:p w14:paraId="2F3A34F7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完工后整体保洁，柜体内部无木屑、胶渍。</w:t>
      </w:r>
    </w:p>
    <w:p w14:paraId="670EA266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五、安全文明施工条款</w:t>
      </w:r>
    </w:p>
    <w:p w14:paraId="37790583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Style w:val="4"/>
          <w:rFonts w:ascii="仿宋" w:hAnsi="仿宋" w:eastAsia="仿宋" w:cs="Segoe UI"/>
          <w:b w:val="0"/>
          <w:bCs w:val="0"/>
          <w:color w:val="0F1115"/>
          <w:sz w:val="28"/>
          <w:szCs w:val="28"/>
        </w:rPr>
        <w:t>安全生产责任</w:t>
      </w:r>
      <w:r>
        <w:rPr>
          <w:rFonts w:ascii="仿宋" w:hAnsi="仿宋" w:eastAsia="仿宋"/>
          <w:sz w:val="28"/>
          <w:szCs w:val="28"/>
        </w:rPr>
        <w:t>：乙方对施工现场的安全生产负总责，应设置专职安全员，对施工人员进行安全教育和技术交底，并为其购买意外伤害保险。</w:t>
      </w:r>
    </w:p>
    <w:p w14:paraId="38D53FFE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Style w:val="4"/>
          <w:rFonts w:ascii="仿宋" w:hAnsi="仿宋" w:eastAsia="仿宋" w:cs="Segoe UI"/>
          <w:b w:val="0"/>
          <w:bCs w:val="0"/>
          <w:color w:val="0F1115"/>
          <w:sz w:val="28"/>
          <w:szCs w:val="28"/>
        </w:rPr>
        <w:t>现场防火</w:t>
      </w:r>
      <w:r>
        <w:rPr>
          <w:rFonts w:ascii="仿宋" w:hAnsi="仿宋" w:eastAsia="仿宋"/>
          <w:sz w:val="28"/>
          <w:szCs w:val="28"/>
        </w:rPr>
        <w:t>：施工现场严禁吸烟，动用明火须提前办理动火审批手续，配备灭火器材。木工加工区域应单独隔离，每日清理木屑、废料，防止火灾。</w:t>
      </w:r>
    </w:p>
    <w:p w14:paraId="6804BF19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Style w:val="4"/>
          <w:rFonts w:ascii="仿宋" w:hAnsi="仿宋" w:eastAsia="仿宋" w:cs="Segoe UI"/>
          <w:b w:val="0"/>
          <w:bCs w:val="0"/>
          <w:color w:val="0F1115"/>
          <w:sz w:val="28"/>
          <w:szCs w:val="28"/>
        </w:rPr>
        <w:t>用电安全</w:t>
      </w:r>
      <w:r>
        <w:rPr>
          <w:rFonts w:ascii="仿宋" w:hAnsi="仿宋" w:eastAsia="仿宋"/>
          <w:sz w:val="28"/>
          <w:szCs w:val="28"/>
        </w:rPr>
        <w:t>：不得私拉乱接，使用合格插排和线缆，配电箱设漏电保护器。</w:t>
      </w:r>
    </w:p>
    <w:p w14:paraId="19241B65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Style w:val="4"/>
          <w:rFonts w:ascii="仿宋" w:hAnsi="仿宋" w:eastAsia="仿宋" w:cs="Segoe UI"/>
          <w:b w:val="0"/>
          <w:bCs w:val="0"/>
          <w:color w:val="0F1115"/>
          <w:sz w:val="28"/>
          <w:szCs w:val="28"/>
        </w:rPr>
        <w:t>高空及登高作业</w:t>
      </w:r>
      <w:r>
        <w:rPr>
          <w:rFonts w:ascii="仿宋" w:hAnsi="仿宋" w:eastAsia="仿宋"/>
          <w:sz w:val="28"/>
          <w:szCs w:val="28"/>
        </w:rPr>
        <w:t>：安装柜门、外框等涉及登高作业时，必须使用稳固的人字梯或脚手架，严禁站在床铺、桌椅等不稳定物体上操作。</w:t>
      </w:r>
    </w:p>
    <w:p w14:paraId="193BA818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Style w:val="4"/>
          <w:rFonts w:ascii="仿宋" w:hAnsi="仿宋" w:eastAsia="仿宋" w:cs="Segoe UI"/>
          <w:b w:val="0"/>
          <w:bCs w:val="0"/>
          <w:color w:val="0F1115"/>
          <w:sz w:val="28"/>
          <w:szCs w:val="28"/>
        </w:rPr>
        <w:t>粉尘与噪音控制</w:t>
      </w:r>
      <w:r>
        <w:rPr>
          <w:rFonts w:ascii="仿宋" w:hAnsi="仿宋" w:eastAsia="仿宋"/>
          <w:sz w:val="28"/>
          <w:szCs w:val="28"/>
        </w:rPr>
        <w:t>：切割板材应采取降尘措施（如湿作业或使用集尘设备），减少粉尘扩散；施工时间应遵守学校规定，避免午休及夜间噪音扰民。</w:t>
      </w:r>
    </w:p>
    <w:p w14:paraId="20AC4F40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Style w:val="4"/>
          <w:rFonts w:ascii="仿宋" w:hAnsi="仿宋" w:eastAsia="仿宋" w:cs="Segoe UI"/>
          <w:b w:val="0"/>
          <w:bCs w:val="0"/>
          <w:color w:val="0F1115"/>
          <w:sz w:val="28"/>
          <w:szCs w:val="28"/>
        </w:rPr>
        <w:t>成品保护</w:t>
      </w:r>
      <w:r>
        <w:rPr>
          <w:rFonts w:ascii="仿宋" w:hAnsi="仿宋" w:eastAsia="仿宋"/>
          <w:sz w:val="28"/>
          <w:szCs w:val="28"/>
        </w:rPr>
        <w:t>：施工期间对宿舍内现有设施（床、桌椅、墙面、地面、门窗等）采取保护措施，造成损坏的，由乙方按原样恢复或照价赔偿。</w:t>
      </w:r>
    </w:p>
    <w:p w14:paraId="0D691C60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Style w:val="4"/>
          <w:rFonts w:ascii="仿宋" w:hAnsi="仿宋" w:eastAsia="仿宋" w:cs="Segoe UI"/>
          <w:b w:val="0"/>
          <w:bCs w:val="0"/>
          <w:color w:val="0F1115"/>
          <w:sz w:val="28"/>
          <w:szCs w:val="28"/>
        </w:rPr>
        <w:t>安全警示</w:t>
      </w:r>
      <w:r>
        <w:rPr>
          <w:rFonts w:ascii="仿宋" w:hAnsi="仿宋" w:eastAsia="仿宋"/>
          <w:sz w:val="28"/>
          <w:szCs w:val="28"/>
        </w:rPr>
        <w:t>：在施工区域设置明显安全警示标志，非施工人员不得进入作业区。</w:t>
      </w:r>
    </w:p>
    <w:p w14:paraId="1472455A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六、现场管理要求</w:t>
      </w:r>
    </w:p>
    <w:p w14:paraId="7EDB4331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Style w:val="4"/>
          <w:rFonts w:ascii="仿宋" w:hAnsi="仿宋" w:eastAsia="仿宋" w:cs="Segoe UI"/>
          <w:b w:val="0"/>
          <w:bCs w:val="0"/>
          <w:color w:val="0F1115"/>
          <w:sz w:val="28"/>
          <w:szCs w:val="28"/>
        </w:rPr>
        <w:t>人员管理</w:t>
      </w:r>
      <w:r>
        <w:rPr>
          <w:rFonts w:ascii="仿宋" w:hAnsi="仿宋" w:eastAsia="仿宋"/>
          <w:sz w:val="28"/>
          <w:szCs w:val="28"/>
        </w:rPr>
        <w:t>：乙方须提供进场人员名单及身份证复印件，佩戴统一工作牌，衣着整洁，不得在宿舍内留宿、吸烟、饮酒或从事与施工无关的活动。</w:t>
      </w:r>
    </w:p>
    <w:p w14:paraId="3CADA32A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Style w:val="4"/>
          <w:rFonts w:ascii="仿宋" w:hAnsi="仿宋" w:eastAsia="仿宋" w:cs="Segoe UI"/>
          <w:b w:val="0"/>
          <w:bCs w:val="0"/>
          <w:color w:val="0F1115"/>
          <w:sz w:val="28"/>
          <w:szCs w:val="28"/>
        </w:rPr>
        <w:t>材料堆放</w:t>
      </w:r>
      <w:r>
        <w:rPr>
          <w:rFonts w:ascii="仿宋" w:hAnsi="仿宋" w:eastAsia="仿宋"/>
          <w:sz w:val="28"/>
          <w:szCs w:val="28"/>
        </w:rPr>
        <w:t>：板材、五金等材料应按指定区域整齐堆放，不得占用消防通道或堵塞疏散出口。每日收工前清理现场，做到“工完场清”。</w:t>
      </w:r>
    </w:p>
    <w:p w14:paraId="6C595F8B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Style w:val="4"/>
          <w:rFonts w:ascii="仿宋" w:hAnsi="仿宋" w:eastAsia="仿宋" w:cs="Segoe UI"/>
          <w:b w:val="0"/>
          <w:bCs w:val="0"/>
          <w:color w:val="0F1115"/>
          <w:sz w:val="28"/>
          <w:szCs w:val="28"/>
        </w:rPr>
        <w:t>垃圾清运</w:t>
      </w:r>
      <w:r>
        <w:rPr>
          <w:rFonts w:ascii="仿宋" w:hAnsi="仿宋" w:eastAsia="仿宋"/>
          <w:sz w:val="28"/>
          <w:szCs w:val="28"/>
        </w:rPr>
        <w:t>：拆除的旧柜门、旧框架及包装废料等建筑垃圾应日产日清，按学校指定路线和地点倾倒，严禁从窗口抛掷。</w:t>
      </w:r>
    </w:p>
    <w:p w14:paraId="3BB336CE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Style w:val="4"/>
          <w:rFonts w:ascii="仿宋" w:hAnsi="仿宋" w:eastAsia="仿宋" w:cs="Segoe UI"/>
          <w:b w:val="0"/>
          <w:bCs w:val="0"/>
          <w:color w:val="0F1115"/>
          <w:sz w:val="28"/>
          <w:szCs w:val="28"/>
        </w:rPr>
        <w:t>宿舍使用</w:t>
      </w:r>
      <w:r>
        <w:rPr>
          <w:rFonts w:ascii="仿宋" w:hAnsi="仿宋" w:eastAsia="仿宋"/>
          <w:sz w:val="28"/>
          <w:szCs w:val="28"/>
        </w:rPr>
        <w:t>：未经甲方书面同意，乙方不得擅自使用或占用学生宿舍作为库房、宿舍或加工场地。</w:t>
      </w:r>
    </w:p>
    <w:p w14:paraId="654A5879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Style w:val="4"/>
          <w:rFonts w:ascii="仿宋" w:hAnsi="仿宋" w:eastAsia="仿宋" w:cs="Segoe UI"/>
          <w:b w:val="0"/>
          <w:bCs w:val="0"/>
          <w:color w:val="0F1115"/>
          <w:sz w:val="28"/>
          <w:szCs w:val="28"/>
        </w:rPr>
        <w:t>协调配合</w:t>
      </w:r>
      <w:r>
        <w:rPr>
          <w:rFonts w:ascii="仿宋" w:hAnsi="仿宋" w:eastAsia="仿宋"/>
          <w:sz w:val="28"/>
          <w:szCs w:val="28"/>
        </w:rPr>
        <w:t>：乙方应服从甲方及监理单位的现场管理，配合学校暑期宿舍维修其他交叉施工安排，不得恶意阻挠或干扰其他工种作业。</w:t>
      </w:r>
    </w:p>
    <w:p w14:paraId="21DD4115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七、验收标准</w:t>
      </w:r>
    </w:p>
    <w:p w14:paraId="401699EC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板材规格、材质与投标/报价参数一致，进场材料可抽样查验。</w:t>
      </w:r>
    </w:p>
    <w:p w14:paraId="3E1BBDAA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层板平整稳固、柜门启闭灵活、外框拼接平整美观。</w:t>
      </w:r>
    </w:p>
    <w:p w14:paraId="4947EECF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整体配色统一，无明显色差、磕碰破损。</w:t>
      </w:r>
    </w:p>
    <w:p w14:paraId="67A1630C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质保期内因材料、安装质量问题，乙方免费维修更换。</w:t>
      </w:r>
    </w:p>
    <w:p w14:paraId="3561BA1F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八、付款方式</w:t>
      </w:r>
    </w:p>
    <w:p w14:paraId="012E0D49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全部工程完工并经甲方验收合格后，甲方于收到乙方合法有效发票后</w:t>
      </w: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hint="eastAsia" w:ascii="Calibri" w:hAnsi="Calibri" w:eastAsia="仿宋" w:cs="Calibri"/>
          <w:sz w:val="28"/>
          <w:szCs w:val="28"/>
          <w:u w:val="single"/>
          <w:lang w:val="en-US" w:eastAsia="zh-CN"/>
        </w:rPr>
        <w:t xml:space="preserve">    </w:t>
      </w:r>
      <w:r>
        <w:rPr>
          <w:rStyle w:val="4"/>
          <w:rFonts w:ascii="仿宋" w:hAnsi="仿宋" w:eastAsia="仿宋" w:cs="Segoe UI"/>
          <w:b w:val="0"/>
          <w:bCs w:val="0"/>
          <w:color w:val="0F1115"/>
          <w:sz w:val="28"/>
          <w:szCs w:val="28"/>
        </w:rPr>
        <w:t xml:space="preserve"> 个工作日</w:t>
      </w:r>
      <w:r>
        <w:rPr>
          <w:rFonts w:ascii="仿宋" w:hAnsi="仿宋" w:eastAsia="仿宋"/>
          <w:sz w:val="28"/>
          <w:szCs w:val="28"/>
        </w:rPr>
        <w:t>内支付合同总金额的100%。</w:t>
      </w:r>
    </w:p>
    <w:p w14:paraId="11FF13DE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九、质量保证</w:t>
      </w:r>
    </w:p>
    <w:p w14:paraId="01A9F23C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整体改造完工质保期</w:t>
      </w:r>
      <w:r>
        <w:rPr>
          <w:rFonts w:ascii="Calibri" w:hAnsi="Calibri" w:eastAsia="仿宋" w:cs="Calibri"/>
          <w:sz w:val="28"/>
          <w:szCs w:val="28"/>
        </w:rPr>
        <w:t> </w:t>
      </w:r>
      <w:r>
        <w:rPr>
          <w:rStyle w:val="4"/>
          <w:rFonts w:ascii="仿宋" w:hAnsi="仿宋" w:eastAsia="仿宋" w:cs="Segoe UI"/>
          <w:b w:val="0"/>
          <w:bCs w:val="0"/>
          <w:color w:val="0F1115"/>
          <w:sz w:val="28"/>
          <w:szCs w:val="28"/>
        </w:rPr>
        <w:t>2 年</w:t>
      </w:r>
      <w:r>
        <w:rPr>
          <w:rFonts w:ascii="仿宋" w:hAnsi="仿宋" w:eastAsia="仿宋"/>
          <w:sz w:val="28"/>
          <w:szCs w:val="28"/>
        </w:rPr>
        <w:t>，自验收合格之日起计算。质保期内出现材料或安装质量问题，乙方应在接到通知后</w:t>
      </w:r>
      <w:r>
        <w:rPr>
          <w:rFonts w:ascii="Calibri" w:hAnsi="Calibri" w:eastAsia="仿宋" w:cs="Calibri"/>
          <w:sz w:val="28"/>
          <w:szCs w:val="28"/>
        </w:rPr>
        <w:t> </w:t>
      </w:r>
      <w:r>
        <w:rPr>
          <w:rStyle w:val="4"/>
          <w:rFonts w:ascii="仿宋" w:hAnsi="仿宋" w:eastAsia="仿宋" w:cs="Segoe UI"/>
          <w:b w:val="0"/>
          <w:bCs w:val="0"/>
          <w:color w:val="0F1115"/>
          <w:sz w:val="28"/>
          <w:szCs w:val="28"/>
        </w:rPr>
        <w:t>48 小时内</w:t>
      </w:r>
      <w:r>
        <w:rPr>
          <w:rFonts w:ascii="仿宋" w:hAnsi="仿宋" w:eastAsia="仿宋"/>
          <w:sz w:val="28"/>
          <w:szCs w:val="28"/>
        </w:rPr>
        <w:t>到场免费维修或更换。</w:t>
      </w:r>
    </w:p>
    <w:p w14:paraId="6FBE9F51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十、违约责任</w:t>
      </w:r>
    </w:p>
    <w:p w14:paraId="7EF2D71E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乙方逾期完工的，每逾期一天按合同总金额的1%支付违约金；逾期超过15天，甲方有权解除合同并要求乙方赔偿损失。</w:t>
      </w:r>
    </w:p>
    <w:p w14:paraId="45338678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质量不符合约定，甲方有权要求返工或退货，乙方承担全部费用。</w:t>
      </w:r>
    </w:p>
    <w:p w14:paraId="64BA8B13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违反安全文明施工或现场管理要求的，每次每项支付违约金</w:t>
      </w:r>
      <w:r>
        <w:rPr>
          <w:rFonts w:hint="eastAsia" w:ascii="Calibri" w:hAnsi="Calibri" w:eastAsia="仿宋" w:cs="Calibri"/>
          <w:sz w:val="28"/>
          <w:szCs w:val="28"/>
        </w:rPr>
        <w:t>。</w:t>
      </w:r>
      <w:r>
        <w:rPr>
          <w:rStyle w:val="4"/>
          <w:rFonts w:ascii="仿宋" w:hAnsi="仿宋" w:eastAsia="仿宋" w:cs="Segoe UI"/>
          <w:b w:val="0"/>
          <w:bCs w:val="0"/>
          <w:color w:val="0F1115"/>
          <w:sz w:val="28"/>
          <w:szCs w:val="28"/>
        </w:rPr>
        <w:t>1000元</w:t>
      </w:r>
      <w:r>
        <w:rPr>
          <w:rFonts w:ascii="仿宋" w:hAnsi="仿宋" w:eastAsia="仿宋"/>
          <w:sz w:val="28"/>
          <w:szCs w:val="28"/>
        </w:rPr>
        <w:t>，并责令立即整改；造成安全事故的，乙方承担全部法律责任及赔偿。</w:t>
      </w:r>
    </w:p>
    <w:p w14:paraId="4A2DE2E0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十一、争议解决</w:t>
      </w:r>
    </w:p>
    <w:p w14:paraId="5D657973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双方协商不成的，提交甲方所在地有管辖权的人民法院诉讼解决。</w:t>
      </w:r>
    </w:p>
    <w:p w14:paraId="18F114F6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十二、其他</w:t>
      </w:r>
    </w:p>
    <w:p w14:paraId="73BDCF38">
      <w:pPr>
        <w:adjustRightInd w:val="0"/>
        <w:snapToGrid w:val="0"/>
        <w:spacing w:line="360" w:lineRule="auto"/>
        <w:ind w:firstLine="565" w:firstLineChars="202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本合同一式</w:t>
      </w:r>
      <w:r>
        <w:rPr>
          <w:rFonts w:ascii="Calibri" w:hAnsi="Calibri" w:eastAsia="仿宋" w:cs="Calibri"/>
          <w:sz w:val="28"/>
          <w:szCs w:val="28"/>
        </w:rPr>
        <w:t> </w:t>
      </w:r>
      <w:r>
        <w:rPr>
          <w:rStyle w:val="4"/>
          <w:rFonts w:hint="eastAsia" w:ascii="仿宋" w:hAnsi="仿宋" w:eastAsia="仿宋" w:cs="Segoe UI"/>
          <w:b w:val="0"/>
          <w:bCs w:val="0"/>
          <w:color w:val="0F1115"/>
          <w:sz w:val="28"/>
          <w:szCs w:val="28"/>
        </w:rPr>
        <w:t>柒</w:t>
      </w: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ascii="仿宋" w:hAnsi="仿宋" w:eastAsia="仿宋"/>
          <w:sz w:val="28"/>
          <w:szCs w:val="28"/>
        </w:rPr>
        <w:t>份，甲</w:t>
      </w:r>
      <w:r>
        <w:rPr>
          <w:rFonts w:hint="eastAsia" w:ascii="仿宋" w:hAnsi="仿宋" w:eastAsia="仿宋"/>
          <w:sz w:val="28"/>
          <w:szCs w:val="28"/>
        </w:rPr>
        <w:t>方</w:t>
      </w:r>
      <w:r>
        <w:rPr>
          <w:rFonts w:ascii="仿宋" w:hAnsi="仿宋" w:eastAsia="仿宋"/>
          <w:sz w:val="28"/>
          <w:szCs w:val="28"/>
        </w:rPr>
        <w:t>执</w:t>
      </w:r>
      <w:r>
        <w:rPr>
          <w:rFonts w:hint="eastAsia" w:ascii="仿宋" w:hAnsi="仿宋" w:eastAsia="仿宋"/>
          <w:sz w:val="28"/>
          <w:szCs w:val="28"/>
        </w:rPr>
        <w:t>陆份、乙方</w:t>
      </w:r>
      <w:r>
        <w:rPr>
          <w:rFonts w:ascii="仿宋" w:hAnsi="仿宋" w:eastAsia="仿宋"/>
          <w:sz w:val="28"/>
          <w:szCs w:val="28"/>
        </w:rPr>
        <w:t>执</w:t>
      </w:r>
      <w:r>
        <w:rPr>
          <w:rFonts w:hint="eastAsia" w:ascii="仿宋" w:hAnsi="仿宋" w:eastAsia="仿宋"/>
          <w:sz w:val="28"/>
          <w:szCs w:val="28"/>
        </w:rPr>
        <w:t>壹</w:t>
      </w:r>
      <w:r>
        <w:rPr>
          <w:rFonts w:ascii="仿宋" w:hAnsi="仿宋" w:eastAsia="仿宋"/>
          <w:sz w:val="28"/>
          <w:szCs w:val="28"/>
        </w:rPr>
        <w:t>份。</w:t>
      </w:r>
    </w:p>
    <w:p w14:paraId="286A0936">
      <w:pPr>
        <w:adjustRightInd w:val="0"/>
        <w:snapToGrid w:val="0"/>
        <w:spacing w:line="360" w:lineRule="auto"/>
        <w:ind w:firstLine="565" w:firstLineChars="202"/>
        <w:rPr>
          <w:rStyle w:val="4"/>
          <w:rFonts w:ascii="仿宋" w:hAnsi="仿宋" w:eastAsia="仿宋" w:cs="Segoe UI"/>
          <w:b w:val="0"/>
          <w:bCs w:val="0"/>
          <w:color w:val="0F1115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附件：本项目的招标文件、投标文件、中标通知书及其他构成合同组成部分的文件，均作为本合同的有效附件，与主合同具有同等法律效力。上述文件内容如存在不一致之处，以解释顺序中效力较高者为准。</w:t>
      </w:r>
    </w:p>
    <w:p w14:paraId="43ABCE9F">
      <w:pPr>
        <w:adjustRightInd w:val="0"/>
        <w:snapToGrid w:val="0"/>
        <w:spacing w:line="360" w:lineRule="auto"/>
        <w:ind w:firstLine="565" w:firstLineChars="202"/>
        <w:rPr>
          <w:rStyle w:val="4"/>
          <w:rFonts w:ascii="仿宋" w:hAnsi="仿宋" w:eastAsia="仿宋" w:cs="Segoe UI"/>
          <w:b w:val="0"/>
          <w:bCs w:val="0"/>
          <w:color w:val="0F1115"/>
          <w:sz w:val="28"/>
          <w:szCs w:val="28"/>
        </w:rPr>
      </w:pPr>
      <w:r>
        <w:rPr>
          <w:rStyle w:val="4"/>
          <w:rFonts w:hint="eastAsia" w:ascii="仿宋" w:hAnsi="仿宋" w:eastAsia="仿宋" w:cs="Segoe UI"/>
          <w:b w:val="0"/>
          <w:bCs w:val="0"/>
          <w:color w:val="0F1115"/>
          <w:sz w:val="28"/>
          <w:szCs w:val="28"/>
        </w:rPr>
        <w:t>以下无正文。</w:t>
      </w:r>
    </w:p>
    <w:p w14:paraId="1558CE86">
      <w:pPr>
        <w:adjustRightInd w:val="0"/>
        <w:snapToGrid w:val="0"/>
        <w:spacing w:line="360" w:lineRule="auto"/>
        <w:rPr>
          <w:rStyle w:val="4"/>
          <w:rFonts w:ascii="仿宋" w:hAnsi="仿宋" w:eastAsia="仿宋" w:cs="Segoe UI"/>
          <w:b w:val="0"/>
          <w:bCs w:val="0"/>
          <w:color w:val="0F1115"/>
          <w:sz w:val="28"/>
          <w:szCs w:val="28"/>
        </w:rPr>
      </w:pPr>
    </w:p>
    <w:p w14:paraId="49F75FF7">
      <w:pPr>
        <w:adjustRightInd w:val="0"/>
        <w:snapToGrid w:val="0"/>
        <w:spacing w:line="360" w:lineRule="auto"/>
        <w:rPr>
          <w:rStyle w:val="4"/>
          <w:rFonts w:ascii="仿宋" w:hAnsi="仿宋" w:eastAsia="仿宋" w:cs="Segoe UI"/>
          <w:b w:val="0"/>
          <w:bCs w:val="0"/>
          <w:color w:val="0F1115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6F2196F">
      <w:pPr>
        <w:adjustRightInd w:val="0"/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Style w:val="4"/>
          <w:rFonts w:ascii="仿宋" w:hAnsi="仿宋" w:eastAsia="仿宋" w:cs="Segoe UI"/>
          <w:b w:val="0"/>
          <w:bCs w:val="0"/>
          <w:color w:val="0F1115"/>
          <w:sz w:val="28"/>
          <w:szCs w:val="28"/>
        </w:rPr>
        <w:t>甲方（盖章）：</w:t>
      </w: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ascii="仿宋" w:hAnsi="仿宋" w:eastAsia="仿宋"/>
          <w:sz w:val="28"/>
          <w:szCs w:val="28"/>
        </w:rPr>
        <w:t>西安石油大学</w:t>
      </w:r>
    </w:p>
    <w:p w14:paraId="6641CFE3">
      <w:pPr>
        <w:adjustRightInd w:val="0"/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法人或委托代理人</w:t>
      </w:r>
      <w:r>
        <w:rPr>
          <w:rFonts w:ascii="仿宋" w:hAnsi="仿宋" w:eastAsia="仿宋"/>
          <w:sz w:val="28"/>
          <w:szCs w:val="28"/>
        </w:rPr>
        <w:t>：________</w:t>
      </w:r>
    </w:p>
    <w:p w14:paraId="128B1CBF">
      <w:pPr>
        <w:adjustRightInd w:val="0"/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日期：________</w:t>
      </w:r>
    </w:p>
    <w:p w14:paraId="351B8D04">
      <w:r>
        <w:rPr>
          <w:rStyle w:val="4"/>
          <w:rFonts w:ascii="仿宋" w:hAnsi="仿宋" w:eastAsia="仿宋" w:cs="Segoe UI"/>
          <w:b w:val="0"/>
          <w:bCs w:val="0"/>
          <w:color w:val="0F1115"/>
          <w:sz w:val="28"/>
          <w:szCs w:val="28"/>
        </w:rPr>
        <w:t>乙方（盖章）：</w:t>
      </w: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ascii="仿宋" w:hAnsi="仿宋" w:eastAsia="仿宋"/>
          <w:sz w:val="28"/>
          <w:szCs w:val="28"/>
        </w:rPr>
        <w:t>________</w:t>
      </w:r>
      <w:r>
        <w:rPr>
          <w:rFonts w:ascii="仿宋" w:hAnsi="仿宋" w:eastAsia="仿宋"/>
          <w:sz w:val="28"/>
          <w:szCs w:val="28"/>
        </w:rPr>
        <w:br w:type="textWrapping"/>
      </w:r>
      <w:r>
        <w:rPr>
          <w:rFonts w:hint="eastAsia" w:ascii="仿宋" w:hAnsi="仿宋" w:eastAsia="仿宋"/>
          <w:sz w:val="28"/>
          <w:szCs w:val="28"/>
        </w:rPr>
        <w:t>法人或委托代理人</w:t>
      </w:r>
      <w:r>
        <w:rPr>
          <w:rFonts w:ascii="仿宋" w:hAnsi="仿宋" w:eastAsia="仿宋"/>
          <w:sz w:val="28"/>
          <w:szCs w:val="28"/>
        </w:rPr>
        <w:t>：________</w:t>
      </w:r>
      <w:r>
        <w:rPr>
          <w:rFonts w:ascii="仿宋" w:hAnsi="仿宋" w:eastAsia="仿宋"/>
          <w:sz w:val="28"/>
          <w:szCs w:val="28"/>
        </w:rPr>
        <w:br w:type="textWrapping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0C1957"/>
    <w:rsid w:val="0B0C1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2026-06-15T09:55:00Z</dcterms:created>
  <dc:creator>侯@_@!</dc:creator>
  <cp:lastModifiedBy>侯@_@!</cp:lastModifiedBy>
  <dcterms:modified xsi:type="dcterms:W3CDTF">2026-06-15T09:55:27Z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851DC8D8F5FA465BA8D2677459A5CEAA_11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