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版本号：ZMZB2026SYDX-23120260617002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雁塔校区学生宿舍壁柜翻新项目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ZMZB2026SYDX-231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雁塔校区学生宿舍壁柜翻新项目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ZMZB2026SYDX-231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雁塔校区学生宿舍壁柜翻新项目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西安石油大学雁塔校区学生宿舍壁柜翻新项目。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采购包1（雁塔校区学生宿舍壁柜翻新项目）：属于专门面向中小企业采购。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统一监管平台并申请赋码，否则作无效投标处理</w:t>
      </w:r>
    </w:p>
    <w:p>
      <w:pPr>
        <w:pStyle w:val="null3"/>
      </w:pPr>
      <w:r>
        <w:rPr>
          <w:rFonts w:ascii="仿宋_GB2312" w:hAnsi="仿宋_GB2312" w:cs="仿宋_GB2312" w:eastAsia="仿宋_GB2312"/>
        </w:rPr>
        <w:t>3、具有履行本合同所必需专业技术能力的说明及承诺：提供具有履行本合同所必需专业技术能力的说明及承诺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本项目不接受联合体磋商：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采购包1：449,800.00元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代理服务费收费标准：采购代理服务费参照国家计委颁布的《招标代理服务收费管理暂行办法》(计价格[2002]1980号)号文件标准90%计取。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学生宿舍居住环境，解决现有壁柜漆面脱落、受潮发霉、柜门变形、五金锈蚀等问题，拟对雁塔校区2号、3号公寓宿舍室内原有内嵌式通顶壁柜进行专项翻新改造。保留原有柜体主体框架，仅进行内部隔板铺装、柜门更换、外露木框架饰面更换等作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449,800.00</w:t>
      </w:r>
    </w:p>
    <w:p>
      <w:pPr>
        <w:pStyle w:val="null3"/>
      </w:pPr>
      <w:r>
        <w:rPr>
          <w:rFonts w:ascii="仿宋_GB2312" w:hAnsi="仿宋_GB2312" w:cs="仿宋_GB2312" w:eastAsia="仿宋_GB2312"/>
        </w:rPr>
        <w:t>采购包最高限价（元）: 449,800.00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雁塔校区学生宿舍壁柜翻新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449,800.00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标的名称：雁塔校区学生宿舍壁柜翻新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采购内容及数量</w:t>
            </w:r>
          </w:p>
          <w:tbl>
            <w:tblPr>
              <w:tblBorders>
                <w:top w:val="none" w:color="000000" w:sz="4"/>
                <w:left w:val="none" w:color="000000" w:sz="4"/>
                <w:bottom w:val="none" w:color="000000" w:sz="4"/>
                <w:right w:val="none" w:color="000000" w:sz="4"/>
                <w:insideH w:val="none"/>
                <w:insideV w:val="none"/>
              </w:tblBorders>
            </w:tblPr>
            <w:tblGrid>
              <w:gridCol w:w="471"/>
              <w:gridCol w:w="657"/>
              <w:gridCol w:w="1022"/>
              <w:gridCol w:w="403"/>
            </w:tblGrid>
            <w:tr>
              <w:tc>
                <w:tcPr>
                  <w:tcW w:type="dxa" w:w="471"/>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公寓楼号</w:t>
                  </w:r>
                </w:p>
              </w:tc>
              <w:tc>
                <w:tcPr>
                  <w:tcW w:type="dxa" w:w="657"/>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改造内容</w:t>
                  </w:r>
                </w:p>
              </w:tc>
              <w:tc>
                <w:tcPr>
                  <w:tcW w:type="dxa" w:w="1022"/>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规格说明</w:t>
                  </w:r>
                </w:p>
              </w:tc>
              <w:tc>
                <w:tcPr>
                  <w:tcW w:type="dxa" w:w="403"/>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数量</w:t>
                  </w:r>
                </w:p>
              </w:tc>
            </w:tr>
            <w:tr>
              <w:tc>
                <w:tcPr>
                  <w:tcW w:type="dxa" w:w="47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2号公寓</w:t>
                  </w:r>
                </w:p>
              </w:tc>
              <w:tc>
                <w:tcPr>
                  <w:tcW w:type="dxa" w:w="657"/>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4"/>
                    </w:rPr>
                    <w:t>柜门拆旧换新</w:t>
                  </w:r>
                  <w:r>
                    <w:rPr>
                      <w:rFonts w:ascii="仿宋_GB2312" w:hAnsi="仿宋_GB2312" w:cs="仿宋_GB2312" w:eastAsia="仿宋_GB2312"/>
                      <w:sz w:val="24"/>
                    </w:rPr>
                    <w:t>、框架饰面更换</w:t>
                  </w:r>
                </w:p>
              </w:tc>
              <w:tc>
                <w:tcPr>
                  <w:tcW w:type="dxa" w:w="102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4"/>
                    </w:rPr>
                    <w:t>柜体外部总宽</w:t>
                  </w:r>
                  <w:r>
                    <w:rPr>
                      <w:rFonts w:ascii="仿宋_GB2312" w:hAnsi="仿宋_GB2312" w:cs="仿宋_GB2312" w:eastAsia="仿宋_GB2312"/>
                      <w:sz w:val="24"/>
                    </w:rPr>
                    <w:t>1100mm，通顶高度3330mm，柜内深度约850mm，单扇柜门约500×530mm</w:t>
                  </w:r>
                </w:p>
              </w:tc>
              <w:tc>
                <w:tcPr>
                  <w:tcW w:type="dxa" w:w="4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4"/>
                    </w:rPr>
                    <w:t>234套</w:t>
                  </w:r>
                </w:p>
              </w:tc>
            </w:tr>
            <w:tr>
              <w:tc>
                <w:tcPr>
                  <w:tcW w:type="dxa" w:w="47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2号公寓</w:t>
                  </w:r>
                </w:p>
              </w:tc>
              <w:tc>
                <w:tcPr>
                  <w:tcW w:type="dxa" w:w="657"/>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柜内铺设层板</w:t>
                  </w:r>
                </w:p>
              </w:tc>
              <w:tc>
                <w:tcPr>
                  <w:tcW w:type="dxa" w:w="102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同上柜体</w:t>
                  </w:r>
                </w:p>
              </w:tc>
              <w:tc>
                <w:tcPr>
                  <w:tcW w:type="dxa" w:w="4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234套</w:t>
                  </w:r>
                </w:p>
              </w:tc>
            </w:tr>
            <w:tr>
              <w:tc>
                <w:tcPr>
                  <w:tcW w:type="dxa" w:w="47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3号公寓</w:t>
                  </w:r>
                </w:p>
              </w:tc>
              <w:tc>
                <w:tcPr>
                  <w:tcW w:type="dxa" w:w="657"/>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柜门拆旧换新</w:t>
                  </w:r>
                  <w:r>
                    <w:rPr>
                      <w:rFonts w:ascii="仿宋_GB2312" w:hAnsi="仿宋_GB2312" w:cs="仿宋_GB2312" w:eastAsia="仿宋_GB2312"/>
                      <w:sz w:val="24"/>
                    </w:rPr>
                    <w:t>、框架饰面更换</w:t>
                  </w:r>
                </w:p>
              </w:tc>
              <w:tc>
                <w:tcPr>
                  <w:tcW w:type="dxa" w:w="102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柜体外部总宽</w:t>
                  </w:r>
                  <w:r>
                    <w:rPr>
                      <w:rFonts w:ascii="仿宋_GB2312" w:hAnsi="仿宋_GB2312" w:cs="仿宋_GB2312" w:eastAsia="仿宋_GB2312"/>
                      <w:sz w:val="24"/>
                    </w:rPr>
                    <w:t>1020mm，高度2300mm，柜内深度约970mm，单扇柜门约450×510mm</w:t>
                  </w:r>
                </w:p>
              </w:tc>
              <w:tc>
                <w:tcPr>
                  <w:tcW w:type="dxa" w:w="4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276套</w:t>
                  </w:r>
                </w:p>
              </w:tc>
            </w:tr>
            <w:tr>
              <w:tc>
                <w:tcPr>
                  <w:tcW w:type="dxa" w:w="47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3号公寓</w:t>
                  </w:r>
                </w:p>
              </w:tc>
              <w:tc>
                <w:tcPr>
                  <w:tcW w:type="dxa" w:w="657"/>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柜内铺设层板</w:t>
                  </w:r>
                </w:p>
              </w:tc>
              <w:tc>
                <w:tcPr>
                  <w:tcW w:type="dxa" w:w="102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同上柜体</w:t>
                  </w:r>
                </w:p>
              </w:tc>
              <w:tc>
                <w:tcPr>
                  <w:tcW w:type="dxa" w:w="4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24"/>
                    </w:rPr>
                    <w:t>276套</w:t>
                  </w:r>
                </w:p>
              </w:tc>
            </w:tr>
            <w:tr>
              <w:tc>
                <w:tcPr>
                  <w:tcW w:type="dxa" w:w="2553"/>
                  <w:gridSpan w:val="4"/>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both"/>
                  </w:pPr>
                  <w:r>
                    <w:rPr>
                      <w:rFonts w:ascii="仿宋_GB2312" w:hAnsi="仿宋_GB2312" w:cs="仿宋_GB2312" w:eastAsia="仿宋_GB2312"/>
                      <w:sz w:val="24"/>
                    </w:rPr>
                    <w:t>备注：具体规格尺寸以现场实测为准。</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w:t>
            </w:r>
            <w:r>
              <w:rPr>
                <w:rFonts w:ascii="仿宋_GB2312" w:hAnsi="仿宋_GB2312" w:cs="仿宋_GB2312" w:eastAsia="仿宋_GB2312"/>
                <w:sz w:val="24"/>
              </w:rPr>
              <w:t>、技术参数要求</w:t>
            </w:r>
          </w:p>
          <w:p>
            <w:pPr>
              <w:pStyle w:val="null3"/>
            </w:pPr>
            <w:r>
              <w:rPr>
                <w:rFonts w:ascii="仿宋_GB2312" w:hAnsi="仿宋_GB2312" w:cs="仿宋_GB2312" w:eastAsia="仿宋_GB2312"/>
                <w:sz w:val="24"/>
              </w:rPr>
              <w:t>（一）内部搁板</w:t>
            </w:r>
          </w:p>
          <w:p>
            <w:pPr>
              <w:pStyle w:val="null3"/>
            </w:pPr>
            <w:r>
              <w:rPr>
                <w:rFonts w:ascii="仿宋_GB2312" w:hAnsi="仿宋_GB2312" w:cs="仿宋_GB2312" w:eastAsia="仿宋_GB2312"/>
                <w:sz w:val="24"/>
              </w:rPr>
              <w:t>1.</w:t>
            </w:r>
            <w:r>
              <w:rPr>
                <w:rFonts w:ascii="仿宋_GB2312" w:hAnsi="仿宋_GB2312" w:cs="仿宋_GB2312" w:eastAsia="仿宋_GB2312"/>
                <w:sz w:val="24"/>
              </w:rPr>
              <w:t>板材：优质密度板，厚度</w:t>
            </w:r>
            <w:r>
              <w:rPr>
                <w:rFonts w:ascii="仿宋_GB2312" w:hAnsi="仿宋_GB2312" w:cs="仿宋_GB2312" w:eastAsia="仿宋_GB2312"/>
                <w:sz w:val="24"/>
              </w:rPr>
              <w:t>≥5mm，无脱胶、空鼓、虫蛀、开裂、起翘。</w:t>
            </w:r>
          </w:p>
          <w:p>
            <w:pPr>
              <w:pStyle w:val="null3"/>
            </w:pPr>
            <w:r>
              <w:rPr>
                <w:rFonts w:ascii="仿宋_GB2312" w:hAnsi="仿宋_GB2312" w:cs="仿宋_GB2312" w:eastAsia="仿宋_GB2312"/>
                <w:sz w:val="24"/>
              </w:rPr>
              <w:t>2.</w:t>
            </w:r>
            <w:r>
              <w:rPr>
                <w:rFonts w:ascii="仿宋_GB2312" w:hAnsi="仿宋_GB2312" w:cs="仿宋_GB2312" w:eastAsia="仿宋_GB2312"/>
                <w:sz w:val="24"/>
              </w:rPr>
              <w:t>环保：甲醛释放量符合国标</w:t>
            </w:r>
            <w:r>
              <w:rPr>
                <w:rFonts w:ascii="仿宋_GB2312" w:hAnsi="仿宋_GB2312" w:cs="仿宋_GB2312" w:eastAsia="仿宋_GB2312"/>
                <w:sz w:val="24"/>
              </w:rPr>
              <w:t>E0级，满足室内家具标准，无刺激性气味，并符合环保检测要求。</w:t>
            </w:r>
            <w:r>
              <w:rPr>
                <w:rFonts w:ascii="仿宋_GB2312" w:hAnsi="仿宋_GB2312" w:cs="仿宋_GB2312" w:eastAsia="仿宋_GB2312"/>
                <w:sz w:val="24"/>
              </w:rPr>
              <w:t>(提供第三方检测报告)</w:t>
            </w:r>
          </w:p>
          <w:p>
            <w:pPr>
              <w:pStyle w:val="null3"/>
            </w:pPr>
            <w:r>
              <w:rPr>
                <w:rFonts w:ascii="仿宋_GB2312" w:hAnsi="仿宋_GB2312" w:cs="仿宋_GB2312" w:eastAsia="仿宋_GB2312"/>
                <w:sz w:val="24"/>
              </w:rPr>
              <w:t>3.</w:t>
            </w:r>
            <w:r>
              <w:rPr>
                <w:rFonts w:ascii="仿宋_GB2312" w:hAnsi="仿宋_GB2312" w:cs="仿宋_GB2312" w:eastAsia="仿宋_GB2312"/>
                <w:sz w:val="24"/>
              </w:rPr>
              <w:t>工艺：根据柜体净空尺寸精准裁切，铺设柜内。</w:t>
            </w:r>
          </w:p>
          <w:p>
            <w:pPr>
              <w:pStyle w:val="null3"/>
            </w:pPr>
            <w:r>
              <w:rPr>
                <w:rFonts w:ascii="仿宋_GB2312" w:hAnsi="仿宋_GB2312" w:cs="仿宋_GB2312" w:eastAsia="仿宋_GB2312"/>
                <w:sz w:val="24"/>
              </w:rPr>
              <w:t>（二）柜门门板</w:t>
            </w:r>
          </w:p>
          <w:p>
            <w:pPr>
              <w:pStyle w:val="null3"/>
            </w:pPr>
            <w:r>
              <w:rPr>
                <w:rFonts w:ascii="仿宋_GB2312" w:hAnsi="仿宋_GB2312" w:cs="仿宋_GB2312" w:eastAsia="仿宋_GB2312"/>
                <w:sz w:val="24"/>
              </w:rPr>
              <w:t>1.</w:t>
            </w:r>
            <w:r>
              <w:rPr>
                <w:rFonts w:ascii="仿宋_GB2312" w:hAnsi="仿宋_GB2312" w:cs="仿宋_GB2312" w:eastAsia="仿宋_GB2312"/>
                <w:sz w:val="24"/>
              </w:rPr>
              <w:t>板材：</w:t>
            </w:r>
            <w:r>
              <w:rPr>
                <w:rFonts w:ascii="仿宋_GB2312" w:hAnsi="仿宋_GB2312" w:cs="仿宋_GB2312" w:eastAsia="仿宋_GB2312"/>
                <w:sz w:val="24"/>
              </w:rPr>
              <w:t>E0级实木颗粒板，厚度≥16mm，无刺激性气味，并符合环保检测要求。</w:t>
            </w:r>
            <w:r>
              <w:rPr>
                <w:rFonts w:ascii="仿宋_GB2312" w:hAnsi="仿宋_GB2312" w:cs="仿宋_GB2312" w:eastAsia="仿宋_GB2312"/>
                <w:sz w:val="24"/>
              </w:rPr>
              <w:t>(提供第三方检测报告)</w:t>
            </w:r>
          </w:p>
          <w:p>
            <w:pPr>
              <w:pStyle w:val="null3"/>
            </w:pPr>
            <w:r>
              <w:rPr>
                <w:rFonts w:ascii="仿宋_GB2312" w:hAnsi="仿宋_GB2312" w:cs="仿宋_GB2312" w:eastAsia="仿宋_GB2312"/>
                <w:sz w:val="24"/>
              </w:rPr>
              <w:t>2.</w:t>
            </w:r>
            <w:r>
              <w:rPr>
                <w:rFonts w:ascii="仿宋_GB2312" w:hAnsi="仿宋_GB2312" w:cs="仿宋_GB2312" w:eastAsia="仿宋_GB2312"/>
                <w:sz w:val="24"/>
              </w:rPr>
              <w:t>饰面：双饰面，表面耐磨耐潮，不易变形起皮。</w:t>
            </w:r>
          </w:p>
          <w:p>
            <w:pPr>
              <w:pStyle w:val="null3"/>
            </w:pPr>
            <w:r>
              <w:rPr>
                <w:rFonts w:ascii="仿宋_GB2312" w:hAnsi="仿宋_GB2312" w:cs="仿宋_GB2312" w:eastAsia="仿宋_GB2312"/>
                <w:sz w:val="24"/>
              </w:rPr>
              <w:t>3.</w:t>
            </w:r>
            <w:r>
              <w:rPr>
                <w:rFonts w:ascii="仿宋_GB2312" w:hAnsi="仿宋_GB2312" w:cs="仿宋_GB2312" w:eastAsia="仿宋_GB2312"/>
                <w:sz w:val="24"/>
              </w:rPr>
              <w:t>五金配件：配套合页，开关顺畅，铰链承重满足柜门自重，质保</w:t>
            </w:r>
            <w:r>
              <w:rPr>
                <w:rFonts w:ascii="仿宋_GB2312" w:hAnsi="仿宋_GB2312" w:cs="仿宋_GB2312" w:eastAsia="仿宋_GB2312"/>
                <w:sz w:val="24"/>
              </w:rPr>
              <w:t>≥2年。</w:t>
            </w:r>
          </w:p>
          <w:p>
            <w:pPr>
              <w:pStyle w:val="null3"/>
            </w:pPr>
            <w:r>
              <w:rPr>
                <w:rFonts w:ascii="仿宋_GB2312" w:hAnsi="仿宋_GB2312" w:cs="仿宋_GB2312" w:eastAsia="仿宋_GB2312"/>
                <w:sz w:val="24"/>
              </w:rPr>
              <w:t>4.</w:t>
            </w:r>
            <w:r>
              <w:rPr>
                <w:rFonts w:ascii="仿宋_GB2312" w:hAnsi="仿宋_GB2312" w:cs="仿宋_GB2312" w:eastAsia="仿宋_GB2312"/>
                <w:sz w:val="24"/>
              </w:rPr>
              <w:t>尺寸：按单扇</w:t>
            </w:r>
            <w:r>
              <w:rPr>
                <w:rFonts w:ascii="仿宋_GB2312" w:hAnsi="仿宋_GB2312" w:cs="仿宋_GB2312" w:eastAsia="仿宋_GB2312"/>
                <w:sz w:val="24"/>
              </w:rPr>
              <w:t>柜门洞口实测尺寸定制，门缝均匀。</w:t>
            </w:r>
          </w:p>
          <w:p>
            <w:pPr>
              <w:pStyle w:val="null3"/>
            </w:pPr>
            <w:r>
              <w:rPr>
                <w:rFonts w:ascii="仿宋_GB2312" w:hAnsi="仿宋_GB2312" w:cs="仿宋_GB2312" w:eastAsia="仿宋_GB2312"/>
                <w:sz w:val="24"/>
              </w:rPr>
              <w:t>（三）柜体外露外框（可视木框架）</w:t>
            </w:r>
          </w:p>
          <w:p>
            <w:pPr>
              <w:pStyle w:val="null3"/>
            </w:pPr>
            <w:r>
              <w:rPr>
                <w:rFonts w:ascii="仿宋_GB2312" w:hAnsi="仿宋_GB2312" w:cs="仿宋_GB2312" w:eastAsia="仿宋_GB2312"/>
                <w:sz w:val="24"/>
              </w:rPr>
              <w:t>1.</w:t>
            </w:r>
            <w:r>
              <w:rPr>
                <w:rFonts w:ascii="仿宋_GB2312" w:hAnsi="仿宋_GB2312" w:cs="仿宋_GB2312" w:eastAsia="仿宋_GB2312"/>
                <w:sz w:val="24"/>
              </w:rPr>
              <w:t>板材：</w:t>
            </w:r>
            <w:r>
              <w:rPr>
                <w:rFonts w:ascii="仿宋_GB2312" w:hAnsi="仿宋_GB2312" w:cs="仿宋_GB2312" w:eastAsia="仿宋_GB2312"/>
                <w:sz w:val="24"/>
              </w:rPr>
              <w:t>E0级实木颗粒板，厚度≥16mm，无刺激性气味，并符合环保检测要求。</w:t>
            </w:r>
            <w:r>
              <w:rPr>
                <w:rFonts w:ascii="仿宋_GB2312" w:hAnsi="仿宋_GB2312" w:cs="仿宋_GB2312" w:eastAsia="仿宋_GB2312"/>
                <w:sz w:val="24"/>
              </w:rPr>
              <w:t>(提供第三方检测报告)</w:t>
            </w:r>
          </w:p>
          <w:p>
            <w:pPr>
              <w:pStyle w:val="null3"/>
            </w:pPr>
            <w:r>
              <w:rPr>
                <w:rFonts w:ascii="仿宋_GB2312" w:hAnsi="仿宋_GB2312" w:cs="仿宋_GB2312" w:eastAsia="仿宋_GB2312"/>
                <w:sz w:val="24"/>
              </w:rPr>
              <w:t>2.</w:t>
            </w:r>
            <w:r>
              <w:rPr>
                <w:rFonts w:ascii="仿宋_GB2312" w:hAnsi="仿宋_GB2312" w:cs="仿宋_GB2312" w:eastAsia="仿宋_GB2312"/>
                <w:sz w:val="24"/>
              </w:rPr>
              <w:t>饰面：双饰面，与柜门同色同材质包覆，整体配色统一。</w:t>
            </w:r>
          </w:p>
          <w:p>
            <w:pPr>
              <w:pStyle w:val="null3"/>
            </w:pPr>
            <w:r>
              <w:rPr>
                <w:rFonts w:ascii="仿宋_GB2312" w:hAnsi="仿宋_GB2312" w:cs="仿宋_GB2312" w:eastAsia="仿宋_GB2312"/>
                <w:sz w:val="24"/>
              </w:rPr>
              <w:t>3.</w:t>
            </w:r>
            <w:r>
              <w:rPr>
                <w:rFonts w:ascii="仿宋_GB2312" w:hAnsi="仿宋_GB2312" w:cs="仿宋_GB2312" w:eastAsia="仿宋_GB2312"/>
                <w:sz w:val="24"/>
              </w:rPr>
              <w:t>施工：在原有框架基础上增加边框，接缝平整无翘边，阴阳角顺直。</w:t>
            </w:r>
          </w:p>
          <w:p>
            <w:pPr>
              <w:pStyle w:val="null3"/>
            </w:pPr>
            <w:r>
              <w:rPr>
                <w:rFonts w:ascii="仿宋_GB2312" w:hAnsi="仿宋_GB2312" w:cs="仿宋_GB2312" w:eastAsia="仿宋_GB2312"/>
                <w:sz w:val="24"/>
              </w:rPr>
              <w:t>(四)柜内立面刷白。</w:t>
            </w:r>
          </w:p>
          <w:p>
            <w:pPr>
              <w:pStyle w:val="null3"/>
            </w:pPr>
            <w:r>
              <w:rPr>
                <w:rFonts w:ascii="仿宋_GB2312" w:hAnsi="仿宋_GB2312" w:cs="仿宋_GB2312" w:eastAsia="仿宋_GB2312"/>
                <w:sz w:val="24"/>
              </w:rPr>
              <w:t>表面打磨，喷涂环保乳胶漆刷白，无甲醛、无刺激性气味。</w:t>
            </w:r>
          </w:p>
          <w:p>
            <w:pPr>
              <w:pStyle w:val="null3"/>
            </w:pPr>
            <w:r>
              <w:rPr>
                <w:rFonts w:ascii="仿宋_GB2312" w:hAnsi="仿宋_GB2312" w:cs="仿宋_GB2312" w:eastAsia="仿宋_GB2312"/>
                <w:sz w:val="24"/>
              </w:rPr>
              <w:t>三</w:t>
            </w:r>
            <w:r>
              <w:rPr>
                <w:rFonts w:ascii="仿宋_GB2312" w:hAnsi="仿宋_GB2312" w:cs="仿宋_GB2312" w:eastAsia="仿宋_GB2312"/>
                <w:sz w:val="24"/>
              </w:rPr>
              <w:t>、施工工艺要求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进场前须对每间宿舍壁柜进行现场实测，出具深化下料清单，经采购人确认后方可生产；</w:t>
            </w:r>
          </w:p>
          <w:p>
            <w:pPr>
              <w:pStyle w:val="null3"/>
            </w:pPr>
            <w:r>
              <w:rPr>
                <w:rFonts w:ascii="仿宋_GB2312" w:hAnsi="仿宋_GB2312" w:cs="仿宋_GB2312" w:eastAsia="仿宋_GB2312"/>
                <w:sz w:val="24"/>
              </w:rPr>
              <w:t>2.</w:t>
            </w:r>
            <w:r>
              <w:rPr>
                <w:rFonts w:ascii="仿宋_GB2312" w:hAnsi="仿宋_GB2312" w:cs="仿宋_GB2312" w:eastAsia="仿宋_GB2312"/>
                <w:sz w:val="24"/>
              </w:rPr>
              <w:t>柜体内部清理除尘，老旧钉头、毛刺打磨平整后安装层板；</w:t>
            </w:r>
          </w:p>
          <w:p>
            <w:pPr>
              <w:pStyle w:val="null3"/>
            </w:pPr>
            <w:r>
              <w:rPr>
                <w:rFonts w:ascii="仿宋_GB2312" w:hAnsi="仿宋_GB2312" w:cs="仿宋_GB2312" w:eastAsia="仿宋_GB2312"/>
                <w:sz w:val="24"/>
              </w:rPr>
              <w:t>所有板材裁切无崩边、破损，安装牢固无松动异响；</w:t>
            </w:r>
          </w:p>
          <w:p>
            <w:pPr>
              <w:pStyle w:val="null3"/>
            </w:pPr>
            <w:r>
              <w:rPr>
                <w:rFonts w:ascii="仿宋_GB2312" w:hAnsi="仿宋_GB2312" w:cs="仿宋_GB2312" w:eastAsia="仿宋_GB2312"/>
                <w:sz w:val="24"/>
              </w:rPr>
              <w:t>3.</w:t>
            </w:r>
            <w:r>
              <w:rPr>
                <w:rFonts w:ascii="仿宋_GB2312" w:hAnsi="仿宋_GB2312" w:cs="仿宋_GB2312" w:eastAsia="仿宋_GB2312"/>
                <w:sz w:val="24"/>
              </w:rPr>
              <w:t>完工后整体保洁，柜体内无木屑、胶渍。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交付及工期要求：30个日历天内完工；质保要求：整体改造完工质保期≥5年，自验收合格之日起计算。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板材规格、材质与投标参数一致，进场材料可抽样查验； 层板平整稳固、柜门启闭灵活、外框拼接平整美观； 整体配色统一，无明显色差、磕碰破损； 质保期内因材料、安装质量问题，供应商须免费维修或更换。</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其他，全部工程完工并经采购人验收合格后，采购人于收到供应商合法有效发票后，达到付款条件起10个工作日内，支付合同总金额的100.0%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1.报价要求：本项目为固定总价包干，报价须包含以下全部费用：板材、辅材、五金配件 裁切加工、运输、人工拆除旧柜门、旧外框、新门安装、层板安装、框架饰面施工、垃圾清运、保洁、税金及管理费等。 2.本项目自行踏勘，联系人：王老师，联系电话：88382446。 3.投标保证金注意事项：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提供具有履行本合同所必需专业技术能力的说明及承诺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标的清单 报价表 服务内容及服务要求应答表.docx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完全符合响应采购文件要求，没有负偏离的，由磋商小组综合审定无误得21分，每偏离一项扣2.1分，扣完为止。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提供针对本项目的整体服务方案，内容包括：①整体施工方案②技术服务支持③现场服务能力④施工现场防护。 方案内容完整全面、有针对性，科学合理可实施性强得满分8分；每有一项缺项扣2分，每有一处内容存在缺陷扣1分，扣完为止。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提供针对本项目的工期保证措施，内容包括：①工期保证承诺及保障②工期保证计划安排③工期保证措施。 方案内容完整全面、有针对性，科学合理可实施性强得满分6分；每有一项缺项扣2分，每有一处内容存在缺陷扣1分，扣完为止。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工期保证措施.docx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针对本项目的质量保障方案，内容包括：①针对柜门五金、板材等主要材料的质量证明文件②加工与安装精度质量保证③针对柜门五金、板材变形、收口开裂等常见问题提供专项免费维修更换服务④进场确认与完工保洁质量保证。 方案内容完整全面、有针对性，科学合理可实施性强得满分6分；每有一项缺项扣1.5分，每有一处内容存在缺陷扣0.5分，扣完为止。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提供针对本项目的人员配备，内容包括①人员组织架构②人员管理③人员分工。 内容完整全面、有针对性，科学合理可实施性强得满分6分；每有一项缺项扣2分，每有一处内容存在缺陷扣1分，扣完为止。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提供针对本项目的全生命周期方案，内容包括：① 全生命周期的扩展性和延续性 ② 施工结束后质量检测服务。 内容完整全面、有针对性，科学合理可实施性强得满分4分；每有一项缺项扣2分，每有一处内容存在缺陷扣1分，扣完为止。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提供针对本项目的售后服务承诺，内容包括：① 售后服务网点的设定、日常维护保养 ② 项目交付用户后出现故障响应时间及措施③ 备品备件及时更换的服务内容。 内容完整全面、有针对性，科学合理可实施性强得满分3分；每有一项缺项扣1分，每有一处内容存在缺陷扣0.5分，扣完为止。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评审专家对每个样品的质量材质、工艺、气味、牢固程度、产品质感、外观及款式进行综合评审。 （1）质量材质 ：得0-1分； （2）工艺 ：得0-1分； （3）气味：得0-1分； （4）牢固程度：得0-1分； （5）产品质感：得0-1分； （6）外观及款式：得0-1分； 注：样品提供柜门、隔板、合页，柜门、隔板尺寸为200*200mm，未提供样品或样品不全，该样品不得分。样品密封递交，递交截止时间同投标文件递交截止时间一致。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供应商提供2023年6月1日以来完成的类似项目业绩，每提供1份得2分，最高得10分。 注：需提供完整合同复印件并加盖公章。 类似业绩为：家具改造或定制家具类。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详见附件：工期保证措施.docx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详见附件：学生宿舍壁柜翻新改造工程施工合同.docx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