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版本号：JXRC-26061020260612001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JXRC-260610</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医疗设备采购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为进一步提升我院医疗服务水平，提高医疗服务质量和效率，为患者提供更优质、高效、精准的诊断治疗，结合临床科室需求，需购买医疗设备一批。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注册会计师行业统一监管平台(网址http://acc.mof.gov.cn)赋码可查询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12月1日以来至少一个月的纳税证明或完税证明，纳税证明或完税证明上应有代收机构或税务机关的公章或业务专用章；其他组织和自然人提供自2025年12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12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6、参加本次政府采购活动前三年内，在经营活动中没有重大违法记录：供应商须提供《无重大违法记录声明》。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注册会计师行业统一监管平台(网址http://acc.mof.gov.cn)赋码可查询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12月1日以来至少一个月的纳税证明或完税证明，纳税证明或完税证明上应有代收机构或税务机关的公章或业务专用章；其他组织和自然人提供自2025年12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12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6、参加本次政府采购活动前三年内，在经营活动中没有重大违法记录：供应商须提供《无重大违法记录声明》。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西安市精神卫生中心经办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代理服务费收费标准：参照原中华人民共和国国家计划委员会计价格[2002]1980号文下浮25%计算收取，具体收费额以采购代理机构出具的发票为准。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详见采购文件、供货合同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详见采购文件、供货合同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采购包1（经颅直流电治疗仪及经颅电刺激仪） 1. 经颅直流电治疗仪一套设备（1主机+10便携）： 该设备可同时为多名患者提供治疗，极大提升门诊治疗效率，优化资源配置。便携设备支持参数预设后脱离主机使用，可拓展至病房、日间病房及未来探索“居家治疗”模式，构建“医院-家庭”一体化治疗闭环，显著扩大服务半径和患者可及性。 2.经颅电刺激仪1套： （1）技术先进性与治疗需求：本次申请的高精度经颅电刺激仪，其聚焦性和诱发效应已达到较高水平。设备集成了多种种刺激模式（如tDCS, tACS, tVNS等），支持伪刺激和科研模式，能满足抑郁症、焦虑症、睡眠障碍、精神分裂症（尤其阴性症状）等多样化、个体化的治疗需求，是实现“精准神经调控”的核心设备。 （2）提升综合诊疗能力：该设备能有效拓展非药物治疗手段，为药物难治性患者提供新选择。其高精度参数控制可确保治疗的安全性与耐受性，并能与药物治疗、心理治疗形成协同，构建“药物-电刺激-心理”综合干预体系，全面提升对复杂疑难病例的诊疗能力。 （3）驱动教学与科研创新：设备是理想的“理论-实践-创新”一体化平台，可用于教学演示和规培生操作实践。其强大的多模态刺激能力和数据管理功能，更为开展精神疾病神经机制探索、不同刺激模式的疗效对比等高水平临床研究提供了关键工具，是提升学科科研实力和学术影响力的战略设备。 采购包2（精神压力分析仪（心率变异性分析仪）） 精神压力分析仪（心率变异性分析仪）1台（软件为最新版本）： 更新购置1台精神压力分析仪（心率变异性分析仪），该仪器设备必须同时满足成人和18岁以下人员（儿童/未成年人）的检测需求，免费接入医院HIS系统。 该设备临床应用于成人和儿童/未成年人的精神障碍疾病（抑郁症、焦虑症、精神分裂症等）、自主神经紊乱压力过重导致的失眠、头痛、消化不良、慢性疲劳综合症等的检测，评估整体心理健康状况，观察机体对精神压力的反映程度并作精确定位，对自主神经系统功能定量化分析，观察自主神经系统平衡程度，分析交感神经与副交感神经活性，判断身心承受压力程度和疲劳程度，观察心脏电稳定性，预测精神压力相关疾病的发病风险，评估心血管自主神经调节能力，预测心血管疾病的发病风险，检测末梢血液循环障碍，观察血管老化状态及异常血液循环状况，可预测糖尿病病人的神经系统并发症发病风险。该仪器设备能为心理压力、情绪状态、疼痛等各种压力相关症状的诊疗提供客观检测依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经颅直流电治疗仪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经颅电刺激仪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精神压力分析仪（心率变异性分析仪）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标的名称：经颅直流电治疗仪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一、经颅直流电治疗仪技术参数</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▲1.输出方式：可选择主机通道治疗或便携通道治疗，其中主机通道至少可同时对2名患者进行治疗。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2.具有阻抗检测功能，可实时显示阻抗质量；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3.系统内置不同模式治疗方案，也可根据临床与科研需求设置病症、治疗模式、治疗时间、刺激时间、暂停时间、脉冲频率、刺激强度、阴极部位、阳极部位等；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4.tDCS模式电流强度设置可调，最大输出电流≤2mA；</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5.电流误差≤±10%设定值；</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6.刺激过程中可实时调节电流输出强度；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7.脉冲宽度设置可调，最大脉宽≤1ms；</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8.脉冲频率设置可调，最小脉冲频率≥5Hz；</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9.刺激时间设置可调，最大刺激时长≥60min；</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10.刺激模式≥4种刺激模式；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11.刺激过程中，可进行治疗“暂停”或“继续”，不关闭电源的前提下可随时一键终止电流输出。</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▲12.提供≥10台移动便携设备。</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13.支持后期拓展增配移动便携设备，拓展增配数≥20；</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14.支持移动便携设备可独立运行，脱离主机且无需联网或蓝牙连接；</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15.具备矩形理疗电极片、耳部电极，配备多部位电极线（≥4部位）可进行多部位治疗。</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16.全中文操作系统，配套的管理软件系统支持病历信息管理，可新建病历信息：病人姓名、出生日期、性别、病历号、治疗次数、科室、床号等信息，查询框输入“病人姓名/病历号/姓氏”可查询所需病历。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17.可根据患者的治疗记录进行选择或建立新的治疗方案。内置治疗方案，操作者既可使用内置方案进行治疗，亦可自定义新的治疗方案。</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18.显示各通道运行状态、治疗剩余时间、当前通道治疗病人姓名、治疗方案以及负载阻值等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19.治疗完成后设备自动生成并保存治疗记录。进入治疗记录窗口，可查看、删除或打印历史治疗记录。</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20.可设置治疗提示音，治疗时间结束或终止治疗会播放语音提示。</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21.自动输出报告，也可根据需求自定义编辑报告模板，医院名称、科室等信息可编辑。支持打印单人治疗记录、多人治疗记录。</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▲22.负责对接医院HIS系统（费用包含在投标报价中）。</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23.需提供产品说明书、彩页或技术要求并加盖制造商公章或第三方检验报告进行佐证。</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24.使用年限≥5年，自生产日期起到安装验收时半年内的产品。</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25.所提供的产品如符合相关计量检定、校准、检测要求的须提供有资质部门的最新相关报告证书。</w:t>
            </w:r>
          </w:p>
        </w:tc>
      </w:tr>
    </w:tbl>
    <w:p>
      <w:pPr>
        <w:pStyle w:val="null3"/>
      </w:pPr>
      <w:r>
        <w:rPr>
          <w:rFonts w:ascii="仿宋_GB2312" w:hAnsi="仿宋_GB2312" w:cs="仿宋_GB2312" w:eastAsia="仿宋_GB2312"/>
        </w:rPr>
        <w:t>标的名称：经颅电刺激仪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二、经颅电刺激仪技术参数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 输出通道：有线输出组合，单台设备具有≥2个高精度输出通道，≥2个常规输出通道，可同时用不同模式治疗2名患者。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▲2.刺激类型：常规通道支持≥2个电极输出，高精度通道支持≥5个电极构成的环绕刺激矩阵。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3.具备阻抗检测功能，显示实时阻抗值。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4.系统内置多种不同病症相关治疗方案，也可在系统内根据临床经验新建治疗方案。</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 刺激模式：须包含 tDCS经颅直流电刺激模式、 tACS经颅交流电刺激模式、tPCS经颅脉冲电刺激模式、CES经颅微电流刺激模式、tRNS经颅随机噪声刺激模式五种刺激模式等（提供第三方检验报告证明）</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6. 电流强度</w:t>
            </w:r>
          </w:p>
          <w:p>
            <w:pPr>
              <w:pStyle w:val="null3"/>
            </w:pPr>
            <w:r>
              <w:rPr>
                <w:rFonts w:ascii="仿宋_GB2312" w:hAnsi="仿宋_GB2312" w:cs="仿宋_GB2312" w:eastAsia="仿宋_GB2312"/>
              </w:rPr>
              <w:t>6.1电流强度范围：至少包括0～2500μA，范围内可调（提供第三方检验报告证明）</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6.2刺激过程中可实时调节电流输出强度，通过专用电流调节旋钮，可快速实现电流粗调与微调。</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6.3 可设置电流淡入、淡出时间。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7. 输出频率范围0～200Hz，可调。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8. 刺激时间范围0~60min，可调。</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9. CES经颅微电流刺激模式 （提供第三方检验报告证明）</w:t>
            </w:r>
          </w:p>
          <w:p>
            <w:pPr>
              <w:pStyle w:val="null3"/>
            </w:pPr>
            <w:r>
              <w:rPr>
                <w:rFonts w:ascii="仿宋_GB2312" w:hAnsi="仿宋_GB2312" w:cs="仿宋_GB2312" w:eastAsia="仿宋_GB2312"/>
              </w:rPr>
              <w:t>9.1脉冲宽度：500µs，允差±5%。</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9.2 脉冲频率：990Hz，允差±5%</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10.具有伪刺激功能。</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11.具有预刺激模式。</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12.具有单相/双相波形功能，可实现tODCS经颅震荡直流电刺激。</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13.治疗过程中可进行治疗“暂停”或“继续”，也可按下专用终止按键，一键终止治疗，终止按键独立设置。</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14.治疗过程中阻抗检测异常发出警示音，治疗时间结束或终止治疗播放语音提示。</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15.具备理疗电极片、圆形电极、耳夹电极、高精度环形电极（外径≤12mm,内径≤6mm）。</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16. 可无线连接打印机，支持打印治疗报告。</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▲17.配备BNC接口，支持外部操作驱动设备输出，可实现与fNIRS/MRI/EEG等多种设备联合使用。</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18.配套的管理软件具有患者档案管理功能，可以新增、查询、删除患者，能够显示病人姓名、出生日期、性别、病历号、治疗次数、科室、床号等信息。</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19.内置治疗方案，操作者既可使用内置方案进行治疗，亦可自定义新的治疗方案。</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20.可显示每个通道运行状态，显示病人信息、设定电流和实际输出强度、阻抗检测结果、治疗剩余时间等功能。</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21.自动生成并保存治疗记录，方便医保核查。</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22.报告打印功能：内置报告模板，可一键打印治疗报告，也可自定义编辑报告模板。</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▲23.负责对接医院HIS系统（费用包含在投标报价中）</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24.重要参数，需提供产品说明书、彩页或技术要求并加盖制造商公章或第三方检验报告进行佐证。</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25.使用年限≥10年，自生产日期起到安装验收时半年内的产品。</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26.所提供的产品如符合相关计量检定、校准、检测要求的须提供有资质部门的最新相关报告证书。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标的名称：精神压力分析仪（心率变异性分析仪）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1.设备基本功能要求</w:t>
            </w:r>
          </w:p>
          <w:p>
            <w:pPr>
              <w:pStyle w:val="null3"/>
            </w:pPr>
            <w:r>
              <w:rPr>
                <w:rFonts w:ascii="仿宋_GB2312" w:hAnsi="仿宋_GB2312" w:cs="仿宋_GB2312" w:eastAsia="仿宋_GB2312"/>
              </w:rPr>
              <w:t>1.1.具备检查自主神经均衡度功能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1.2.具备精神、躯体上的压力检测分析功能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1.3.具备糖尿病性神经病症的早期检测功能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1.4.具备针对心脏猝死的预测指标功能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1.5.具备血管老化及血液循环检测，评价血管弹性和老化程度；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1.6.具备心血管循环系统检测、动脉硬化等心血管疾病的早期预测功能；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1.7.具备心率的分析：平均心率数、脉频、缓脉和异常心率数和心律不齐指标等；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1.8.具备药物治疗效果评价</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▲1.9.具备针对18岁以下人员（儿童/未成年人）的情感分析和紧张状态分析，以及压力的综合评价等功能；</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1.10.具备通过特定的呼吸训练方式，激活副交感神经系统，舒缓压力。</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1.11.具备与医院HIS系统对接功能，具备人工操作功能（在医院HIS系统临时故障时，还能够正常运行，进行检查、采集存储、打印报告等操作，在HIS系统恢复后能够上传相关检查数据资料等）。并负责接入医院现有HIS系统，完成报告的存储、电子签名、审核上传等，所产生的费用包含在投标报价中。</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2.检测参数要求</w:t>
            </w:r>
          </w:p>
          <w:p>
            <w:pPr>
              <w:pStyle w:val="null3"/>
            </w:pPr>
            <w:r>
              <w:rPr>
                <w:rFonts w:ascii="仿宋_GB2312" w:hAnsi="仿宋_GB2312" w:cs="仿宋_GB2312" w:eastAsia="仿宋_GB2312"/>
              </w:rPr>
              <w:t>2.1 成人模式</w:t>
            </w:r>
          </w:p>
          <w:p>
            <w:pPr>
              <w:pStyle w:val="null3"/>
            </w:pPr>
            <w:r>
              <w:rPr>
                <w:rFonts w:ascii="仿宋_GB2312" w:hAnsi="仿宋_GB2312" w:cs="仿宋_GB2312" w:eastAsia="仿宋_GB2312"/>
              </w:rPr>
              <w:t>2.1.1.心率变异检测</w:t>
            </w:r>
          </w:p>
          <w:p>
            <w:pPr>
              <w:pStyle w:val="null3"/>
            </w:pPr>
            <w:r>
              <w:rPr>
                <w:rFonts w:ascii="仿宋_GB2312" w:hAnsi="仿宋_GB2312" w:cs="仿宋_GB2312" w:eastAsia="仿宋_GB2312"/>
              </w:rPr>
              <w:t>（1）具备HRV（心率变异检测）：自主神经分析HRV功能，包括HRV波形图、能量光谱密度图、直方图、散点图、柱状图、自主神经系统平衡图等。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（2）具备时域分析：平均心率、异常心率、心率变异标准偏差、连续性差异的平方根、身体压力指数、心率复杂度、检测稳定度等。</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（3）具备频域分析：总能量、极低频、低频、高频、低频标准值、高频标准值、高低频比率等。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（4）具备精神压力指标分析功能：自主神经系统稳定性、自主神经系统的活性、自主神经系统的平衡、抗压能力、压力指数、疲劳指数、平均心率、心脏稳定性分析、异常心率等。</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2.1.2 APG（心血管循环系统检测）：</w:t>
            </w:r>
          </w:p>
          <w:p>
            <w:pPr>
              <w:pStyle w:val="null3"/>
            </w:pPr>
            <w:r>
              <w:rPr>
                <w:rFonts w:ascii="仿宋_GB2312" w:hAnsi="仿宋_GB2312" w:cs="仿宋_GB2312" w:eastAsia="仿宋_GB2312"/>
              </w:rPr>
              <w:t>（1）具备加速度脉波波形分析，基于PTG两次微分的基本波形功能。</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（2）具备血管状态分析（≥7个血管状态评价阶段）功能。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（3）具备管老化指数、动脉血管弹性度、末梢血管弹性度等分析功能。</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（4）具备自动评估血液循环和血管状态，给出相应的指导建议。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2.1.3 呼吸训练（自主神经平衡与功能恢复）：</w:t>
            </w:r>
          </w:p>
          <w:p>
            <w:pPr>
              <w:pStyle w:val="null3"/>
            </w:pPr>
            <w:r>
              <w:rPr>
                <w:rFonts w:ascii="仿宋_GB2312" w:hAnsi="仿宋_GB2312" w:cs="仿宋_GB2312" w:eastAsia="仿宋_GB2312"/>
              </w:rPr>
              <w:t>（1）具备通过特定的呼吸训练，激活副交感神经系统功能。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（2）具备先行学习模式：测试计算受检者目标呼吸次数，测试时间≥2分钟。</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（3）具备训练模式：生物反馈模式、自调模式等。</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（4）具备在生物反馈模式下，能够设置目标呼吸次数的难度（RSA等级）。</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（5）具备在自调模式下，能够设置目标呼吸次数和RSA图像。</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（6）具备可选择ECG或PPG传感器。</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（7）具备选择3分钟、5分钟和10分钟功能。</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（8）具备呼吸训练效果评价功能：呼吸训练前后HRV心率变异图对比等功能。</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2.2 儿童/未成年人模式 HRV（心率变异检测）：</w:t>
            </w:r>
          </w:p>
          <w:p>
            <w:pPr>
              <w:pStyle w:val="null3"/>
            </w:pPr>
            <w:r>
              <w:rPr>
                <w:rFonts w:ascii="仿宋_GB2312" w:hAnsi="仿宋_GB2312" w:cs="仿宋_GB2312" w:eastAsia="仿宋_GB2312"/>
              </w:rPr>
              <w:t>2.2.1具备自主神经分析HRV：HRV波形图、能量光谱密度图、自主神经系统平衡图、直方图、散点图、柱状图等项功能。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2.2.2 具备心率定量化分析：平均心率、最快心率、最慢心率、异常心率等分析功能。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2.2.3 具备压力分析：压力指数、压力评估等项分析功能。</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2.2.4 具备ANS 平衡度分析：低频、高频、高低频比率、交感、副交感神经的平衡度、综合评价等功能。</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2.2.5 具备抗压能力分析：抗压能力（心率变异标准偏差 SDNN）、抗压能力评估等功能。</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2.2.6 具备自主神经调节能力分析：总能量、极低频、低频、高频、自主神经系统稳定性、自主神经系统的活性、自主神经系统的平衡等。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2.2.7 具备压力综合评价及评分。</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3.技术参数要求：</w:t>
            </w:r>
          </w:p>
          <w:p>
            <w:pPr>
              <w:pStyle w:val="null3"/>
            </w:pPr>
            <w:r>
              <w:rPr>
                <w:rFonts w:ascii="仿宋_GB2312" w:hAnsi="仿宋_GB2312" w:cs="仿宋_GB2312" w:eastAsia="仿宋_GB2312"/>
              </w:rPr>
              <w:t>▲3.1.检测方式采用光电传感器和电极。</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3.2.具备重复使用的手指传感器。</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▲3.3.具备重复使用的电极夹和电极连接线。</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3.4.脉波/心率测定范围：30—200 BPM</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3.5.脉波/心率测量重复性：±2BPM或2%取大值</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3.6.检测时间可选择3分钟或5分钟。</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3.7.检测年龄：具备儿童/未成年人模式（≤18岁）和成人模式（&gt;18岁）。</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3.8.具备自动打印结果报告书，提供指导建议。</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3.9.具备自动分析系统功能：对自主神经活性度、自主神经均衡度、抗压能力、压力指数、疲劳度、心率、心脏稳定度、异常心率等检查结果的解读分析。</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4. 硬件设备规格基本要求：</w:t>
            </w:r>
          </w:p>
          <w:p>
            <w:pPr>
              <w:pStyle w:val="null3"/>
            </w:pPr>
            <w:r>
              <w:rPr>
                <w:rFonts w:ascii="仿宋_GB2312" w:hAnsi="仿宋_GB2312" w:cs="仿宋_GB2312" w:eastAsia="仿宋_GB2312"/>
              </w:rPr>
              <w:t>4.1.系统O/S : Windows 7及以上。</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4.2.显示屏：≥12英寸彩色液晶触摸屏。</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4.3.分辨率：≥1200×900像素。</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4.4.输入方式：触摸屏和键盘鼠标。</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5.设备运行条件基本要求：</w:t>
            </w:r>
          </w:p>
          <w:p>
            <w:pPr>
              <w:pStyle w:val="null3"/>
            </w:pPr>
            <w:r>
              <w:rPr>
                <w:rFonts w:ascii="仿宋_GB2312" w:hAnsi="仿宋_GB2312" w:cs="仿宋_GB2312" w:eastAsia="仿宋_GB2312"/>
              </w:rPr>
              <w:t>5.1具备电击保护等级：Ι级BF型</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5.2功率：≤40VA</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6.其它要求：</w:t>
            </w:r>
          </w:p>
          <w:p>
            <w:pPr>
              <w:pStyle w:val="null3"/>
            </w:pPr>
            <w:r>
              <w:rPr>
                <w:rFonts w:ascii="仿宋_GB2312" w:hAnsi="仿宋_GB2312" w:cs="仿宋_GB2312" w:eastAsia="仿宋_GB2312"/>
              </w:rPr>
              <w:t>6.1 打印机：彩色连供喷墨打印机1台（扫描、复印、打印一体机）。</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6.2工作人员操作桌椅1套，患者检查座椅1把。</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6.3负责制作安装宣传介绍版1块：参照使用科室统一要求制作。</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6.4人员培训：厂家提供专业人员现场操作和培训，以及培训证书。</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7.使用年限≥5年，自生产日期起到安装验收时半年内的产品。</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8.所提供的产品如符合相关计量检定、校准、检测要求的须提供有资质部门的最新相关报告证书。</w:t>
            </w:r>
          </w:p>
        </w:tc>
      </w:tr>
      <w:tr>
        <w:tc>
          <w:tcPr>
            <w:tcW w:type="dxa" w:w="2769"/>
          </w:tcPr>
          <w:p>
            <w:pPr>
              <w:pStyle w:val="null3"/>
            </w:pPr>
            <w:r>
              <w:rPr>
                <w:rFonts w:ascii="仿宋_GB2312" w:hAnsi="仿宋_GB2312" w:cs="仿宋_GB2312" w:eastAsia="仿宋_GB2312"/>
              </w:rPr>
              <w:t>56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▲9.所投产品医疗器械注册证中结构及组成应包含ECG电极传感器，用于对患者的心率进行测量和分析。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30个日历日以内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30个日历日以内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西安市精神卫生中心指定地点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西安市精神卫生中心指定地点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进度款，所有货物到达甲方指定地点，安装、调试完毕，设备运转正常并验收合格后，达到付款条件起60个工作日内，支付合同总金额的90.0%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进度款，首次支付后三年后设备运行，如无任何质量、服务等问题时，终验收合格后，达到付款条件起60个工作日内，支付合同总金额的10.0%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进度款，所有货物到达甲方指定地点，安装、调试完毕，设备运转正常并验收合格后，达到付款条件起60个工作日内，支付合同总金额的90.0%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进度款，首次支付后三年后设备运行，如无任何质量、服务等问题时，终验收合格后，达到付款条件起60个工作日内，支付合同总金额的10.0%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符合国家和行业的相关技术要求和质量规范。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符合国家和行业的相关技术要求和质量规范。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包装：（一）除合同另有规定外，供应商提供的全部货物，均应按标准保护措施进行包装。这类包装应适应于远距离运输、防潮、防震、防锈和防野蛮装卸，以确保货物安全无损运抵项目现场。 （二）每一个包装箱内应附一份详细装箱单和质量合格证。 运输：（一）运输由供应商负责，运杂费已包含在合同总价内，包括从货物供应地点所含的运输费、装卸费、仓储费、保险费等。 （二）运输方式由供应商自行选择，但必须保证按期、保证质保量交货。 （三）采购人接收货物并获得甲方验收合格前，货物毁损、灭失等一切风险由供应商自行承担。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包装：（一）除合同另有规定外，供应商提供的全部货物，均应按标准保护措施进行包装。这类包装应适应于远距离运输、防潮、防震、防锈和防野蛮装卸，以确保货物安全无损运抵项目现场。 （二）每一个包装箱内应附一份详细装箱单和质量合格证。 运输：（一）运输由供应商负责，运杂费已包含在合同总价内，包括从货物供应地点所含的运输费、装卸费、仓储费、保险费等。 （二）运输方式由供应商自行选择，但必须保证按期、保证质保量交货。 （三）采购人接收货物并获得甲方验收合格前，货物毁损、灭失等一切风险由供应商自行承担。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（一）按《政府采购法》、《民法典》中的相关条款执行。 （二）未按合同要求提供货物或质量不能满足谈判技术要求，乙方必须【15】日内无条件免费更换，提高技术，完善质量，并按照货物总额的【1】%向甲方支付违约金；乙方拒不更换或者更换【2】次后仍无法满足甲方谈判技术要求的，甲方会同鉴证方有权解除合同，合同自书面解除通知送达乙方之日起解除，乙方应当按照合同总额的30%向甲方支付违约金，违约金不足以弥补甲方损失的，乙方需另行支付。同时，甲方有权对乙方的违约行为报监管机构进行相应的处罚。 （三）乙方未按照约定期间交货时，交货期每超过一天，乙方应按照合同总价款的 1 ‰向甲方支付违约金；迟延交货超过【5】天的，视为乙方根本违约，甲方有权单方解除合同，合同自甲方书面解除通知送达乙方之日起解除，乙方应当按照合同总额的30%向甲方支付违约金，违约金不足以弥补甲方损失的，乙方需另行支付。 （四）乙方应确保所供产品、货物不存在任何权利瑕疵，否则，因此产生的纠纷由乙方负责解决并承担全部赔偿责任，甲方因此被索赔时，有权就其支出的全部费用向乙方追偿。 （五）乙方违约时，甲方为主张权利而支出的律师费、诉讼费等费用由乙方承担。 （六）在乙方违约的情况下，甲方报告西安市政府采购管理处后，有权终止合同，并依法向乙方进行索赔。 （七）因产品质量所造成的医疗事故或纠纷，乙方应承担由此引起的一切法律责任，甲方因此遭遇索赔的，有权向乙方追偿。 （八）乙方在质保期内累计【2】次未按约定响应，或维修【2】次后设备仍无法正常使用，视为乙方根本违约，甲方有权委托第三方进行维修，同时乙方应当按照合同总额的【30】%向甲方支付违约金，违约金不足以弥补损失的，由乙方另行支付。违约金可先行在甲方应支付价款中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（一）按《政府采购法》、《民法典》中的相关条款执行。 （二）未按合同要求提供货物或质量不能满足谈判技术要求，乙方必须【15】日内无条件免费更换，提高技术，完善质量，并按照货物总额的【1】%向甲方支付违约金；乙方拒不更换或者更换【2】次后仍无法满足甲方谈判技术要求的，甲方会同鉴证方有权解除合同，合同自书面解除通知送达乙方之日起解除，乙方应当按照合同总额的30%向甲方支付违约金，违约金不足以弥补甲方损失的，乙方需另行支付。同时，甲方有权对乙方的违约行为报监管机构进行相应的处罚。 （三）乙方未按照约定期间交货时，交货期每超过一天，乙方应按照合同总价款的 1 ‰向甲方支付违约金；迟延交货超过【5】天的，视为乙方根本违约，甲方有权单方解除合同，合同自甲方书面解除通知送达乙方之日起解除，乙方应当按照合同总额的30%向甲方支付违约金，违约金不足以弥补甲方损失的，乙方需另行支付。 （四）乙方应确保所供产品、货物不存在任何权利瑕疵，否则，因此产生的纠纷由乙方负责解决并承担全部赔偿责任，甲方因此被索赔时，有权就其支出的全部费用向乙方追偿。 （五）乙方违约时，甲方为主张权利而支出的律师费、诉讼费等费用由乙方承担。 （六）在乙方违约的情况下，甲方报告西安市政府采购管理处后，有权终止合同，并依法向乙方进行索赔。 （七）因产品质量所造成的医疗事故或纠纷，乙方应承担由此引起的一切法律责任，甲方因此遭遇索赔的，有权向乙方追偿。 （八）乙方在质保期内累计【2】次未按约定响应，或维修【2】次后设备仍无法正常使用，视为乙方根本违约，甲方有权委托第三方进行维修，同时乙方应当按照合同总额的【30】%向甲方支付违约金，违约金不足以弥补损失的，由乙方另行支付。违约金可先行在甲方应支付价款中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（一）质保期内： 1、发生质量（包括软件部分）问题，接到甲方通知后，应于当日派出专业的维修人员到现场进行检测维修。发生的全部费用由乙方承担，若需送回生产厂，乙方承担往返费用并在【2】日内向甲方提供替代产品，确保甲方业务的正常开展； 2、每月派技术人员到现场走访，给予检查维护； 3、质保期内，乙方提供免费维修服务，承诺维修服务响应时间为【2】小时，解决问题不超过【24】小时，对问题较大无法在上述期限内解决的，为不影响甲方正常使用，乙方在【48】小时内提供替代产品；否则甲方有权指定第三方维修，维修费用由乙方承担，甲方可在货款和其他应付乙方款项中扣除。 4、物品在质保期内，如果出现两次以上因质量问题引起的故障，乙方公司负责更换同类全新、合格的物品。 5、如因乙方物品质量问题，导致甲方损失，乙方应予以赔偿。 （二）保修期结束前，进行系统测试，全面保养维护，确保正常运行。 （三）保修期结束后，乙方对设备终身维护，维修只能按市场最低价收取配件费，人工服务费全免，并提供技术支持。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12月1日以来至少一个月的纳税证明或完税证明，纳税证明或完税证明上应有代收机构或税务机关的公章或业务专用章；其他组织和自然人提供自2025年12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12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12月1日以来至少一个月的纳税证明或完税证明，纳税证明或完税证明上应有代收机构或税务机关的公章或业务专用章；其他组织和自然人提供自2025年12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12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商务响应偏离表 产品业绩 投标方案 技术响应偏离表 其他材料 投标人基本信息 供应商承诺书 响应函 供应商资格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商务响应偏离表 产品业绩 投标方案 技术响应偏离表 其他材料 标的清单 投标人基本信息 供应商承诺书 响应函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采购包1（经颅直流电治疗仪及经颅电刺激仪）： 投标产品的技术指标满足或高于采购文件要求的，得满分30分。“▲”号技术指标（共7项，满分21分）为重点技术指标，每不满足一项扣3分；非“▲”号技术指标（满分9分），负偏离在20项以内（包含20项），每不满足一项扣0.45分， 负偏离在20项以上，非“▲”号技术指标得0分。 注：1.对带 “▲”的技术参数，必须在响应文件中提供技术支持资料（须提供产品说明书或产品彩页或加盖制造商公章的技术要求或权威机构出具的检验报告或技术参数要求的佐证资料），特别对有具体参数数值的指标，供应商必须提供所投设备的具体参数值，并在技术响应偏离表中标注对应页码及位置，未提供或所提供材料无法有效证明的或虚假响应的将视为不满足本参数要求。2、无标识的技术参数，对于要求提供佐证材料的参数，供应商在响应文件中必须提供相应佐证资料予以证明其技术指标响应性；其他未要求提供佐证材料的参数，供应商在响应文件中应尽可能多地提供技术支持资料予以证明其技术指标响应性（不限于产品说明书或产品彩页或加盖制造商公章的技术要求或权威机构出具的检验报告或技术参数要求的佐证资料），并在技术响应偏离表中标注对应页码及位置，特别对有具体参数值的指标，供应商必须提供所投资备的具体参数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1、设备选型方案思路清晰、科学合理、可行性强、完全满足采购人需求得8分； 2、设备选型方案思路清晰、科学合理、可行性较强、满足采购人需求得6分； 3、设备选型方案合理完善、可行性较强、基本满足采购人需求得4分； 4、设备选型方案有缺漏项、可行性一般得2分；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1、完整性：方案须全面，对评审内容中的各项要求有详细描述；2、可实施性：切合本项目实际情况，实施步骤清晰、合理； 3、针对性：方案能够紧扣本项目所采购设备种类等实际情况，内容科学合理。 三、赋分依据（满分9分） ①保供方案: 每完全满足一个评审标准得1分，基本满足得0.5分，不满足得0分，满分3分； ②团队人员配置计划及车辆配送安排计划: 每完全满足一个评审标准得1分，基本满足得0.5分，不满足得0分，满分3分； ③具有健全的产品安装、检测、调试、试运行及验收方案: 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三、赋分依据（满分3分） ①符合国家相关质量标准、通过国家法定检验注册，产品性能稳定：每完全满足一个评审标准得0.75分，基本满足得0.5分，不满足得0分，满分1.5分； ②在产品使用、技术保障方面的承诺和保证措施：每完全满足一个评审标准得0.75分，基本满足得0.5分，不满足得0分，满分1.5分。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①设备故障及维修服务到场响应时限：每完全满足一个评审标准得0.5分，基本满足得0.25分，不满足得0分，满分1.5分； ②其他应急突发状况处置措施：每完全满足一个评审标准得0.5分，基本满足得0.25分，不满足得0分，满分1.5分。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三、赋分依据（满分4分） ①售后服务保障体系:每完全满足一个评审标准得1分，基本满足得0.5分，不满足得0分，满分2分； ②提供售后服务承诺且符合实际需求: 每完全满足一个评审标准得1分，基本满足得0.5分，不满足得0分，满分2分； 注：须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三、赋分依据（满分3分） ①免费为使用单位培训操作维护人员：每完全满足一个评审标准得0.5分，基本满足得0.25分，不满足得0分，满分1.5分； ②培训及现场服务方案：每完全满足一个评审标准得0.5分，基本满足得0.25分，不满足得0分，满分1.5分。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提供2023年6月1日至响应文件递交截止时间所投产品厂家的市场销售业绩（以合同签订日期为准）：每提供1份有效业绩得2分，满分10分。 注：响应文件中须提供完整有效的合同复印件；复印件加盖供应商电子章。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采购包2（精神压力分析仪（心率变异性分析仪））： 投标产品的技术指标满足或高于采购文件要求的，得满分30分。“▲”号技术指标（共5项，满分15分）为重点技术指标，每不满足一项扣3分；非“▲”号技术指标（满分15分），负偏离在20项以内（包含20项），每不满足一项扣0.75分， 负偏离在20项以上，非“▲”号技术指标得0分。 注：1.对带 “▲”的技术参数，必须在响应文件中提供技术支持资料（须提供产品说明书或产品彩页或加盖制造商公章的技术要求或权威机构出具的检验报告或技术参数要求的佐证资料），特别对有具体参数数值的指标，供应商必须提供所投设备的具体参数值，并在技术响应偏离表中标注对应页码及位置，未提供或所提供材料无法有效证明的或虚假响应的将视为不满足本参数要求。2、无标识的技术参数，对于要求提供佐证材料的参数，供应商在响应文件中必须提供相应佐证资料予以证明其技术指标响应性；其他未要求提供佐证材料的参数，供应商在响应文件中应尽可能多地提供技术支持资料予以证明其技术指标响应性（不限于产品说明书或产品彩页或加盖制造商公章的技术要求或权威机构出具的检验报告或技术参数要求的佐证资料），并在技术响应偏离表中标注对应页码及位置，特别对有具体参数值的指标，供应商必须提供所投资备的具体参数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1、设备选型方案思路清晰、科学合理、可行性强、完全满足采购人需求得8分； 2、设备选型方案思路清晰、科学合理、可行性较强、满足采购人需求得6分； 3、设备选型方案合理完善、可行性较强、基本满足采购人需求得4分； 4、设备选型方案有缺漏项、可行性一般得2分；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1、完整性：方案须全面，对评审内容中的各项要求有详细描述；2、可实施性：切合本项目实际情况，实施步骤清晰、合理； 3、针对性：方案能够紧扣本项目所采购设备种类等实际情况，内容科学合理。 三、赋分依据（满分9分） ①保供方案: 每完全满足一个评审标准得1分，基本满足得0.5分，不满足得0分，满分3分； ②团队人员配置计划及车辆配送安排计划: 每完全满足一个评审标准得1分，基本满足得0.5分，不满足得0分，满分3分； ③具有健全的产品安装、检测、调试、试运行及验收方案: 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三、赋分依据（满分3分） ①符合国家相关质量标准、通过国家法定检验注册，产品性能稳定：每完全满足一个评审标准得0.75分，基本满足得0.5分，不满足得0分，满分1.5分； ②在产品使用、技术保障方面的承诺和保证措施：每完全满足一个评审标准得0.75分，基本满足得0.5分，不满足得0分，满分1.5分。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①设备故障及维修服务到场响应时限：每完全满足一个评审标准得0.5分，基本满足得0.25分，不满足得0分，满分1.5分； ②其他应急突发状况处置措施：每完全满足一个评审标准得0.5分，基本满足得0.25分，不满足得0分，满分1.5分。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三、赋分依据（满分4分） ①售后服务保障体系:每完全满足一个评审标准得1分，基本满足得0.5分，不满足得0分，满分2分； ②提供售后服务承诺且符合实际需求: 每完全满足一个评审标准得1分，基本满足得0.5分，不满足得0分，满分2分； 注：须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三、赋分依据（满分3分） ①免费为使用单位培训操作维护人员：每完全满足一个评审标准得0.5分，基本满足得0.25分，不满足得0分，满分1.5分； ②培训及现场服务方案：每完全满足一个评审标准得0.5分，基本满足得0.25分，不满足得0分，满分1.5分。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提供2023年6月1日至响应文件递交截止时间所投产品厂家的市场销售业绩（以合同签订日期为准）：每提供1份有效业绩得2分，满分10分。 注：响应文件中须提供完整有效的合同复印件；复印件加盖供应商电子章。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详见附件：产品业绩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详见附件：产品业绩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