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版本号：ZD0926-009ZXA20260716001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健康体检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ZD0926-009ZXA</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健康体检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ZD0926-009ZXA</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健康体检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按照预算安排，根据单位确认的体检内容，通过政府采购程序，确认供应商，按照要求完成单位⺠辅警年度体检任务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1、供应商特定资格要求：供应商须具有卫生主管部门颁发的《医疗机构执业许可证》含体检项目。供应商需在项⽬电⼦化交易系统中按要求上传相应证明⽂件并进⾏电⼦签章。</w:t>
      </w:r>
    </w:p>
    <w:p>
      <w:pPr>
        <w:pStyle w:val="null3"/>
      </w:pPr>
      <w:r>
        <w:rPr>
          <w:rFonts w:ascii="仿宋_GB2312" w:hAnsi="仿宋_GB2312" w:cs="仿宋_GB2312" w:eastAsia="仿宋_GB2312"/>
        </w:rPr>
        <w:t>2、供应商特定资格要求：供应商须具有卫生主管部门颁发的《放射诊疗许可证》。供应商需在项⽬电⼦化交易系统中按要求上传相应证明⽂件并进⾏电⼦签章。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029-86772806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 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采购包1：1,476,800.00元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招标代理服务收费管理暂⾏办法的通知》（计价格〔2002〕1980号）和《关于招标代理服务收费有关问题的通知》（发改办价格〔2003〕857号）⽂件规定按标准收取。具体收费⾦额将在中标（成交）结果公告中公布。开⼾名称：正⼤⽅略⼯程咨询有限公司 开⼾⾏名称：西安银⾏东⼆环南段⽀⾏ 账号： 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联系电话：029-88892218-803</w:t>
      </w:r>
    </w:p>
    <w:p>
      <w:pPr>
        <w:pStyle w:val="null3"/>
      </w:pPr>
      <w:r>
        <w:rPr>
          <w:rFonts w:ascii="仿宋_GB2312" w:hAnsi="仿宋_GB2312" w:cs="仿宋_GB2312" w:eastAsia="仿宋_GB2312"/>
        </w:rPr>
        <w:t>地址：西安市雁塔区南⼆环东段22号（凯森盛世1号）A座27楼招标六部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本项⽬预算⾦额1,476,800.00元，按照预算安排，根据单位确认的体检内容，通过招投标程序，确认供应商，按照要求完成单位民辅警年度体检任务。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1,476,800.00</w:t>
      </w:r>
    </w:p>
    <w:p>
      <w:pPr>
        <w:pStyle w:val="null3"/>
      </w:pPr>
      <w:r>
        <w:rPr>
          <w:rFonts w:ascii="仿宋_GB2312" w:hAnsi="仿宋_GB2312" w:cs="仿宋_GB2312" w:eastAsia="仿宋_GB2312"/>
        </w:rPr>
        <w:t>采购包最高限价（元）: 1,476,800.00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健康体检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1,476,800.00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left"/>
            </w:pPr>
            <w:r>
              <w:rPr>
                <w:rFonts w:ascii="仿宋_GB2312" w:hAnsi="仿宋_GB2312" w:cs="仿宋_GB2312" w:eastAsia="仿宋_GB2312"/>
                <w:sz w:val="24"/>
              </w:rPr>
              <w:t>按照预算安排，根据单位确认的体检内容，通过政府采购程序，确认供应商，按照要求完成单位民辅警年度体检任务</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服务内容</w:t>
            </w:r>
          </w:p>
          <w:p>
            <w:pPr>
              <w:pStyle w:val="null3"/>
              <w:ind w:firstLine="480"/>
              <w:jc w:val="left"/>
            </w:pPr>
            <w:r>
              <w:rPr>
                <w:rFonts w:ascii="仿宋_GB2312" w:hAnsi="仿宋_GB2312" w:cs="仿宋_GB2312" w:eastAsia="仿宋_GB2312"/>
                <w:sz w:val="24"/>
              </w:rPr>
              <w:t>根据体检标准分为两类，第一类：每人预算</w:t>
            </w:r>
            <w:r>
              <w:rPr>
                <w:rFonts w:ascii="仿宋_GB2312" w:hAnsi="仿宋_GB2312" w:cs="仿宋_GB2312" w:eastAsia="仿宋_GB2312"/>
                <w:sz w:val="24"/>
              </w:rPr>
              <w:t xml:space="preserve">1400元，分为男40岁及以下，男41岁以上，女40岁及以下，女41岁以上，未婚女等五组，第二类，每人预算500元，分为男、女组和女未婚组。根据体检标准，分别明确体检项目。  </w:t>
            </w:r>
          </w:p>
          <w:tbl>
            <w:tblPr>
              <w:tblBorders>
                <w:top w:val="none" w:color="000000" w:sz="4"/>
                <w:left w:val="none" w:color="000000" w:sz="4"/>
                <w:bottom w:val="none" w:color="000000" w:sz="4"/>
                <w:right w:val="none" w:color="000000" w:sz="4"/>
                <w:insideH w:val="none"/>
                <w:insideV w:val="none"/>
              </w:tblBorders>
            </w:tblPr>
            <w:tblGrid>
              <w:gridCol w:w="500"/>
              <w:gridCol w:w="912"/>
              <w:gridCol w:w="1131"/>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类</w:t>
                  </w:r>
                  <w:r>
                    <w:rPr>
                      <w:rFonts w:ascii="仿宋_GB2312" w:hAnsi="仿宋_GB2312" w:cs="仿宋_GB2312" w:eastAsia="仿宋_GB2312"/>
                      <w:sz w:val="24"/>
                    </w:rPr>
                    <w:t xml:space="preserve">  </w:t>
                  </w:r>
                  <w:r>
                    <w:rPr>
                      <w:rFonts w:ascii="仿宋_GB2312" w:hAnsi="仿宋_GB2312" w:cs="仿宋_GB2312" w:eastAsia="仿宋_GB2312"/>
                      <w:sz w:val="24"/>
                    </w:rPr>
                    <w:t>别</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体检套餐</w:t>
                  </w:r>
                </w:p>
              </w:tc>
              <w:tc>
                <w:tcPr>
                  <w:tcW w:type="dxa" w:w="1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单价最高限价（元/人）</w:t>
                  </w:r>
                </w:p>
              </w:tc>
            </w:tr>
            <w:tr>
              <w:tc>
                <w:tcPr>
                  <w:tcW w:type="dxa" w:w="5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第一类</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4"/>
                      <w:b/>
                      <w:color w:val="000000"/>
                    </w:rPr>
                    <w:t>40岁男性</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50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40岁男性</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50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4"/>
                      <w:b/>
                      <w:color w:val="000000"/>
                    </w:rPr>
                    <w:t>40岁女性已婚</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50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40岁女性已婚</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50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未婚女性</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1400</w:t>
                  </w:r>
                </w:p>
              </w:tc>
            </w:tr>
            <w:tr>
              <w:tc>
                <w:tcPr>
                  <w:tcW w:type="dxa" w:w="5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第二类</w:t>
                  </w:r>
                  <w:r>
                    <w:rPr>
                      <w:rFonts w:ascii="仿宋_GB2312" w:hAnsi="仿宋_GB2312" w:cs="仿宋_GB2312" w:eastAsia="仿宋_GB2312"/>
                      <w:sz w:val="24"/>
                    </w:rPr>
                    <w:t xml:space="preserve">  </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男性辅警</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50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女性已婚辅警</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500"/>
                  <w:vMerge/>
                  <w:tcBorders>
                    <w:top w:val="none" w:color="000000" w:sz="4"/>
                    <w:left w:val="single" w:color="000000" w:sz="4"/>
                    <w:bottom w:val="single" w:color="000000" w:sz="4"/>
                    <w:right w:val="single" w:color="000000" w:sz="4"/>
                  </w:tcBorders>
                </w:tc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女性未婚辅警</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w:t>
                  </w:r>
                </w:p>
              </w:tc>
            </w:tr>
            <w:tr>
              <w:tc>
                <w:tcPr>
                  <w:tcW w:type="dxa" w:w="1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单价合计限价金额</w:t>
                  </w:r>
                </w:p>
              </w:tc>
              <w:tc>
                <w:tcPr>
                  <w:tcW w:type="dxa" w:w="1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8500</w:t>
                  </w:r>
                </w:p>
              </w:tc>
            </w:tr>
          </w:tbl>
          <w:p>
            <w:pPr>
              <w:pStyle w:val="null3"/>
              <w:jc w:val="left"/>
              <w:outlineLvl w:val="1"/>
            </w:pPr>
            <w:r>
              <w:rPr>
                <w:rFonts w:ascii="仿宋_GB2312" w:hAnsi="仿宋_GB2312" w:cs="仿宋_GB2312" w:eastAsia="仿宋_GB2312"/>
                <w:sz w:val="24"/>
                <w:b/>
              </w:rPr>
              <w:t>供应商磋商报价不得超过</w:t>
            </w:r>
            <w:r>
              <w:rPr>
                <w:rFonts w:ascii="仿宋_GB2312" w:hAnsi="仿宋_GB2312" w:cs="仿宋_GB2312" w:eastAsia="仿宋_GB2312"/>
                <w:sz w:val="24"/>
                <w:b/>
              </w:rPr>
              <w:t>单价合计限价金额</w:t>
            </w:r>
            <w:r>
              <w:rPr>
                <w:rFonts w:ascii="仿宋_GB2312" w:hAnsi="仿宋_GB2312" w:cs="仿宋_GB2312" w:eastAsia="仿宋_GB2312"/>
                <w:sz w:val="24"/>
                <w:b/>
              </w:rPr>
              <w:t>及各分项的单价最高限价，否则视为无效报价。此项目单价招标，最终结算金额以实际参加体检人数</w:t>
            </w:r>
            <w:r>
              <w:rPr>
                <w:rFonts w:ascii="仿宋_GB2312" w:hAnsi="仿宋_GB2312" w:cs="仿宋_GB2312" w:eastAsia="仿宋_GB2312"/>
                <w:sz w:val="24"/>
                <w:b/>
              </w:rPr>
              <w:t>*单价据实结算。</w:t>
            </w:r>
          </w:p>
          <w:p>
            <w:pPr>
              <w:pStyle w:val="null3"/>
              <w:spacing w:before="120" w:after="60"/>
              <w:jc w:val="left"/>
              <w:outlineLvl w:val="1"/>
            </w:pPr>
            <w:r>
              <w:rPr>
                <w:rFonts w:ascii="仿宋_GB2312" w:hAnsi="仿宋_GB2312" w:cs="仿宋_GB2312" w:eastAsia="仿宋_GB2312"/>
                <w:sz w:val="24"/>
                <w:b/>
              </w:rPr>
              <w:t>服务内容：体检服务应包含常规检查、超声检查、影像检查、检验项目检查、妇科检查等项目。</w:t>
            </w:r>
          </w:p>
          <w:p>
            <w:pPr>
              <w:pStyle w:val="null3"/>
              <w:jc w:val="left"/>
            </w:pPr>
            <w:r>
              <w:rPr>
                <w:rFonts w:ascii="仿宋_GB2312" w:hAnsi="仿宋_GB2312" w:cs="仿宋_GB2312" w:eastAsia="仿宋_GB2312"/>
                <w:sz w:val="24"/>
              </w:rPr>
              <w:t>服务标准：按照行业相关标准和规范开展医疗服务。</w:t>
            </w:r>
          </w:p>
          <w:tbl>
            <w:tblPr>
              <w:tblBorders>
                <w:top w:val="none" w:color="000000" w:sz="4"/>
                <w:left w:val="none" w:color="000000" w:sz="4"/>
                <w:bottom w:val="none" w:color="000000" w:sz="4"/>
                <w:right w:val="none" w:color="000000" w:sz="4"/>
                <w:insideH w:val="none"/>
                <w:insideV w:val="none"/>
              </w:tblBorders>
            </w:tblPr>
            <w:tblGrid>
              <w:gridCol w:w="194"/>
              <w:gridCol w:w="645"/>
              <w:gridCol w:w="1713"/>
            </w:tblGrid>
            <w:tr>
              <w:tc>
                <w:tcPr>
                  <w:tcW w:type="dxa" w:w="2552"/>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4"/>
                      <w:b/>
                      <w:color w:val="000000"/>
                    </w:rPr>
                    <w:t>40岁男</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甲功五项</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诊断甲状腺功能亢进症或甲状腺功能低下的灵敏指标与疗效检测，甲状腺疾病与非甲状腺疾病的鉴别依据</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血同型半胱氨酸测定</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预测急性心脑血管事件的独立危险因素</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CA-199（胰腺）</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用于胰腺、结直肠、肝胆、胃等炎症或肿瘤的辅助诊断，及治疗前后的对比监测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CA72-4（消化道）</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用于胃、肠道、卵巢等炎症或肿瘤的辅助诊断，及治疗前后的对比监测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总前列腺特异性抗原</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用于前列腺炎症或肿瘤的辅助诊断，及治疗前后的对比监测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用于前列腺炎症或肿瘤的辅助诊断，及治疗前后的对比监测</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男性泌尿系</w:t>
                  </w:r>
                  <w:r>
                    <w:br/>
                  </w:r>
                  <w:r>
                    <w:rPr>
                      <w:rFonts w:ascii="仿宋_GB2312" w:hAnsi="仿宋_GB2312" w:cs="仿宋_GB2312" w:eastAsia="仿宋_GB2312"/>
                      <w:sz w:val="24"/>
                      <w:color w:val="000000"/>
                    </w:rPr>
                    <w:t>（双肾、输尿管、膀胱、前列腺）</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通过彩色超声检查肾脏、前列腺、膀胱内脏器官的形态及病理改变（如肿瘤、结石、前列腺增生及肥大等）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w:t>
                  </w:r>
                </w:p>
              </w:tc>
              <w:tc>
                <w:tcPr>
                  <w:tcW w:type="dxa" w:w="17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通过彩色超声检查甲状腺器官的形态及病理改变（如肿瘤、结节等病变）</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颈部血管</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检查颈动脉有无硬化有无斑块形成及斑块的性质，动脉狭窄的程度等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了解心脏各腔室、心肌厚度、瓣膜形态和活动及心脏的功能，为心脏瓣膜病、心肌病、高血压性心脏病、管状动脉粥样硬化性心脏病、心包疾病、先天性心脏病的诊断与治疗追踪提供依据</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13尿素呼气试验</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检测是否感染幽门螺旋杆菌，对消化性溃疡、慢性活动性胃炎、胃癌等消化系统疾病有辅助诊断作用</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CT（不含片）</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通过断层成像技术，快速精准地显示人体内部结构，帮助医生明确病变位置、范围、性质、为疾病诊断、治疗计划及疗效评估提供关键依据。（如肿瘤、外伤、血管病变等）</w:t>
                  </w:r>
                </w:p>
              </w:tc>
            </w:tr>
            <w:tr>
              <w:tc>
                <w:tcPr>
                  <w:tcW w:type="dxa" w:w="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bl>
          <w:tbl>
            <w:tblPr>
              <w:tblBorders>
                <w:top w:val="none" w:color="000000" w:sz="4"/>
                <w:left w:val="none" w:color="000000" w:sz="4"/>
                <w:bottom w:val="none" w:color="000000" w:sz="4"/>
                <w:right w:val="none" w:color="000000" w:sz="4"/>
                <w:insideH w:val="none"/>
                <w:insideV w:val="none"/>
              </w:tblBorders>
            </w:tblPr>
            <w:tblGrid>
              <w:gridCol w:w="224"/>
              <w:gridCol w:w="701"/>
              <w:gridCol w:w="1623"/>
            </w:tblGrid>
            <w:tr>
              <w:tc>
                <w:tcPr>
                  <w:tcW w:type="dxa" w:w="254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40岁男性</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甲功五项</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诊断甲状腺功能亢进症或甲状腺功能低下的灵敏指标与疗效检测，甲状腺疾病与非甲状腺疾病的鉴别依据</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血同型半胱氨酸测定</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预测急性心脑血管事件的独立危险因素</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CA-199（胰腺）</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用于胰腺、结直肠、肝胆、胃等炎症或肿瘤的辅助诊断，及治疗前后的对比监测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CA72-4（消化道）</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用于胃、肠道、卵巢等炎症或肿瘤的辅助诊断，及治疗前后的对比监测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总前列腺特异性抗原</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用于前列腺炎症或肿瘤的辅助诊断，及治疗前后的对比监测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用于前列腺炎症或肿瘤的辅助诊断，及治疗前后的对比监测</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男性泌尿系</w:t>
                  </w:r>
                  <w:r>
                    <w:br/>
                  </w:r>
                  <w:r>
                    <w:rPr>
                      <w:rFonts w:ascii="仿宋_GB2312" w:hAnsi="仿宋_GB2312" w:cs="仿宋_GB2312" w:eastAsia="仿宋_GB2312"/>
                      <w:sz w:val="24"/>
                      <w:color w:val="000000"/>
                    </w:rPr>
                    <w:t>（双肾、输尿管、膀胱、前列腺）</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通过彩色超声检查肾脏、前列腺、膀胱内脏器官的形态及病理改变（如肿瘤、结石、前列腺增生及肥大等）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w:t>
                  </w:r>
                </w:p>
              </w:tc>
              <w:tc>
                <w:tcPr>
                  <w:tcW w:type="dxa" w:w="16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通过彩色超声检查甲状腺器官的形态及病理改变（如肿瘤、结节等病变）</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颈部血管</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检查颈动脉有无硬化有无斑块形成及斑块的性质，动脉狭窄的程度等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了解心脏各腔室、心肌厚度、瓣膜形态和活动及心脏的功能，为心脏瓣膜病、心肌病、高血压性心脏病、管状动脉粥样硬化性心脏病、心包疾病、先天性心脏病的诊断与治疗追踪提供依据</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13尿素呼气试验</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检测是否感染幽门螺旋杆菌，对消化性溃疡、慢性活动性胃炎、胃癌等消化系统疾病有辅助诊断作用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CT（不含片）</w:t>
                  </w:r>
                </w:p>
              </w:tc>
              <w:tc>
                <w:tcPr>
                  <w:tcW w:type="dxa" w:w="16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通过断层成像技术，快速精准地显示人体内部结构，帮助医生明确病变位置、范围、性质、为疾病诊断、治疗计划及疗效评估提供关键依据。（如肿瘤、外伤、血管病变等）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腰椎</w:t>
                  </w:r>
                  <w:r>
                    <w:rPr>
                      <w:rFonts w:ascii="仿宋_GB2312" w:hAnsi="仿宋_GB2312" w:cs="仿宋_GB2312" w:eastAsia="仿宋_GB2312"/>
                      <w:sz w:val="24"/>
                      <w:color w:val="000000"/>
                    </w:rPr>
                    <w:t>CT/颈椎CT/头颅CT（不含片）</w:t>
                  </w:r>
                  <w:r>
                    <w:br/>
                  </w:r>
                  <w:r>
                    <w:rPr>
                      <w:rFonts w:ascii="仿宋_GB2312" w:hAnsi="仿宋_GB2312" w:cs="仿宋_GB2312" w:eastAsia="仿宋_GB2312"/>
                      <w:sz w:val="24"/>
                      <w:color w:val="000000"/>
                    </w:rPr>
                    <w:t>（三选一）</w:t>
                  </w:r>
                </w:p>
              </w:tc>
              <w:tc>
                <w:tcPr>
                  <w:tcW w:type="dxa" w:w="1623"/>
                  <w:vMerge/>
                  <w:tcBorders>
                    <w:top w:val="none" w:color="000000" w:sz="4"/>
                    <w:left w:val="none" w:color="000000" w:sz="4"/>
                    <w:bottom w:val="single" w:color="000000" w:sz="4"/>
                    <w:right w:val="single" w:color="000000" w:sz="4"/>
                  </w:tcBorders>
                </w:tcPr>
                <w:p/>
              </w:tc>
            </w:tr>
            <w:tr>
              <w:tc>
                <w:tcPr>
                  <w:tcW w:type="dxa" w:w="9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bl>
          <w:tbl>
            <w:tblPr>
              <w:tblBorders>
                <w:top w:val="none" w:color="000000" w:sz="4"/>
                <w:left w:val="none" w:color="000000" w:sz="4"/>
                <w:bottom w:val="none" w:color="000000" w:sz="4"/>
                <w:right w:val="none" w:color="000000" w:sz="4"/>
                <w:insideH w:val="none"/>
                <w:insideV w:val="none"/>
              </w:tblBorders>
            </w:tblPr>
            <w:tblGrid>
              <w:gridCol w:w="185"/>
              <w:gridCol w:w="727"/>
              <w:gridCol w:w="1636"/>
            </w:tblGrid>
            <w:tr>
              <w:tc>
                <w:tcPr>
                  <w:tcW w:type="dxa" w:w="254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4"/>
                      <w:b/>
                      <w:color w:val="000000"/>
                    </w:rPr>
                    <w:t>40岁女性已婚</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甲功五项</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诊断甲状腺功能亢进症或甲状腺功能低下的灵敏指标与疗效检测，甲状腺疾病与非甲状腺疾病的鉴别依据</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血同型半胱氨酸测定</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预测急性心脑血管事件的独立危险因素</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CA-199（胰腺）</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用于胰腺、结直肠、肝胆、胃等炎症或肿瘤的辅助诊断，及治疗前后的对比监测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CA72-4（消化道）</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用于胃、肠道、卵巢等炎症或肿瘤的辅助诊断，及治疗前后的对比监测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CA-153（乳腺）</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用于乳腺、肝脏、卵巢等炎症或肿瘤的辅助诊断，及治疗前后的对比监测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CA-125(卵巢）</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用于卵巢、子宫及输卵管、肺、胰腺、乳腺、胃肠道等炎症或肿瘤的辅助诊断，及治疗前后的对比监测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子宫附件常规</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通过彩色超声检查子宫、附件等内脏器官的形态及病理改变（如肿瘤、子宫及附件等）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女性泌尿系（双肾、输尿管、膀胱）</w:t>
                  </w:r>
                </w:p>
              </w:tc>
              <w:tc>
                <w:tcPr>
                  <w:tcW w:type="dxa" w:w="163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通过彩色超声检查肾脏、输尿管、膀胱内脏器官的形态及病理改变</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w:t>
                  </w:r>
                </w:p>
              </w:tc>
              <w:tc>
                <w:tcPr>
                  <w:tcW w:type="dxa" w:w="16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通过彩色超声检查甲状腺器官的形态及病理改变（如肿瘤、结节等病变）</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有无乳腺包块、增生、小结等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了解心脏各腔室、心肌厚度、瓣膜形态和活动及心脏的功能，为心脏瓣膜病、心肌病、高血压性心脏病、管状动脉粥样硬化性心脏病、心包疾病、先天性心脏病的诊断与治疗追踪提供依据</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13尿素呼气试验</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检测是否感染幽门螺旋杆菌，对消化性溃疡、慢性活动性胃炎、胃癌等消化系统疾病有辅助诊断作用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7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妇科常规检查</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检查女性生殖器有无异常改变，有无宫颈及阴道异常病变</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阴道分泌物检查</w:t>
                  </w:r>
                </w:p>
              </w:tc>
              <w:tc>
                <w:tcPr>
                  <w:tcW w:type="dxa" w:w="16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检测阴道分泌物清洁度，霉菌性、滴虫性阴道炎、细菌性阴道病等妇科疾病的筛查</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液基薄层细胞制片术</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早期宫颈癌的病因检测及其癌前病变较先进的筛查方法</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高危高危人乳头瘤病毒感染与宫颈癌相关</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CT（不含片）</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通过断层成像技术，快速精准地显示人体内部结构，帮助医生明确病变位置、范围、性质、为疾病诊断、治疗计划及疗效评估提供关键依据。（如肿瘤、外伤、血管病变等）</w:t>
                  </w:r>
                </w:p>
              </w:tc>
            </w:tr>
            <w:tr>
              <w:tc>
                <w:tcPr>
                  <w:tcW w:type="dxa" w:w="9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bl>
          <w:tbl>
            <w:tblPr>
              <w:tblBorders>
                <w:top w:val="none" w:color="000000" w:sz="4"/>
                <w:left w:val="none" w:color="000000" w:sz="4"/>
                <w:bottom w:val="none" w:color="000000" w:sz="4"/>
                <w:right w:val="none" w:color="000000" w:sz="4"/>
                <w:insideH w:val="none"/>
                <w:insideV w:val="none"/>
              </w:tblBorders>
            </w:tblPr>
            <w:tblGrid>
              <w:gridCol w:w="225"/>
              <w:gridCol w:w="681"/>
              <w:gridCol w:w="1642"/>
            </w:tblGrid>
            <w:tr>
              <w:tc>
                <w:tcPr>
                  <w:tcW w:type="dxa" w:w="254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40岁女性已婚</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甲功五项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诊断甲状腺功能亢进症或甲状腺功能低下的灵敏指标与疗效检测，甲状腺疾病与非甲状腺疾病的鉴别依据</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血同型半胱氨酸测定</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预测急性心脑血管事件的独立危险因素</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CA-199（胰腺）</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用于胰腺、结直肠、肝胆、胃等炎症或肿瘤的辅助诊断，及治疗前后的对比监测</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CA72-4（消化道）</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用于胃、肠道、卵巢等炎症或肿瘤的辅助诊断，及治疗前后的对比监测</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CA-153（乳腺）</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用于乳腺、肝脏、卵巢等炎症或肿瘤的辅助诊断，及治疗前后的对比监测</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CA-125(卵巢）</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用于卵巢、子宫及输卵管、肺、胰腺、乳腺、胃肠道等炎症或肿瘤的辅助诊断，及治疗前后的对比监测</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子宫附件常规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通过彩色超声检查子宫、附件等内脏器官的形态及病理改变（如肿瘤、子宫及附件等）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女性泌尿系（双肾、输尿管、膀胱）</w:t>
                  </w:r>
                </w:p>
              </w:tc>
              <w:tc>
                <w:tcPr>
                  <w:tcW w:type="dxa" w:w="164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通过彩色超声检查肾脏、输尿管、膀胱内脏器官的形态及病理改变</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w:t>
                  </w:r>
                </w:p>
              </w:tc>
              <w:tc>
                <w:tcPr>
                  <w:tcW w:type="dxa" w:w="16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通过彩色超声检查甲状腺器官的形态及病理改变（如肿瘤、结节等病变）</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有无乳腺包块、增生、小结等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颈部血管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检查颈动脉有无硬化有无斑块形成及斑块的性质，动脉狭窄的程度等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了解心脏各腔室、心肌厚度、瓣膜形态和活动及心脏的功能，为心脏瓣膜病、心肌病、高血压性心脏病、管状动脉粥样硬化性心脏病、心包疾病、先天性心脏病的诊断与治疗追踪提供依据</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13尿素呼气试验</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检测是否感染幽门螺旋杆菌，对消化性溃疡、慢性活动性胃炎、胃癌等消化系统疾病有辅助诊断作用</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68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妇科常规检查</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检查女性生殖器有无异常改变，有无宫颈及阴道异常病变</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阴道分泌物检查</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检测阴道分泌物清洁度，霉菌性、滴虫性阴道炎、细菌性阴道病等妇科疾病的筛查</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液基薄层细胞制片术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早期宫颈癌的病因检测及其癌前病变较先进的筛查方法</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人乳头瘤病毒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高危高危人乳头瘤病毒感染与宫颈癌相关</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CT（不含片）</w:t>
                  </w:r>
                </w:p>
              </w:tc>
              <w:tc>
                <w:tcPr>
                  <w:tcW w:type="dxa" w:w="16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通过断层成像技术，快速精准地显示人体内部结构，帮助医生明确病变位置、范围、性质、为疾病诊断、治疗计划及疗效评估提供关键依据。（如肿瘤、外伤、血管病变等）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腰椎</w:t>
                  </w:r>
                  <w:r>
                    <w:rPr>
                      <w:rFonts w:ascii="仿宋_GB2312" w:hAnsi="仿宋_GB2312" w:cs="仿宋_GB2312" w:eastAsia="仿宋_GB2312"/>
                      <w:sz w:val="24"/>
                      <w:color w:val="000000"/>
                    </w:rPr>
                    <w:t>CT/颈椎CT/头颅CT（不含片）</w:t>
                  </w:r>
                  <w:r>
                    <w:br/>
                  </w:r>
                  <w:r>
                    <w:rPr>
                      <w:rFonts w:ascii="仿宋_GB2312" w:hAnsi="仿宋_GB2312" w:cs="仿宋_GB2312" w:eastAsia="仿宋_GB2312"/>
                      <w:sz w:val="24"/>
                      <w:color w:val="000000"/>
                    </w:rPr>
                    <w:t>（三选一）</w:t>
                  </w:r>
                </w:p>
              </w:tc>
              <w:tc>
                <w:tcPr>
                  <w:tcW w:type="dxa" w:w="1642"/>
                  <w:vMerge/>
                  <w:tcBorders>
                    <w:top w:val="none" w:color="000000" w:sz="4"/>
                    <w:left w:val="none" w:color="000000" w:sz="4"/>
                    <w:bottom w:val="single" w:color="000000" w:sz="4"/>
                    <w:right w:val="single" w:color="000000" w:sz="4"/>
                  </w:tcBorders>
                </w:tcPr>
                <w:p/>
              </w:tc>
            </w:tr>
            <w:tr>
              <w:tc>
                <w:tcPr>
                  <w:tcW w:type="dxa" w:w="9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bl>
          <w:tbl>
            <w:tblPr>
              <w:tblBorders>
                <w:top w:val="none" w:color="000000" w:sz="4"/>
                <w:left w:val="none" w:color="000000" w:sz="4"/>
                <w:bottom w:val="none" w:color="000000" w:sz="4"/>
                <w:right w:val="none" w:color="000000" w:sz="4"/>
                <w:insideH w:val="none"/>
                <w:insideV w:val="none"/>
              </w:tblBorders>
            </w:tblPr>
            <w:tblGrid>
              <w:gridCol w:w="221"/>
              <w:gridCol w:w="688"/>
              <w:gridCol w:w="1639"/>
            </w:tblGrid>
            <w:tr>
              <w:tc>
                <w:tcPr>
                  <w:tcW w:type="dxa" w:w="254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未婚女性</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甲功五项</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诊断甲状腺功能亢进症或甲状腺功能低下的灵敏指标与疗效检测，甲状腺疾病与非甲状腺疾病的鉴别依据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血同型半胱氨酸测定</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预测急性心脑血管事件的独立危险因素</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CA-199（胰腺）</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用于胰腺、结直肠、肝胆、胃等炎症或肿瘤的辅助诊断，及治疗前后的对比监测</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CA72-4（消化道）</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用于胃、肠道、卵巢等炎症或肿瘤的辅助诊断，及治疗前后的对比监测</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CA-153（乳腺）</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用于乳腺、肝脏、卵巢等炎症或肿瘤的辅助诊断，及治疗前后的对比监测</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CA-125(卵巢）</w:t>
                  </w:r>
                </w:p>
              </w:tc>
              <w:tc>
                <w:tcPr>
                  <w:tcW w:type="dxa" w:w="16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用于卵巢、子宫及输卵管、肺、胰腺、乳腺、胃肠道等炎症或肿瘤的辅助诊断，及治疗前后的对比监测</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子宫附件常规</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通过彩色超声检查子宫、附件等内脏器官的形态及病理改变（如肿瘤、子宫及附件等）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女性泌尿系（双肾、输尿管、膀胱）</w:t>
                  </w:r>
                </w:p>
              </w:tc>
              <w:tc>
                <w:tcPr>
                  <w:tcW w:type="dxa" w:w="1639"/>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通过彩色超声检查肾脏、输尿管、膀胱内脏器官的形态及病理改变</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w:t>
                  </w:r>
                </w:p>
              </w:tc>
              <w:tc>
                <w:tcPr>
                  <w:tcW w:type="dxa" w:w="16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通过彩色超声检查甲状腺器官的形态及病理改变（如肿瘤、结节等病变）</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有无乳腺包块、增生、小结等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了解心脏各腔室、心肌厚度、瓣膜形态和活动及心脏的功能，为心脏瓣膜病、心肌病、高血压性心脏病、管状动脉粥样硬化性心脏病、心包疾病、先天性心脏病的诊断与治疗追踪提供依据</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13尿素呼气试验</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检测是否感染幽门螺旋杆菌，对消化性溃疡、慢性活动性胃炎、胃癌等消化系统疾病有辅助诊断作用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CT（不含片）</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通过断层成像技术，快速精准地显示人体内部结构，帮助医生明确病变位置、范围、性质、为疾病诊断、治疗计划及疗效评估提供关键依据。（如肿瘤、外伤、血管病变等）</w:t>
                  </w:r>
                </w:p>
              </w:tc>
            </w:tr>
            <w:tr>
              <w:tc>
                <w:tcPr>
                  <w:tcW w:type="dxa" w:w="9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1400</w:t>
                  </w:r>
                </w:p>
              </w:tc>
            </w:tr>
          </w:tbl>
          <w:tbl>
            <w:tblPr>
              <w:tblBorders>
                <w:top w:val="none" w:color="000000" w:sz="4"/>
                <w:left w:val="none" w:color="000000" w:sz="4"/>
                <w:bottom w:val="none" w:color="000000" w:sz="4"/>
                <w:right w:val="none" w:color="000000" w:sz="4"/>
                <w:insideH w:val="none"/>
                <w:insideV w:val="none"/>
              </w:tblBorders>
            </w:tblPr>
            <w:tblGrid>
              <w:gridCol w:w="216"/>
              <w:gridCol w:w="683"/>
              <w:gridCol w:w="1649"/>
            </w:tblGrid>
            <w:tr>
              <w:tc>
                <w:tcPr>
                  <w:tcW w:type="dxa" w:w="2548"/>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男性辅警</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总前列腺特异性抗原</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用于前列腺炎症或肿瘤的辅助诊断，及治疗前后的对比监测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用于前列腺炎症或肿瘤的辅助诊断，及治疗前后的对比监测</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细胞角蛋白</w:t>
                  </w:r>
                  <w:r>
                    <w:rPr>
                      <w:rFonts w:ascii="仿宋_GB2312" w:hAnsi="仿宋_GB2312" w:cs="仿宋_GB2312" w:eastAsia="仿宋_GB2312"/>
                      <w:sz w:val="24"/>
                      <w:color w:val="000000"/>
                    </w:rPr>
                    <w:t>19片段测定</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用于非小细胞肺癌，特别是肺鳞癌诊断的首选肿瘤标志物</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鳞状细胞癌相关抗原</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用于辅助诊断、疗效评估、复发监测和预后判断尤其在食管癌、肺鳞癌等有较高的参考价值</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男性泌尿系</w:t>
                  </w:r>
                  <w:r>
                    <w:br/>
                  </w:r>
                  <w:r>
                    <w:rPr>
                      <w:rFonts w:ascii="仿宋_GB2312" w:hAnsi="仿宋_GB2312" w:cs="仿宋_GB2312" w:eastAsia="仿宋_GB2312"/>
                      <w:sz w:val="24"/>
                      <w:color w:val="000000"/>
                    </w:rPr>
                    <w:t>（双肾、输尿管、膀胱、前列腺）</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通过彩色超声检查肾脏、前列腺、膀胱内脏器官的形态及病理改变（如肿瘤、结石、前列腺增生及肥大等）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胸部正位片（不含片）</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用于帮助诊断肺炎、支气管扩张、肺癌、肺结核等</w:t>
                  </w:r>
                </w:p>
              </w:tc>
            </w:tr>
            <w:tr>
              <w:tc>
                <w:tcPr>
                  <w:tcW w:type="dxa" w:w="89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bl>
          <w:tbl>
            <w:tblPr>
              <w:tblBorders>
                <w:top w:val="none" w:color="000000" w:sz="4"/>
                <w:left w:val="none" w:color="000000" w:sz="4"/>
                <w:bottom w:val="none" w:color="000000" w:sz="4"/>
                <w:right w:val="none" w:color="000000" w:sz="4"/>
                <w:insideH w:val="none"/>
                <w:insideV w:val="none"/>
              </w:tblBorders>
            </w:tblPr>
            <w:tblGrid>
              <w:gridCol w:w="203"/>
              <w:gridCol w:w="694"/>
              <w:gridCol w:w="1650"/>
            </w:tblGrid>
            <w:tr>
              <w:tc>
                <w:tcPr>
                  <w:tcW w:type="dxa" w:w="2547"/>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女性已婚辅警</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子宫附件常规</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通过彩色超声检查子宫、附件等内脏器官的形态及病理改变（如肿瘤、子宫及附件等）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女性泌尿系（双肾、输尿管、膀胱）</w:t>
                  </w:r>
                </w:p>
              </w:tc>
              <w:tc>
                <w:tcPr>
                  <w:tcW w:type="dxa" w:w="1650"/>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通过彩色超声检查肾脏、输尿管、膀胱内脏器官的形态及病理改变</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有无乳腺包块、增生、小结等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妇科常规检查</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检查女性生殖器有无异常改变，有无宫颈及阴道异常病变</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阴道分泌物检查</w:t>
                  </w:r>
                </w:p>
              </w:tc>
              <w:tc>
                <w:tcPr>
                  <w:tcW w:type="dxa" w:w="16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检测阴道分泌物清洁度，霉菌性、滴虫性阴道炎、细菌性阴道病等妇科疾病的筛查</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宫颈刮片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早期宫颈癌的病因检测及其癌前病变较先进的筛查方法</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胸部正位片（不含片）</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用于帮助诊断肺炎、支气管扩张、肺癌、肺结核等</w:t>
                  </w:r>
                </w:p>
              </w:tc>
            </w:tr>
            <w:tr>
              <w:tc>
                <w:tcPr>
                  <w:tcW w:type="dxa" w:w="8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bl>
          <w:tbl>
            <w:tblPr>
              <w:tblBorders>
                <w:top w:val="none" w:color="000000" w:sz="4"/>
                <w:left w:val="none" w:color="000000" w:sz="4"/>
                <w:bottom w:val="none" w:color="000000" w:sz="4"/>
                <w:right w:val="none" w:color="000000" w:sz="4"/>
                <w:insideH w:val="none"/>
                <w:insideV w:val="none"/>
              </w:tblBorders>
            </w:tblPr>
            <w:tblGrid>
              <w:gridCol w:w="227"/>
              <w:gridCol w:w="678"/>
              <w:gridCol w:w="1642"/>
            </w:tblGrid>
            <w:tr>
              <w:tc>
                <w:tcPr>
                  <w:tcW w:type="dxa" w:w="2547"/>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女性未婚辅警</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临床意义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调查问卷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为医生提供全面的个人健康信息，实现个性化精准化的健康管理</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身高、体重、血压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诊断高血压、超重、肥胖、消瘦并为相关科室的诊断提供重要的依据</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询问既往病史，通过视、触、叩、听检查方法，评估心、肺、肝、脾等基本状况</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检查淋巴结有无肿大，甲状腺、四肢脊柱有无畸形等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血细胞分析</w:t>
                  </w:r>
                  <w:r>
                    <w:rPr>
                      <w:rFonts w:ascii="仿宋_GB2312" w:hAnsi="仿宋_GB2312" w:cs="仿宋_GB2312" w:eastAsia="仿宋_GB2312"/>
                      <w:sz w:val="24"/>
                      <w:color w:val="000000"/>
                    </w:rPr>
                    <w:t>+五分类</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有无感染、贫血、凝血功能障碍、血液病等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尿液分析</w:t>
                  </w:r>
                  <w:r>
                    <w:rPr>
                      <w:rFonts w:ascii="仿宋_GB2312" w:hAnsi="仿宋_GB2312" w:cs="仿宋_GB2312" w:eastAsia="仿宋_GB2312"/>
                      <w:sz w:val="24"/>
                      <w:color w:val="000000"/>
                    </w:rPr>
                    <w:t>+沉渣镜检</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泌尿系统感染、肾病、肝胆疾患、结石、糖尿病等多种疾病检查</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粪便常规</w:t>
                  </w:r>
                  <w:r>
                    <w:rPr>
                      <w:rFonts w:ascii="仿宋_GB2312" w:hAnsi="仿宋_GB2312" w:cs="仿宋_GB2312" w:eastAsia="仿宋_GB2312"/>
                      <w:sz w:val="24"/>
                      <w:color w:val="000000"/>
                    </w:rPr>
                    <w:t>+隐血试验</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检测各种原因所致的消化道出血，消化道恶性肿瘤早期诊断的重要筛查指标</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反映肝脏功能，包括谷丙</w:t>
                  </w:r>
                  <w:r>
                    <w:rPr>
                      <w:rFonts w:ascii="仿宋_GB2312" w:hAnsi="仿宋_GB2312" w:cs="仿宋_GB2312" w:eastAsia="仿宋_GB2312"/>
                      <w:sz w:val="24"/>
                      <w:color w:val="333333"/>
                    </w:rPr>
                    <w:t>/谷草转氨酶、胆红素等多项指标，与肝炎、肝硬化、黄疸等疾病有关</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反应肾功能不全、痛风等疾病</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反映甘油三酯、总胆固醇等有无异常、对心脑血管疾病诊断及治疗有重要意义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葡萄糖测定</w:t>
                  </w:r>
                  <w:r>
                    <w:rPr>
                      <w:rFonts w:ascii="仿宋_GB2312" w:hAnsi="仿宋_GB2312" w:cs="仿宋_GB2312" w:eastAsia="仿宋_GB2312"/>
                      <w:sz w:val="24"/>
                      <w:color w:val="000000"/>
                    </w:rPr>
                    <w:t>空腹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了解血糖情况，空腹血糖是诊断糖代谢紊乱的重要指标</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反映采血前</w:t>
                  </w:r>
                  <w:r>
                    <w:rPr>
                      <w:rFonts w:ascii="仿宋_GB2312" w:hAnsi="仿宋_GB2312" w:cs="仿宋_GB2312" w:eastAsia="仿宋_GB2312"/>
                      <w:sz w:val="24"/>
                      <w:color w:val="000000"/>
                    </w:rPr>
                    <w:t>2-3个月之内的平均血糖水平，是糖尿病筛查和了解糖尿病控制情况的一个重要指标</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反应急性或慢性心肌损伤</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r>
                    <w:rPr>
                      <w:rFonts w:ascii="仿宋_GB2312" w:hAnsi="仿宋_GB2312" w:cs="仿宋_GB2312" w:eastAsia="仿宋_GB2312"/>
                      <w:sz w:val="24"/>
                      <w:color w:val="000000"/>
                    </w:rPr>
                    <w:t>AFP定量</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用于肝脏等炎症或肿瘤的辅助诊断，及治疗前后的对比监测</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r>
                    <w:rPr>
                      <w:rFonts w:ascii="仿宋_GB2312" w:hAnsi="仿宋_GB2312" w:cs="仿宋_GB2312" w:eastAsia="仿宋_GB2312"/>
                      <w:sz w:val="24"/>
                      <w:color w:val="000000"/>
                    </w:rPr>
                    <w:t>CEA定量</w:t>
                  </w:r>
                </w:p>
              </w:tc>
              <w:tc>
                <w:tcPr>
                  <w:tcW w:type="dxa" w:w="16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用于结直肠、乳腺、肺等炎症或肿瘤的辅助诊断，及治疗前后的对比监测</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肝、胆、胰、脾</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通过彩色超声检查肝脏、胆囊、胰腺、脾脏器官的形态及病理改变（如肿瘤、结石、脂肪肝、肝硬化等）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子宫附件常规</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通过彩色超声检查子宫、附件等内脏器官的形态及病理改变（如肿瘤、子宫及附件等）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女性泌尿系（双肾、输尿管、膀胱）</w:t>
                  </w:r>
                </w:p>
              </w:tc>
              <w:tc>
                <w:tcPr>
                  <w:tcW w:type="dxa" w:w="164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通过彩色超声检查肾脏、输尿管、膀胱内脏器官的形态及病理改变</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有无乳腺包块、增生、小结等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常规心电图检查</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辅助诊断心律失常、心肌缺血、心肌梗死等</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胸部正位片（不含片）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用于帮助诊断肺炎、支气管扩张、肺癌、肺结核等</w:t>
                  </w:r>
                </w:p>
              </w:tc>
            </w:tr>
            <w:tr>
              <w:tc>
                <w:tcPr>
                  <w:tcW w:type="dxa" w:w="9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每人预算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500元</w:t>
                  </w:r>
                </w:p>
              </w:tc>
            </w:tr>
          </w:tbl>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、服务要求（如对人员配置、专业设备、服务标准等）</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00"/>
              </w:rPr>
              <w:t>（一）体检服务方案，运作流程管理，体检时间安排，体检报告管理，健康档案管理，历年体检档案管理，体检服务各项质量标准的承诺及目标，服务质量控制措施等符合项目实际。</w:t>
            </w:r>
          </w:p>
          <w:p>
            <w:pPr>
              <w:pStyle w:val="null3"/>
              <w:ind w:firstLine="420"/>
              <w:jc w:val="both"/>
            </w:pPr>
            <w:r>
              <w:rPr>
                <w:rFonts w:ascii="仿宋_GB2312" w:hAnsi="仿宋_GB2312" w:cs="仿宋_GB2312" w:eastAsia="仿宋_GB2312"/>
                <w:sz w:val="24"/>
                <w:color w:val="000000"/>
              </w:rPr>
              <w:t>（二）体检机构拥有独立的体检信息系统，无纸化、自动化、数字化体检管理，自动生成个人体检报告、综述、建议，体检结果迅速，信息保存完整。</w:t>
            </w:r>
          </w:p>
          <w:p>
            <w:pPr>
              <w:pStyle w:val="null3"/>
              <w:ind w:firstLine="420"/>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体检机构</w:t>
            </w:r>
            <w:r>
              <w:rPr>
                <w:rFonts w:ascii="仿宋_GB2312" w:hAnsi="仿宋_GB2312" w:cs="仿宋_GB2312" w:eastAsia="仿宋_GB2312"/>
                <w:sz w:val="24"/>
                <w:color w:val="000000"/>
              </w:rPr>
              <w:t>应</w:t>
            </w:r>
            <w:r>
              <w:rPr>
                <w:rFonts w:ascii="仿宋_GB2312" w:hAnsi="仿宋_GB2312" w:cs="仿宋_GB2312" w:eastAsia="仿宋_GB2312"/>
                <w:sz w:val="24"/>
              </w:rPr>
              <w:t>具备的查体设备：如身高体重仪、眼压计、肺功能仪</w:t>
            </w:r>
            <w:r>
              <w:rPr>
                <w:rFonts w:ascii="仿宋_GB2312" w:hAnsi="仿宋_GB2312" w:cs="仿宋_GB2312" w:eastAsia="仿宋_GB2312"/>
                <w:sz w:val="24"/>
              </w:rPr>
              <w:t>；</w:t>
            </w:r>
            <w:r>
              <w:rPr>
                <w:rFonts w:ascii="仿宋_GB2312" w:hAnsi="仿宋_GB2312" w:cs="仿宋_GB2312" w:eastAsia="仿宋_GB2312"/>
                <w:sz w:val="24"/>
              </w:rPr>
              <w:t>影像放射：</w:t>
            </w:r>
            <w:r>
              <w:rPr>
                <w:rFonts w:ascii="仿宋_GB2312" w:hAnsi="仿宋_GB2312" w:cs="仿宋_GB2312" w:eastAsia="仿宋_GB2312"/>
                <w:sz w:val="24"/>
              </w:rPr>
              <w:t>DR、彩超、骨密度仪、血常规、尿沉渣、呼气试验仪、心电图、胃肠镜等检测设备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）配套服务：交通便利、停车方便；免费早餐；</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1"/>
              </w:rPr>
              <w:t>拟</w:t>
            </w:r>
            <w:r>
              <w:rPr>
                <w:rFonts w:ascii="仿宋_GB2312" w:hAnsi="仿宋_GB2312" w:cs="仿宋_GB2312" w:eastAsia="仿宋_GB2312"/>
                <w:sz w:val="21"/>
              </w:rPr>
              <w:t>投入本项目的人员包括但不限于项目负责人、主检医师、医技、护理人员等，人员需具有医学类相关专业证书。</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）供应商需建立后续健康保障机制，针对个人健康体检结果可能存在重大疾病隐患的，供应商可提供优质医疗资源绿色通道服务。</w:t>
            </w:r>
          </w:p>
          <w:p>
            <w:pPr>
              <w:pStyle w:val="null3"/>
              <w:jc w:val="both"/>
            </w:pPr>
            <w:r>
              <w:rPr>
                <w:rFonts w:ascii="仿宋_GB2312" w:hAnsi="仿宋_GB2312" w:cs="仿宋_GB2312" w:eastAsia="仿宋_GB2312"/>
                <w:sz w:val="24"/>
                <w:color w:val="000000"/>
              </w:rPr>
              <w:t>四</w:t>
            </w:r>
            <w:r>
              <w:rPr>
                <w:rFonts w:ascii="仿宋_GB2312" w:hAnsi="仿宋_GB2312" w:cs="仿宋_GB2312" w:eastAsia="仿宋_GB2312"/>
                <w:sz w:val="24"/>
                <w:color w:val="000000"/>
              </w:rPr>
              <w:t>、商务要求（如服务期限、款项结算等）</w:t>
            </w:r>
          </w:p>
          <w:p>
            <w:pPr>
              <w:pStyle w:val="null3"/>
              <w:ind w:firstLine="420"/>
              <w:jc w:val="both"/>
            </w:pPr>
            <w:r>
              <w:rPr>
                <w:rFonts w:ascii="仿宋_GB2312" w:hAnsi="仿宋_GB2312" w:cs="仿宋_GB2312" w:eastAsia="仿宋_GB2312"/>
                <w:sz w:val="24"/>
                <w:color w:val="000000"/>
              </w:rPr>
              <w:t>（一）服务期限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2026年12月前完成体检任务</w:t>
            </w:r>
          </w:p>
          <w:p>
            <w:pPr>
              <w:pStyle w:val="null3"/>
              <w:ind w:firstLine="420"/>
              <w:jc w:val="both"/>
            </w:pPr>
            <w:r>
              <w:rPr>
                <w:rFonts w:ascii="仿宋_GB2312" w:hAnsi="仿宋_GB2312" w:cs="仿宋_GB2312" w:eastAsia="仿宋_GB2312"/>
                <w:sz w:val="24"/>
                <w:color w:val="000000"/>
              </w:rPr>
              <w:t>（二）款项结算</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在规定时间完成体检后，按照各组报价以及实际参加体检人数进行结算，结算总额不能超出本项目预算金额。</w:t>
            </w:r>
          </w:p>
          <w:p>
            <w:pPr>
              <w:pStyle w:val="null3"/>
              <w:jc w:val="both"/>
            </w:pPr>
            <w:r>
              <w:rPr>
                <w:rFonts w:ascii="仿宋_GB2312" w:hAnsi="仿宋_GB2312" w:cs="仿宋_GB2312" w:eastAsia="仿宋_GB2312"/>
                <w:sz w:val="24"/>
                <w:color w:val="000000"/>
              </w:rPr>
              <w:t>五</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供应商根据每组每人预算金额分别报价。形成总价，体检结算以实际参加体检人数结算。</w:t>
            </w:r>
          </w:p>
          <w:p>
            <w:pPr>
              <w:pStyle w:val="null3"/>
              <w:jc w:val="both"/>
            </w:pPr>
            <w:r>
              <w:rPr>
                <w:rFonts w:ascii="仿宋_GB2312" w:hAnsi="仿宋_GB2312" w:cs="仿宋_GB2312" w:eastAsia="仿宋_GB2312"/>
                <w:sz w:val="24"/>
                <w:color w:val="000000"/>
              </w:rPr>
              <w:t>六、</w:t>
            </w:r>
            <w:r>
              <w:rPr>
                <w:rFonts w:ascii="仿宋_GB2312" w:hAnsi="仿宋_GB2312" w:cs="仿宋_GB2312" w:eastAsia="仿宋_GB2312"/>
                <w:sz w:val="24"/>
                <w:color w:val="000000"/>
              </w:rPr>
              <w:t>违约责任</w:t>
            </w:r>
          </w:p>
          <w:p>
            <w:pPr>
              <w:pStyle w:val="null3"/>
              <w:ind w:firstLine="420"/>
              <w:jc w:val="both"/>
            </w:pPr>
            <w:r>
              <w:rPr>
                <w:rFonts w:ascii="仿宋_GB2312" w:hAnsi="仿宋_GB2312" w:cs="仿宋_GB2312" w:eastAsia="仿宋_GB2312"/>
                <w:sz w:val="24"/>
                <w:color w:val="000000"/>
              </w:rPr>
              <w:t>按《中华人民共和国民法典》中的相关条款执行。在合同中予以明确。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根据采购⽂件、响应⽂件及合同约定执⾏</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根据采购⽂件、响应⽂件及合同约定执⾏</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根据采购⽂件、响应⽂件及合同约定执⾏</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2026年12月前完成体检任务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其他，服务期结束后，根据实际招标价格和具体参检⼈数计算，供应商提交结算申请后，达到付款条件起10个工作日内，支付合同总金额的100.0%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按《中华人民共和国民法典》中的相关条款执行。在合同中予以明确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 其他未列明行业。从业人员 300 人以下的为中小微型企业。其中，从业人员 100 人及以上的为中型企业；从业人员 10 人及以上的为小型企业；从业人员 10 人以下的为微型业。 2、为保障政府采购电子化交易平台项目实施，供应商需要在线提交所有通过电子化交易平台实施的政府采购项目的响应文件，成交供应商在中标（成交）结果公示期结束后须向采购人及代理机构提交纸质版响应文件正本1份、电子版(U盘1份）。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（1）主体资格证明：企业响应的提供营业执照；事业单位响应的提供事业单位法⼈证书；其他组织响应的提供登记证书；个体⼯商⼾响应的提供个体⼯商⼾营业执照；⾃然⼈响应的提供⾝份证。 （2）法定代表⼈或授权代表⾝份证明：法定代表⼈（负责⼈）参加磋商的提供法定代表⼈（负责⼈）⾝份证明及⾝份证；授权代表参加磋商的提供授权委托书及授权代表⾝份证。 （3）税收缴纳证明：供应商⾃磋商前1年内已缴纳任意时段、任意税种凭证或税务机关开具的完税证明；依法免税的应提供相关⽂件证明。 （4）社保资⾦缴纳证明：供应商⾃磋商前1年内已缴存的任意时段的社会保障资⾦缴存单据或社保机构开具的社会保险参保缴费情况证明；依法不需要缴纳社会保障资⾦的应提供相关⽂件证明。 （5）供应商具备履⾏合同所必需的设备和专业技术能⼒承诺书。 （6）磋商响应声明书：供应商参加本次采购活动3年内，在经营活动中没有重⼤违法记录以及未被列⼊失信被执⾏⼈、重⼤税收违法案件当事⼈名单、政府采购严重违法失信⾏为记录名单的书⾯声明。 供应商需在项⽬电⼦化交易系统中按要求填写《响应函》完成承诺并上传相关证明材料进⾏电⼦签章。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的财务报告（包括“四表⼀注”即《资产负债表》《利润表》《现⾦流量表》《所有者权益变动表》及其附注）或者提供响应⽂件递交截⽌时间6个⽉内其基本账⼾开⼾银⾏出具的资信证明；供应商成⽴不到1年的，可提供企业任意时段资产负债表。（供应商提供的经审计的财务报告应具有注册会计师⾏业统⼀监管平台赋予的验证码，并可通过统⼀监管平台或⼿机“扫⼀扫”等⽅式进⾏查验。）。 供应商需在项⽬电⼦化交易系统中按要求填写《响应函》完成承诺并上传相关证明材料进⾏电⼦签章。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供应商须具有卫生主管部门颁发的《医疗机构执业许可证》含体检项目。供应商需在项⽬电⼦化交易系统中按要求上传相应证明⽂件并进⾏电⼦签章。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供应商须具有卫生主管部门颁发的《放射诊疗许可证》。供应商需在项⽬电⼦化交易系统中按要求上传相应证明⽂件并进⾏电⼦签章。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按照磋商⽂件要求签字、盖章。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服务内容及服务要求应答表 标的清单 报价表 响应函 服务方案.docx 资格证明文件.docx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从提交响应⽂件的截⽌之⽇起不少于90⽇历⽇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只能有⼀个有效报价，不得提交选择性报价，且报价不超过磋商⽂件规定的采购预算或最⾼限价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⽂件响应情况</w:t>
            </w:r>
          </w:p>
        </w:tc>
        <w:tc>
          <w:tcPr>
            <w:tcW w:type="dxa" w:w="3322"/>
          </w:tcPr>
          <w:p>
            <w:pPr>
              <w:pStyle w:val="null3"/>
            </w:pPr>
            <w:r>
              <w:rPr>
                <w:rFonts w:ascii="仿宋_GB2312" w:hAnsi="仿宋_GB2312" w:cs="仿宋_GB2312" w:eastAsia="仿宋_GB2312"/>
              </w:rPr>
              <w:t>（1）符合商务、技术要求，不存在重⼤负偏离 （2）未附有采购⼈不能接受的条件 （3）符合磋商⽂件规定的其他实质性要求 （4）未违反《中华⼈⺠共和国政府采购法》和其他相关法律、法规的规定。</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体检服务⽅案</w:t>
            </w:r>
          </w:p>
        </w:tc>
        <w:tc>
          <w:tcPr>
            <w:tcW w:type="dxa" w:w="2492"/>
          </w:tcPr>
          <w:p>
            <w:pPr>
              <w:pStyle w:val="null3"/>
            </w:pPr>
            <w:r>
              <w:rPr>
                <w:rFonts w:ascii="仿宋_GB2312" w:hAnsi="仿宋_GB2312" w:cs="仿宋_GB2312" w:eastAsia="仿宋_GB2312"/>
              </w:rPr>
              <w:t>一、评审内容： 针对本项⽬有①体检服务⼯作流程、②检前预约及告知⽅案、③各项体检操作规程、④主要检测项⽬的检测⽅法、⑤主要检测试剂使⽤情况。 二、评审标准 1、完整性：方案须全面，对评审内容中的各项要求描述详细；2、可实施性：切合本项目实际情况，实施步骤清晰、合理； 3、针对性：方案能够紧扣项目实际情况，内容科学合理。 三、赋分依据 ①体检服务⼯作流程：每完全满足一个评审标准得1分，如存在不合理的方面扣0.5分，不能满足或未提供不得分，满分3 分。 ②检前预约及告知⽅案：每完全满足一个评审标准得1分，如存在不合理的方面扣0.5分，不能满足或未提供不得分，满分3分。③各项体检操作规程：每完全满足一个评审标准得1分，如存在不合理的方面扣0.5分，不能满足或未提供不得分，满分3分。④主要检测项⽬的检测⽅法：每完全满足一个评审标准得1分，如存在不合理的方面扣0.5分，不能满足或未提供不得分，满分3分。⑤主要检测试剂使⽤情况：每完全满足一个评审标准得1分，如存在不合理的方面扣0.5分，不能满足或未提供不得分，满分3分。本评审项满分是15分。（不合理评判标准：①内容描述过于简单②条理不清晰③与项目内容不匹配④凭空编造⑤出现常识性错误⑥不可能实现的夸大情形⑦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拟投入主要设备</w:t>
            </w:r>
          </w:p>
        </w:tc>
        <w:tc>
          <w:tcPr>
            <w:tcW w:type="dxa" w:w="2492"/>
          </w:tcPr>
          <w:p>
            <w:pPr>
              <w:pStyle w:val="null3"/>
            </w:pPr>
            <w:r>
              <w:rPr>
                <w:rFonts w:ascii="仿宋_GB2312" w:hAnsi="仿宋_GB2312" w:cs="仿宋_GB2312" w:eastAsia="仿宋_GB2312"/>
              </w:rPr>
              <w:t>供应商为完成本项目所必备的设备外，每多提供一台如CT、彩超、全自动生化分析仪等设备，每提供1台得3分，需提供设备清单包含但不限于设备名称、品牌型号等。满分9分。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质量保证⽅案</w:t>
            </w:r>
          </w:p>
        </w:tc>
        <w:tc>
          <w:tcPr>
            <w:tcW w:type="dxa" w:w="2492"/>
          </w:tcPr>
          <w:p>
            <w:pPr>
              <w:pStyle w:val="null3"/>
            </w:pPr>
            <w:r>
              <w:rPr>
                <w:rFonts w:ascii="仿宋_GB2312" w:hAnsi="仿宋_GB2312" w:cs="仿宋_GB2312" w:eastAsia="仿宋_GB2312"/>
              </w:rPr>
              <w:t>⼀、评审内容:供应商根据本项⽬特点，提供针对本项⽬的质量保证⽅案及服务承诺。包括但不限于①体检结果分析；②体检报告中出现异常指标出具专业意⻅及治疗⽅案；③建⽴健康档案、④保密⽅案。二、评审标准 1、完整性：方案须全面，对评审内容中的各项要求描述详细；2、可实施性：切合本项目实际情况，实施步骤清晰、合理。 三、赋分标准：①体检结果分析，每完全满足一个评审标准得1分，如存在不合理的方面扣0.5分，不能满足或未提供不得分，满分2分，②体检报告中出现异常指标出具专业意⻅及治疗⽅案，每完全满足一个评审标准得1 分，如存在不合理的方面扣0.5分，不能满足或未提供不得分，满分2分，③建⽴健康档案，每完全满足一个评审标准得1 分，如存在不合理的方面扣0.5分，不能满足或未提供不得分，满分2分，④保密⽅案，每完全满足一个评审标准得1 分，如存在不合理的方面扣0.5分，不能满足或未提供不得分满分2分，本评审项满分是8分。（不合理评判标准：①内容描述过于简单②条理不清晰③与项目内容不匹配④凭空编造⑤出现常识性错误⑥不可能实现的夸大情形⑦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拟派人员配备</w:t>
            </w:r>
          </w:p>
        </w:tc>
        <w:tc>
          <w:tcPr>
            <w:tcW w:type="dxa" w:w="2492"/>
          </w:tcPr>
          <w:p>
            <w:pPr>
              <w:pStyle w:val="null3"/>
            </w:pPr>
            <w:r>
              <w:rPr>
                <w:rFonts w:ascii="仿宋_GB2312" w:hAnsi="仿宋_GB2312" w:cs="仿宋_GB2312" w:eastAsia="仿宋_GB2312"/>
              </w:rPr>
              <w:t>项⽬团队：拟投⼊本项⽬⼈员须为投标单位在职⼈员，提供证明材料，否则不计分。 1.拟派体检负责人具有医学类相关专业中级职称得2分，副⾼级职称的计4分，正⾼级职称的计6分，其它不计分，提供证书复印件或电子件，未提供不计分。 2.拟派各科室主检医（技）师具有医学类相关专业副⾼级及以上职称的，每⼈计2分，最⾼计10分，提供证书复印件或电子件，未提供不计分。 3.拟派医技、护理⼈员具有医学类相关专业中级及以上职称每⼈计1分，此条最⾼计10分，未提供不计分。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一、评审内容 ①现场人身急症处置；②设备故障应急；③检验本异常；④危急值预警处置；⑤临时人员调配。 二、评审标准： 1.完整性：内容全面，对评审内容中的各项要求有详细描述； 2.可行性：切合本项目实际情况，提出步骤清晰的方 案 ； 3.针对性：紧扣项目实际情况需求，内容切实合理。 三、赋分标准(15分): ①现场人身急症处置：每满足一个评审标准得1分，如存在不合理的方面扣0.5分，未提供或完全无法满足该评审标准得0分，满分3分； ②设备故障应急：每满足一个评审标准得1分，如存在不合理的方面扣0.5分，未提供或完全无法满足该评审标准得0分，满分3分； ③检验标本异常：每满足一个评审标准得1分，如存在不合理的方面扣0.5分，未提供或完全无法满足该评审标准得0分，满分3分； ④危急值预警处置：每满足一个评审标准得1分，如存在不合理的方面扣0.5分，未提供或完全无法满足该评审标准得0分，满分3分； ⑤临时人员调配：每满足一个评审标准得1分，如存在不合理的方面扣0.5分，未提供或完全无法满足该评审标准得0分，满分3分。本评审项满分是15分。（不合理评判标准：①内容描述过于简单②条理不清晰③与项目内容不匹配④凭空编造⑤出现常识性错误⑥不可能实现的夸大情形⑦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一、评审内容：针对本项目提供完善的安全保障措施。二、评审标准： 1、完整性：方案须全面，对评审内容中的各项要求描述详细；2、可实施性：切合本项目实际情况，实施步骤清晰、合理。 三、赋分依据：完全满足两项评审标准得2 分，存在不合理的地方扣0.5分，不能满足或未提供不得分。（不合理评判标准：①内容描述过于简单②条理不清晰③与项目内容不匹配④凭空编造⑤出现常识性错误⑥不可能实现的夸大情形⑦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提供明确的增值服务：包含不限于医学跟踪、复查、院内（外）转诊、优先住院、专家会诊等绿⾊通道服务逐项评审，每实质性提供1项有效增值服务得2分（增值服务需写明服务频次、交付标准、服务时限，仅模糊描述无量化内容，评审不予计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 2023 年 07月 01 日至今的类似业绩（以合同签订日期为准），提供合同复印件及扫描件加盖公章，每提供一个计1 分，满分5分。 备注：业绩证明材料以合同的复印件或扫描件加盖公章为准，复印件或扫描件必须清晰体现签约主体和日期、项目名称及内容、合同金额等核心要素，否则不计为有效业绩。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 本项目为非专门面向中小企业采购的采购项目，对符合《政府采购促进中小企业发展管理办法》（财库〔2020〕46 号）规定的小微企业报价给予 10%的扣除，即：评标价=最后报价×（1-10%）;监狱企业与残疾人福利性单位视同小型、微型企业，享受同等价格扣除，当企业属性重复时，不重复价格扣除。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