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1C08AC">
      <w:pPr>
        <w:spacing w:before="156" w:beforeLines="50" w:after="156" w:afterLines="50" w:line="360" w:lineRule="auto"/>
        <w:ind w:firstLine="6144" w:firstLineChars="1700"/>
        <w:rPr>
          <w:rFonts w:ascii="仿宋" w:hAnsi="仿宋" w:eastAsia="仿宋" w:cs="Arial"/>
          <w:b/>
          <w:sz w:val="28"/>
          <w:szCs w:val="28"/>
          <w14:shadow w14:blurRad="50800" w14:dist="38100" w14:dir="2700000" w14:sx="100000" w14:sy="100000" w14:kx="0" w14:ky="0" w14:algn="tl">
            <w14:srgbClr w14:val="000000">
              <w14:alpha w14:val="60000"/>
            </w14:srgbClr>
          </w14:shadow>
        </w:rPr>
      </w:pPr>
      <w:r>
        <w:rPr>
          <w:rFonts w:hint="eastAsia" w:ascii="仿宋" w:hAnsi="仿宋" w:eastAsia="仿宋" w:cs="楷体"/>
          <w:b/>
          <w:bCs/>
          <w:sz w:val="36"/>
        </w:rPr>
        <w:t xml:space="preserve">合同编号：          </w:t>
      </w:r>
    </w:p>
    <w:p w14:paraId="79779DF1">
      <w:pPr>
        <w:spacing w:before="156" w:after="156" w:line="360" w:lineRule="auto"/>
        <w:jc w:val="center"/>
        <w:rPr>
          <w:rFonts w:ascii="隶书" w:hAnsi="宋体" w:eastAsia="隶书"/>
          <w:b/>
          <w:sz w:val="28"/>
          <w:szCs w:val="28"/>
        </w:rPr>
      </w:pPr>
    </w:p>
    <w:p w14:paraId="4D891699">
      <w:pPr>
        <w:spacing w:before="156" w:after="156" w:line="360" w:lineRule="auto"/>
        <w:jc w:val="center"/>
        <w:rPr>
          <w:rFonts w:ascii="隶书" w:hAnsi="宋体" w:eastAsia="隶书"/>
          <w:b/>
          <w:sz w:val="28"/>
          <w:szCs w:val="28"/>
        </w:rPr>
      </w:pPr>
    </w:p>
    <w:p w14:paraId="308690D1">
      <w:pPr>
        <w:spacing w:before="156" w:after="156" w:line="360" w:lineRule="auto"/>
        <w:jc w:val="center"/>
        <w:rPr>
          <w:rFonts w:ascii="隶书" w:hAnsi="宋体" w:eastAsia="隶书"/>
          <w:b/>
          <w:sz w:val="28"/>
          <w:szCs w:val="28"/>
        </w:rPr>
      </w:pPr>
    </w:p>
    <w:p w14:paraId="341D5168">
      <w:pPr>
        <w:spacing w:before="156" w:after="156" w:line="360" w:lineRule="auto"/>
        <w:rPr>
          <w:rFonts w:ascii="隶书" w:hAnsi="宋体" w:eastAsia="隶书"/>
          <w:b/>
          <w:sz w:val="28"/>
          <w:szCs w:val="28"/>
        </w:rPr>
      </w:pPr>
    </w:p>
    <w:p w14:paraId="2228B0F8">
      <w:pPr>
        <w:snapToGrid w:val="0"/>
        <w:spacing w:before="156" w:after="156" w:line="360" w:lineRule="auto"/>
        <w:ind w:right="480"/>
        <w:jc w:val="center"/>
        <w:rPr>
          <w:rFonts w:eastAsia="仿宋_GB2312"/>
          <w:color w:val="000000"/>
          <w:sz w:val="28"/>
          <w:szCs w:val="28"/>
        </w:rPr>
      </w:pPr>
      <w:r>
        <w:rPr>
          <w:rFonts w:hint="eastAsia" w:eastAsia="仿宋_GB2312"/>
          <w:color w:val="000000"/>
          <w:sz w:val="28"/>
          <w:szCs w:val="28"/>
        </w:rPr>
        <w:t xml:space="preserve">                                </w:t>
      </w:r>
    </w:p>
    <w:p w14:paraId="78D2D41F">
      <w:pPr>
        <w:spacing w:before="156" w:beforeLines="50" w:after="156" w:afterLines="50" w:line="360" w:lineRule="auto"/>
        <w:jc w:val="center"/>
        <w:rPr>
          <w:rFonts w:ascii="仿宋" w:hAnsi="仿宋" w:eastAsia="仿宋" w:cs="Arial"/>
          <w:b/>
          <w:sz w:val="84"/>
          <w:szCs w:val="84"/>
          <w14:shadow w14:blurRad="50800" w14:dist="38100" w14:dir="2700000" w14:sx="100000" w14:sy="100000" w14:kx="0" w14:ky="0" w14:algn="tl">
            <w14:srgbClr w14:val="000000">
              <w14:alpha w14:val="60000"/>
            </w14:srgbClr>
          </w14:shadow>
        </w:rPr>
      </w:pPr>
      <w:r>
        <w:rPr>
          <w:rFonts w:hint="eastAsia" w:ascii="仿宋" w:hAnsi="仿宋" w:eastAsia="仿宋" w:cs="Arial"/>
          <w:b/>
          <w:sz w:val="84"/>
          <w:szCs w:val="84"/>
        </w:rPr>
        <w:t>健康体检服务</w:t>
      </w:r>
      <w:r>
        <w:rPr>
          <w:rFonts w:ascii="仿宋" w:hAnsi="仿宋" w:eastAsia="仿宋" w:cs="Arial"/>
          <w:b/>
          <w:sz w:val="84"/>
          <w:szCs w:val="84"/>
        </w:rPr>
        <w:t>协议</w:t>
      </w:r>
    </w:p>
    <w:p w14:paraId="70F7738D">
      <w:pPr>
        <w:spacing w:before="156" w:after="156" w:line="360" w:lineRule="auto"/>
        <w:rPr>
          <w:rFonts w:ascii="Arial" w:hAnsi="Arial" w:cs="Arial"/>
          <w:b/>
          <w:sz w:val="28"/>
          <w:szCs w:val="28"/>
        </w:rPr>
      </w:pPr>
    </w:p>
    <w:p w14:paraId="7FB57FEB">
      <w:pPr>
        <w:spacing w:before="156" w:beforeLines="50" w:after="156" w:afterLines="50" w:line="360" w:lineRule="auto"/>
        <w:jc w:val="center"/>
        <w:rPr>
          <w:rFonts w:ascii="仿宋" w:hAnsi="仿宋" w:eastAsia="仿宋" w:cs="Arial"/>
          <w:sz w:val="28"/>
          <w:szCs w:val="28"/>
          <w:u w:val="single"/>
          <w14:shadow w14:blurRad="50800" w14:dist="38100" w14:dir="2700000" w14:sx="100000" w14:sy="100000" w14:kx="0" w14:ky="0" w14:algn="tl">
            <w14:srgbClr w14:val="000000">
              <w14:alpha w14:val="60000"/>
            </w14:srgbClr>
          </w14:shadow>
        </w:rPr>
      </w:pPr>
    </w:p>
    <w:p w14:paraId="50A50DBA">
      <w:pPr>
        <w:widowControl/>
        <w:adjustRightInd w:val="0"/>
        <w:snapToGrid w:val="0"/>
        <w:spacing w:before="156" w:beforeLines="50" w:after="156" w:afterLines="50" w:line="360" w:lineRule="auto"/>
        <w:rPr>
          <w:rFonts w:hint="default" w:ascii="仿宋" w:hAnsi="仿宋" w:eastAsia="仿宋" w:cs="楷体"/>
          <w:b/>
          <w:bCs/>
          <w:sz w:val="28"/>
          <w:szCs w:val="28"/>
          <w:u w:val="single"/>
          <w:lang w:val="en-US" w:eastAsia="zh-CN"/>
        </w:rPr>
      </w:pPr>
      <w:r>
        <w:rPr>
          <w:rFonts w:hint="eastAsia" w:ascii="仿宋" w:hAnsi="仿宋" w:eastAsia="仿宋" w:cs="楷体"/>
          <w:b/>
          <w:bCs/>
          <w:sz w:val="28"/>
          <w:szCs w:val="28"/>
        </w:rPr>
        <w:t xml:space="preserve">          </w:t>
      </w:r>
      <w:r>
        <w:rPr>
          <w:rFonts w:ascii="仿宋" w:hAnsi="仿宋" w:eastAsia="仿宋" w:cs="楷体"/>
          <w:b/>
          <w:bCs/>
          <w:sz w:val="28"/>
          <w:szCs w:val="28"/>
        </w:rPr>
        <w:t xml:space="preserve">    </w:t>
      </w:r>
      <w:r>
        <w:rPr>
          <w:rFonts w:hint="eastAsia" w:ascii="仿宋" w:hAnsi="仿宋" w:eastAsia="仿宋" w:cs="楷体"/>
          <w:b/>
          <w:bCs/>
          <w:sz w:val="28"/>
          <w:szCs w:val="28"/>
        </w:rPr>
        <w:t>甲方：</w:t>
      </w:r>
      <w:r>
        <w:rPr>
          <w:rFonts w:hint="eastAsia" w:ascii="仿宋" w:hAnsi="仿宋" w:eastAsia="仿宋" w:cs="楷体"/>
          <w:b/>
          <w:bCs/>
          <w:sz w:val="28"/>
          <w:szCs w:val="28"/>
          <w:u w:val="single"/>
        </w:rPr>
        <w:t>_</w:t>
      </w:r>
      <w:r>
        <w:rPr>
          <w:rFonts w:hint="eastAsia" w:ascii="仿宋" w:hAnsi="仿宋" w:eastAsia="仿宋" w:cs="楷体"/>
          <w:b/>
          <w:bCs/>
          <w:sz w:val="28"/>
          <w:szCs w:val="28"/>
          <w:u w:val="single"/>
          <w:lang w:val="en-US" w:eastAsia="zh-CN"/>
        </w:rPr>
        <w:t xml:space="preserve">                        </w:t>
      </w:r>
    </w:p>
    <w:p w14:paraId="4A3407D2">
      <w:pPr>
        <w:widowControl/>
        <w:adjustRightInd w:val="0"/>
        <w:snapToGrid w:val="0"/>
        <w:spacing w:before="156" w:beforeLines="50" w:after="156" w:afterLines="50" w:line="360" w:lineRule="auto"/>
        <w:rPr>
          <w:rFonts w:ascii="仿宋" w:hAnsi="仿宋" w:eastAsia="仿宋" w:cs="楷体"/>
          <w:b/>
          <w:bCs/>
          <w:sz w:val="28"/>
          <w:szCs w:val="28"/>
          <w:u w:val="single"/>
        </w:rPr>
      </w:pPr>
    </w:p>
    <w:p w14:paraId="3BFDBB7A">
      <w:pPr>
        <w:widowControl/>
        <w:adjustRightInd w:val="0"/>
        <w:snapToGrid w:val="0"/>
        <w:spacing w:before="156" w:beforeLines="50" w:after="156" w:afterLines="50" w:line="360" w:lineRule="auto"/>
        <w:ind w:firstLine="1968" w:firstLineChars="700"/>
        <w:jc w:val="both"/>
        <w:rPr>
          <w:rFonts w:hint="default" w:ascii="仿宋" w:hAnsi="仿宋" w:eastAsia="仿宋" w:cs="楷体"/>
          <w:b/>
          <w:bCs/>
          <w:sz w:val="28"/>
          <w:szCs w:val="28"/>
          <w:lang w:val="en-US" w:eastAsia="zh-CN"/>
        </w:rPr>
      </w:pPr>
      <w:r>
        <w:rPr>
          <w:rFonts w:hint="eastAsia" w:ascii="仿宋" w:hAnsi="仿宋" w:eastAsia="仿宋" w:cs="楷体"/>
          <w:b/>
          <w:bCs/>
          <w:sz w:val="28"/>
          <w:szCs w:val="28"/>
        </w:rPr>
        <w:t>乙方：</w:t>
      </w:r>
      <w:r>
        <w:rPr>
          <w:rFonts w:hint="eastAsia" w:ascii="仿宋" w:hAnsi="仿宋" w:eastAsia="仿宋" w:cs="楷体"/>
          <w:b/>
          <w:bCs/>
          <w:sz w:val="28"/>
          <w:szCs w:val="28"/>
          <w:u w:val="single"/>
          <w:lang w:val="en-US" w:eastAsia="zh-CN"/>
        </w:rPr>
        <w:t xml:space="preserve">                         </w:t>
      </w:r>
    </w:p>
    <w:p w14:paraId="14A22B14">
      <w:pPr>
        <w:spacing w:before="156" w:beforeLines="50" w:after="156" w:afterLines="50" w:line="360" w:lineRule="auto"/>
        <w:rPr>
          <w:rFonts w:ascii="仿宋" w:hAnsi="仿宋" w:eastAsia="仿宋" w:cs="Arial"/>
          <w:b/>
          <w:sz w:val="28"/>
          <w:szCs w:val="28"/>
        </w:rPr>
      </w:pPr>
    </w:p>
    <w:p w14:paraId="6FEA59A7">
      <w:pPr>
        <w:widowControl/>
        <w:adjustRightInd w:val="0"/>
        <w:snapToGrid w:val="0"/>
        <w:spacing w:before="156" w:beforeLines="50" w:after="156" w:afterLines="50" w:line="360" w:lineRule="auto"/>
        <w:jc w:val="center"/>
        <w:rPr>
          <w:rFonts w:hint="eastAsia" w:ascii="仿宋" w:hAnsi="仿宋" w:eastAsia="仿宋" w:cs="楷体"/>
          <w:b/>
          <w:bCs/>
          <w:sz w:val="28"/>
          <w:szCs w:val="28"/>
        </w:rPr>
      </w:pPr>
      <w:r>
        <w:rPr>
          <w:rFonts w:hint="eastAsia" w:ascii="仿宋" w:hAnsi="仿宋" w:eastAsia="仿宋" w:cs="楷体"/>
          <w:b/>
          <w:bCs/>
          <w:sz w:val="28"/>
          <w:szCs w:val="28"/>
        </w:rPr>
        <w:t>签订地点：</w:t>
      </w:r>
    </w:p>
    <w:p w14:paraId="25365916">
      <w:pPr>
        <w:widowControl/>
        <w:adjustRightInd w:val="0"/>
        <w:snapToGrid w:val="0"/>
        <w:spacing w:before="156" w:beforeLines="50" w:after="156" w:afterLines="50" w:line="360" w:lineRule="auto"/>
        <w:jc w:val="center"/>
        <w:rPr>
          <w:rFonts w:ascii="仿宋" w:hAnsi="仿宋" w:eastAsia="仿宋" w:cs="楷体"/>
          <w:b/>
          <w:bCs/>
          <w:sz w:val="28"/>
          <w:szCs w:val="28"/>
        </w:rPr>
      </w:pPr>
      <w:r>
        <w:rPr>
          <w:rFonts w:hint="eastAsia" w:ascii="仿宋" w:hAnsi="仿宋" w:eastAsia="仿宋" w:cs="楷体"/>
          <w:b/>
          <w:bCs/>
          <w:sz w:val="28"/>
          <w:szCs w:val="28"/>
        </w:rPr>
        <w:t>签订时间：</w:t>
      </w:r>
      <w:r>
        <w:rPr>
          <w:rFonts w:hint="eastAsia" w:ascii="仿宋" w:hAnsi="仿宋" w:eastAsia="仿宋" w:cs="楷体"/>
          <w:b/>
          <w:bCs/>
          <w:sz w:val="28"/>
          <w:szCs w:val="28"/>
          <w:u w:val="single"/>
          <w:lang w:val="en-US" w:eastAsia="zh-CN"/>
        </w:rPr>
        <w:t xml:space="preserve">     </w:t>
      </w:r>
      <w:r>
        <w:rPr>
          <w:rFonts w:hint="eastAsia" w:ascii="仿宋" w:hAnsi="仿宋" w:eastAsia="仿宋" w:cs="楷体"/>
          <w:b/>
          <w:bCs/>
          <w:sz w:val="28"/>
          <w:szCs w:val="28"/>
        </w:rPr>
        <w:t>年</w:t>
      </w:r>
      <w:r>
        <w:rPr>
          <w:rFonts w:ascii="仿宋" w:hAnsi="仿宋" w:eastAsia="仿宋" w:cs="楷体"/>
          <w:b/>
          <w:bCs/>
          <w:sz w:val="28"/>
          <w:szCs w:val="28"/>
          <w:u w:val="single"/>
        </w:rPr>
        <w:t xml:space="preserve"> </w:t>
      </w:r>
      <w:r>
        <w:rPr>
          <w:rFonts w:hint="eastAsia" w:ascii="仿宋" w:hAnsi="仿宋" w:eastAsia="仿宋" w:cs="楷体"/>
          <w:b/>
          <w:bCs/>
          <w:sz w:val="28"/>
          <w:szCs w:val="28"/>
          <w:u w:val="single"/>
          <w:lang w:val="en-US" w:eastAsia="zh-CN"/>
        </w:rPr>
        <w:t xml:space="preserve">  </w:t>
      </w:r>
      <w:r>
        <w:rPr>
          <w:rFonts w:ascii="仿宋" w:hAnsi="仿宋" w:eastAsia="仿宋" w:cs="楷体"/>
          <w:b/>
          <w:bCs/>
          <w:sz w:val="28"/>
          <w:szCs w:val="28"/>
          <w:u w:val="single"/>
        </w:rPr>
        <w:t xml:space="preserve"> </w:t>
      </w:r>
      <w:r>
        <w:rPr>
          <w:rFonts w:hint="eastAsia" w:ascii="仿宋" w:hAnsi="仿宋" w:eastAsia="仿宋" w:cs="楷体"/>
          <w:b/>
          <w:bCs/>
          <w:sz w:val="28"/>
          <w:szCs w:val="28"/>
        </w:rPr>
        <w:t>月</w:t>
      </w:r>
      <w:r>
        <w:rPr>
          <w:rFonts w:ascii="仿宋" w:hAnsi="仿宋" w:eastAsia="仿宋" w:cs="楷体"/>
          <w:b/>
          <w:bCs/>
          <w:sz w:val="28"/>
          <w:szCs w:val="28"/>
          <w:u w:val="single"/>
        </w:rPr>
        <w:t xml:space="preserve">    </w:t>
      </w:r>
      <w:r>
        <w:rPr>
          <w:rFonts w:hint="eastAsia" w:ascii="仿宋" w:hAnsi="仿宋" w:eastAsia="仿宋" w:cs="楷体"/>
          <w:b/>
          <w:bCs/>
          <w:sz w:val="28"/>
          <w:szCs w:val="28"/>
        </w:rPr>
        <w:t>日</w:t>
      </w:r>
    </w:p>
    <w:p w14:paraId="7284F1B7">
      <w:pPr>
        <w:rPr>
          <w:rFonts w:hint="eastAsia" w:ascii="仿宋" w:hAnsi="仿宋" w:eastAsia="仿宋"/>
          <w:b/>
          <w:sz w:val="28"/>
          <w:szCs w:val="28"/>
        </w:rPr>
      </w:pPr>
      <w:r>
        <w:rPr>
          <w:rFonts w:hint="eastAsia" w:ascii="仿宋" w:hAnsi="仿宋" w:eastAsia="仿宋"/>
          <w:b/>
          <w:sz w:val="28"/>
          <w:szCs w:val="28"/>
        </w:rPr>
        <w:br w:type="page"/>
      </w:r>
    </w:p>
    <w:p w14:paraId="62C6F86D">
      <w:pPr>
        <w:snapToGrid w:val="0"/>
        <w:spacing w:before="156" w:after="156" w:line="360" w:lineRule="auto"/>
        <w:rPr>
          <w:rFonts w:ascii="仿宋_GB2312" w:hAnsi="仿宋_GB2312" w:eastAsia="仿宋_GB2312" w:cs="仿宋_GB2312"/>
          <w:b/>
          <w:sz w:val="24"/>
        </w:rPr>
      </w:pPr>
      <w:r>
        <w:rPr>
          <w:rFonts w:hint="eastAsia" w:ascii="仿宋" w:hAnsi="仿宋" w:eastAsia="仿宋"/>
          <w:b/>
          <w:sz w:val="28"/>
          <w:szCs w:val="28"/>
        </w:rPr>
        <w:t>甲方：</w:t>
      </w:r>
    </w:p>
    <w:p w14:paraId="73147D75">
      <w:pPr>
        <w:snapToGrid w:val="0"/>
        <w:spacing w:before="156" w:after="156" w:line="360" w:lineRule="auto"/>
        <w:rPr>
          <w:rFonts w:hint="default" w:ascii="仿宋" w:hAnsi="仿宋" w:eastAsia="仿宋"/>
          <w:b/>
          <w:sz w:val="28"/>
          <w:szCs w:val="28"/>
          <w:lang w:val="en-US" w:eastAsia="zh-CN"/>
        </w:rPr>
      </w:pPr>
      <w:r>
        <w:rPr>
          <w:rFonts w:hint="eastAsia" w:ascii="仿宋" w:hAnsi="仿宋" w:eastAsia="仿宋"/>
          <w:b/>
          <w:sz w:val="28"/>
          <w:szCs w:val="28"/>
        </w:rPr>
        <w:t>注册地址：</w:t>
      </w:r>
    </w:p>
    <w:p w14:paraId="5DEA203F">
      <w:pPr>
        <w:spacing w:before="156" w:beforeLines="50" w:after="156" w:afterLines="50" w:line="360" w:lineRule="auto"/>
        <w:rPr>
          <w:rFonts w:hint="eastAsia" w:ascii="仿宋" w:hAnsi="仿宋" w:eastAsia="仿宋"/>
          <w:b/>
          <w:sz w:val="28"/>
          <w:szCs w:val="28"/>
          <w:lang w:val="en-US" w:eastAsia="zh-CN"/>
        </w:rPr>
      </w:pPr>
      <w:r>
        <w:rPr>
          <w:rFonts w:hint="eastAsia" w:ascii="仿宋" w:hAnsi="仿宋" w:eastAsia="仿宋"/>
          <w:b/>
          <w:sz w:val="28"/>
          <w:szCs w:val="28"/>
        </w:rPr>
        <w:t>法定代表人</w:t>
      </w:r>
      <w:r>
        <w:rPr>
          <w:rFonts w:ascii="仿宋" w:hAnsi="仿宋" w:eastAsia="仿宋"/>
          <w:b/>
          <w:sz w:val="28"/>
          <w:szCs w:val="28"/>
        </w:rPr>
        <w:t>：</w:t>
      </w:r>
    </w:p>
    <w:p w14:paraId="1ABA0C95">
      <w:pPr>
        <w:spacing w:before="156" w:beforeLines="50" w:after="156" w:afterLines="50" w:line="360" w:lineRule="auto"/>
        <w:rPr>
          <w:rFonts w:ascii="仿宋" w:hAnsi="仿宋" w:eastAsia="仿宋"/>
          <w:b/>
          <w:sz w:val="28"/>
          <w:szCs w:val="28"/>
        </w:rPr>
      </w:pPr>
    </w:p>
    <w:p w14:paraId="1A8CA496">
      <w:pPr>
        <w:spacing w:before="156" w:beforeLines="50" w:after="156" w:afterLines="50" w:line="360" w:lineRule="auto"/>
        <w:rPr>
          <w:rFonts w:ascii="仿宋" w:hAnsi="仿宋" w:eastAsia="仿宋"/>
          <w:b/>
          <w:sz w:val="28"/>
          <w:szCs w:val="28"/>
        </w:rPr>
      </w:pPr>
      <w:r>
        <w:rPr>
          <w:rFonts w:hint="eastAsia" w:ascii="仿宋" w:hAnsi="仿宋" w:eastAsia="仿宋"/>
          <w:b/>
          <w:sz w:val="28"/>
          <w:szCs w:val="28"/>
        </w:rPr>
        <w:t>乙方：</w:t>
      </w:r>
    </w:p>
    <w:p w14:paraId="1794FBAA">
      <w:pPr>
        <w:spacing w:before="156" w:beforeLines="50" w:after="156" w:afterLines="50" w:line="360" w:lineRule="auto"/>
        <w:rPr>
          <w:rFonts w:ascii="仿宋" w:hAnsi="仿宋" w:eastAsia="仿宋"/>
          <w:b/>
          <w:sz w:val="28"/>
          <w:szCs w:val="28"/>
        </w:rPr>
      </w:pPr>
      <w:r>
        <w:rPr>
          <w:rFonts w:hint="eastAsia" w:ascii="仿宋" w:hAnsi="仿宋" w:eastAsia="仿宋"/>
          <w:b/>
          <w:sz w:val="28"/>
          <w:szCs w:val="28"/>
        </w:rPr>
        <w:t>注册地址：</w:t>
      </w:r>
    </w:p>
    <w:p w14:paraId="48C0E860">
      <w:pPr>
        <w:spacing w:before="156" w:beforeLines="50" w:after="156" w:afterLines="50" w:line="360" w:lineRule="auto"/>
        <w:rPr>
          <w:rFonts w:ascii="仿宋" w:hAnsi="仿宋" w:eastAsia="仿宋"/>
          <w:b/>
          <w:sz w:val="28"/>
          <w:szCs w:val="28"/>
        </w:rPr>
      </w:pPr>
      <w:r>
        <w:rPr>
          <w:rFonts w:hint="eastAsia" w:ascii="仿宋" w:hAnsi="仿宋" w:eastAsia="仿宋"/>
          <w:b/>
          <w:sz w:val="28"/>
          <w:szCs w:val="28"/>
        </w:rPr>
        <w:t>法定代表人：</w:t>
      </w:r>
    </w:p>
    <w:p w14:paraId="73656965">
      <w:pPr>
        <w:spacing w:before="156" w:beforeLines="50" w:after="156" w:afterLines="50" w:line="360" w:lineRule="auto"/>
        <w:rPr>
          <w:rFonts w:ascii="仿宋_GB2312" w:eastAsia="仿宋_GB2312"/>
          <w:b/>
          <w:sz w:val="28"/>
          <w:szCs w:val="28"/>
        </w:rPr>
      </w:pPr>
    </w:p>
    <w:p w14:paraId="7AA04F4B">
      <w:pPr>
        <w:spacing w:before="156" w:beforeLines="50" w:after="156" w:afterLines="50" w:line="360" w:lineRule="auto"/>
        <w:rPr>
          <w:rFonts w:ascii="仿宋" w:hAnsi="仿宋" w:eastAsia="仿宋"/>
          <w:b/>
          <w:sz w:val="28"/>
          <w:szCs w:val="28"/>
        </w:rPr>
      </w:pPr>
      <w:r>
        <w:rPr>
          <w:rFonts w:hint="eastAsia" w:ascii="仿宋" w:hAnsi="仿宋" w:eastAsia="仿宋"/>
          <w:b/>
          <w:sz w:val="28"/>
          <w:szCs w:val="28"/>
        </w:rPr>
        <w:t>鉴于</w:t>
      </w:r>
      <w:r>
        <w:rPr>
          <w:rFonts w:ascii="仿宋" w:hAnsi="仿宋" w:eastAsia="仿宋"/>
          <w:b/>
          <w:sz w:val="28"/>
          <w:szCs w:val="28"/>
        </w:rPr>
        <w:t>：</w:t>
      </w:r>
    </w:p>
    <w:p w14:paraId="12701020">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乙方为取得《医疗机构执业许可证》的合法医疗机构，并有权在《医疗机构执业许可证》的诊疗科目内开展健康体检（以下简称“体检”）。</w:t>
      </w:r>
    </w:p>
    <w:p w14:paraId="5C2D7D1C">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甲方为保障员工健康，消除疾病隐患，使员工</w:t>
      </w:r>
      <w:r>
        <w:rPr>
          <w:rFonts w:ascii="仿宋" w:hAnsi="仿宋" w:eastAsia="仿宋"/>
          <w:sz w:val="28"/>
          <w:szCs w:val="28"/>
        </w:rPr>
        <w:t>享受</w:t>
      </w:r>
      <w:r>
        <w:rPr>
          <w:rFonts w:hint="eastAsia" w:ascii="仿宋" w:hAnsi="仿宋" w:eastAsia="仿宋"/>
          <w:sz w:val="28"/>
          <w:szCs w:val="28"/>
        </w:rPr>
        <w:t>方便、优质的体检服务，特委托乙方为本单位员工（以下</w:t>
      </w:r>
      <w:r>
        <w:rPr>
          <w:rFonts w:ascii="仿宋" w:hAnsi="仿宋" w:eastAsia="仿宋"/>
          <w:sz w:val="28"/>
          <w:szCs w:val="28"/>
        </w:rPr>
        <w:t>简称“</w:t>
      </w:r>
      <w:r>
        <w:rPr>
          <w:rFonts w:hint="eastAsia" w:ascii="仿宋" w:hAnsi="仿宋" w:eastAsia="仿宋"/>
          <w:sz w:val="28"/>
          <w:szCs w:val="28"/>
        </w:rPr>
        <w:t>员工</w:t>
      </w:r>
      <w:r>
        <w:rPr>
          <w:rFonts w:ascii="仿宋" w:hAnsi="仿宋" w:eastAsia="仿宋"/>
          <w:sz w:val="28"/>
          <w:szCs w:val="28"/>
        </w:rPr>
        <w:t>”</w:t>
      </w:r>
      <w:r>
        <w:rPr>
          <w:rFonts w:hint="eastAsia" w:ascii="仿宋" w:hAnsi="仿宋" w:eastAsia="仿宋"/>
          <w:sz w:val="28"/>
          <w:szCs w:val="28"/>
        </w:rPr>
        <w:t>）提供健康</w:t>
      </w:r>
      <w:r>
        <w:rPr>
          <w:rFonts w:ascii="仿宋" w:hAnsi="仿宋" w:eastAsia="仿宋"/>
          <w:sz w:val="28"/>
          <w:szCs w:val="28"/>
        </w:rPr>
        <w:t>体检</w:t>
      </w:r>
      <w:r>
        <w:rPr>
          <w:rFonts w:hint="eastAsia" w:ascii="仿宋" w:hAnsi="仿宋" w:eastAsia="仿宋"/>
          <w:sz w:val="28"/>
          <w:szCs w:val="28"/>
        </w:rPr>
        <w:t>服务。</w:t>
      </w:r>
    </w:p>
    <w:p w14:paraId="1A181A5D">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甲乙双方经充分、友好协商，就上述</w:t>
      </w:r>
      <w:r>
        <w:rPr>
          <w:rFonts w:ascii="仿宋" w:hAnsi="仿宋" w:eastAsia="仿宋"/>
          <w:sz w:val="28"/>
          <w:szCs w:val="28"/>
        </w:rPr>
        <w:t>事宜</w:t>
      </w:r>
      <w:r>
        <w:rPr>
          <w:rFonts w:hint="eastAsia" w:ascii="仿宋" w:hAnsi="仿宋" w:eastAsia="仿宋"/>
          <w:sz w:val="28"/>
          <w:szCs w:val="28"/>
        </w:rPr>
        <w:t>特订立本协议如下，以资共同遵守。</w:t>
      </w:r>
    </w:p>
    <w:p w14:paraId="22CBC895">
      <w:pPr>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一、体检内容及</w:t>
      </w:r>
      <w:r>
        <w:rPr>
          <w:rFonts w:ascii="仿宋" w:hAnsi="仿宋" w:eastAsia="仿宋"/>
          <w:b/>
          <w:sz w:val="28"/>
          <w:szCs w:val="28"/>
        </w:rPr>
        <w:t>预约</w:t>
      </w:r>
    </w:p>
    <w:p w14:paraId="13AEA79D">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一）</w:t>
      </w:r>
      <w:r>
        <w:rPr>
          <w:rFonts w:hint="eastAsia" w:ascii="仿宋" w:hAnsi="仿宋" w:eastAsia="仿宋"/>
          <w:sz w:val="28"/>
          <w:szCs w:val="28"/>
        </w:rPr>
        <w:t>甲方为员工安排的指定体检项目详见本协议附件。</w:t>
      </w:r>
    </w:p>
    <w:p w14:paraId="366DDC33">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二）</w:t>
      </w:r>
      <w:r>
        <w:rPr>
          <w:rFonts w:hint="eastAsia" w:ascii="仿宋" w:hAnsi="仿宋" w:eastAsia="仿宋"/>
          <w:sz w:val="28"/>
          <w:szCs w:val="28"/>
        </w:rPr>
        <w:t>甲方在体检正式开始前【</w:t>
      </w:r>
      <w:r>
        <w:rPr>
          <w:rFonts w:hint="eastAsia" w:ascii="仿宋" w:hAnsi="仿宋" w:eastAsia="仿宋"/>
          <w:sz w:val="28"/>
          <w:szCs w:val="28"/>
          <w:lang w:val="en-US" w:eastAsia="zh-CN"/>
        </w:rPr>
        <w:t xml:space="preserve">   </w:t>
      </w:r>
      <w:r>
        <w:rPr>
          <w:rFonts w:hint="eastAsia" w:ascii="仿宋" w:hAnsi="仿宋" w:eastAsia="仿宋"/>
          <w:sz w:val="28"/>
          <w:szCs w:val="28"/>
        </w:rPr>
        <w:t>】日将参加体检员工人数、姓名、身份证号码（工号）、性别、年龄、出生年月、婚育</w:t>
      </w:r>
      <w:r>
        <w:rPr>
          <w:rFonts w:ascii="仿宋" w:hAnsi="仿宋" w:eastAsia="仿宋"/>
          <w:sz w:val="28"/>
          <w:szCs w:val="28"/>
        </w:rPr>
        <w:t>情况</w:t>
      </w:r>
      <w:r>
        <w:rPr>
          <w:rFonts w:hint="eastAsia" w:ascii="仿宋" w:hAnsi="仿宋" w:eastAsia="仿宋"/>
          <w:sz w:val="28"/>
          <w:szCs w:val="28"/>
        </w:rPr>
        <w:t>、接受乙方提供体检服务的时间安排、体检当日的流程及注意事项以书面形式告知乙方，以便乙方做好接待准备。双方应就整体体检计划提前协商确定时间安排表。</w:t>
      </w:r>
    </w:p>
    <w:p w14:paraId="13F4C8C2">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三）如甲方员工</w:t>
      </w:r>
      <w:r>
        <w:rPr>
          <w:rFonts w:hint="eastAsia" w:ascii="仿宋" w:hAnsi="仿宋" w:eastAsia="仿宋"/>
          <w:sz w:val="28"/>
          <w:szCs w:val="28"/>
        </w:rPr>
        <w:t>根据</w:t>
      </w:r>
      <w:r>
        <w:rPr>
          <w:rFonts w:ascii="仿宋" w:hAnsi="仿宋" w:eastAsia="仿宋"/>
          <w:sz w:val="28"/>
          <w:szCs w:val="28"/>
        </w:rPr>
        <w:t>自身情况自行预约</w:t>
      </w:r>
      <w:r>
        <w:rPr>
          <w:rFonts w:hint="eastAsia" w:ascii="仿宋" w:hAnsi="仿宋" w:eastAsia="仿宋"/>
          <w:sz w:val="28"/>
          <w:szCs w:val="28"/>
        </w:rPr>
        <w:t>体检</w:t>
      </w:r>
      <w:r>
        <w:rPr>
          <w:rFonts w:ascii="仿宋" w:hAnsi="仿宋" w:eastAsia="仿宋"/>
          <w:sz w:val="28"/>
          <w:szCs w:val="28"/>
        </w:rPr>
        <w:t>的，</w:t>
      </w:r>
      <w:r>
        <w:rPr>
          <w:rFonts w:hint="eastAsia" w:ascii="仿宋" w:hAnsi="仿宋" w:eastAsia="仿宋"/>
          <w:sz w:val="28"/>
          <w:szCs w:val="28"/>
        </w:rPr>
        <w:t>应当</w:t>
      </w:r>
      <w:r>
        <w:rPr>
          <w:rFonts w:ascii="仿宋" w:hAnsi="仿宋" w:eastAsia="仿宋"/>
          <w:sz w:val="28"/>
          <w:szCs w:val="28"/>
        </w:rPr>
        <w:t>提前</w:t>
      </w:r>
      <w:r>
        <w:rPr>
          <w:rFonts w:hint="eastAsia" w:ascii="仿宋" w:hAnsi="仿宋" w:eastAsia="仿宋"/>
          <w:sz w:val="28"/>
          <w:szCs w:val="28"/>
        </w:rPr>
        <w:t>【</w:t>
      </w:r>
      <w:r>
        <w:rPr>
          <w:rFonts w:hint="eastAsia" w:ascii="仿宋" w:hAnsi="仿宋" w:eastAsia="仿宋"/>
          <w:sz w:val="28"/>
          <w:szCs w:val="28"/>
          <w:lang w:val="en-US" w:eastAsia="zh-CN"/>
        </w:rPr>
        <w:t xml:space="preserve">   </w:t>
      </w:r>
      <w:r>
        <w:rPr>
          <w:rFonts w:hint="eastAsia" w:ascii="仿宋" w:hAnsi="仿宋" w:eastAsia="仿宋"/>
          <w:sz w:val="28"/>
          <w:szCs w:val="28"/>
        </w:rPr>
        <w:t>】日向</w:t>
      </w:r>
      <w:r>
        <w:rPr>
          <w:rFonts w:ascii="仿宋" w:hAnsi="仿宋" w:eastAsia="仿宋"/>
          <w:sz w:val="28"/>
          <w:szCs w:val="28"/>
        </w:rPr>
        <w:t>乙方预约体检时间。乙方</w:t>
      </w:r>
      <w:r>
        <w:rPr>
          <w:rFonts w:hint="eastAsia" w:ascii="仿宋" w:hAnsi="仿宋" w:eastAsia="仿宋"/>
          <w:sz w:val="28"/>
          <w:szCs w:val="28"/>
        </w:rPr>
        <w:t>有权</w:t>
      </w:r>
      <w:r>
        <w:rPr>
          <w:rFonts w:ascii="仿宋" w:hAnsi="仿宋" w:eastAsia="仿宋"/>
          <w:sz w:val="28"/>
          <w:szCs w:val="28"/>
        </w:rPr>
        <w:t>向甲方核对该员工身份，对甲方不予认可的，乙方有权拒绝提供</w:t>
      </w:r>
      <w:r>
        <w:rPr>
          <w:rFonts w:hint="eastAsia" w:ascii="仿宋" w:hAnsi="仿宋" w:eastAsia="仿宋"/>
          <w:sz w:val="28"/>
          <w:szCs w:val="28"/>
        </w:rPr>
        <w:t>体检</w:t>
      </w:r>
      <w:r>
        <w:rPr>
          <w:rFonts w:ascii="仿宋" w:hAnsi="仿宋" w:eastAsia="仿宋"/>
          <w:sz w:val="28"/>
          <w:szCs w:val="28"/>
        </w:rPr>
        <w:t>服务。</w:t>
      </w:r>
    </w:p>
    <w:p w14:paraId="248574CA">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（四</w:t>
      </w:r>
      <w:r>
        <w:rPr>
          <w:rFonts w:ascii="仿宋" w:hAnsi="仿宋" w:eastAsia="仿宋"/>
          <w:sz w:val="28"/>
          <w:szCs w:val="28"/>
        </w:rPr>
        <w:t>）</w:t>
      </w:r>
      <w:r>
        <w:rPr>
          <w:rFonts w:hint="eastAsia" w:ascii="仿宋" w:hAnsi="仿宋" w:eastAsia="仿宋"/>
          <w:sz w:val="28"/>
          <w:szCs w:val="28"/>
        </w:rPr>
        <w:t>甲方指定专人为体检</w:t>
      </w:r>
      <w:r>
        <w:rPr>
          <w:rFonts w:ascii="仿宋" w:hAnsi="仿宋" w:eastAsia="仿宋"/>
          <w:sz w:val="28"/>
          <w:szCs w:val="28"/>
        </w:rPr>
        <w:t>服务对接</w:t>
      </w:r>
      <w:r>
        <w:rPr>
          <w:rFonts w:hint="eastAsia" w:ascii="仿宋" w:hAnsi="仿宋" w:eastAsia="仿宋"/>
          <w:sz w:val="28"/>
          <w:szCs w:val="28"/>
        </w:rPr>
        <w:t>联系人，负责与乙方联系并安排健康体检服务事宜（包括但不限于体检</w:t>
      </w:r>
      <w:r>
        <w:rPr>
          <w:rFonts w:ascii="仿宋" w:hAnsi="仿宋" w:eastAsia="仿宋"/>
          <w:sz w:val="28"/>
          <w:szCs w:val="28"/>
        </w:rPr>
        <w:t>预约、</w:t>
      </w:r>
      <w:r>
        <w:rPr>
          <w:rFonts w:hint="eastAsia" w:ascii="仿宋" w:hAnsi="仿宋" w:eastAsia="仿宋"/>
          <w:sz w:val="28"/>
          <w:szCs w:val="28"/>
        </w:rPr>
        <w:t>员工</w:t>
      </w:r>
      <w:r>
        <w:rPr>
          <w:rFonts w:ascii="仿宋" w:hAnsi="仿宋" w:eastAsia="仿宋"/>
          <w:sz w:val="28"/>
          <w:szCs w:val="28"/>
        </w:rPr>
        <w:t>身份核对</w:t>
      </w:r>
      <w:r>
        <w:rPr>
          <w:rFonts w:hint="eastAsia" w:ascii="仿宋" w:hAnsi="仿宋" w:eastAsia="仿宋"/>
          <w:sz w:val="28"/>
          <w:szCs w:val="28"/>
        </w:rPr>
        <w:t>、接收</w:t>
      </w:r>
      <w:r>
        <w:rPr>
          <w:rFonts w:ascii="仿宋" w:hAnsi="仿宋" w:eastAsia="仿宋"/>
          <w:sz w:val="28"/>
          <w:szCs w:val="28"/>
        </w:rPr>
        <w:t>体检报告</w:t>
      </w:r>
      <w:r>
        <w:rPr>
          <w:rFonts w:hint="eastAsia" w:ascii="仿宋" w:hAnsi="仿宋" w:eastAsia="仿宋"/>
          <w:sz w:val="28"/>
          <w:szCs w:val="28"/>
        </w:rPr>
        <w:t>等</w:t>
      </w:r>
      <w:r>
        <w:rPr>
          <w:rFonts w:ascii="仿宋" w:hAnsi="仿宋" w:eastAsia="仿宋"/>
          <w:sz w:val="28"/>
          <w:szCs w:val="28"/>
        </w:rPr>
        <w:t>与本协议履行</w:t>
      </w:r>
      <w:r>
        <w:rPr>
          <w:rFonts w:hint="eastAsia" w:ascii="仿宋" w:hAnsi="仿宋" w:eastAsia="仿宋"/>
          <w:sz w:val="28"/>
          <w:szCs w:val="28"/>
        </w:rPr>
        <w:t>相关</w:t>
      </w:r>
      <w:r>
        <w:rPr>
          <w:rFonts w:ascii="仿宋" w:hAnsi="仿宋" w:eastAsia="仿宋"/>
          <w:sz w:val="28"/>
          <w:szCs w:val="28"/>
        </w:rPr>
        <w:t>的事宜</w:t>
      </w:r>
      <w:r>
        <w:rPr>
          <w:rFonts w:hint="eastAsia" w:ascii="仿宋" w:hAnsi="仿宋" w:eastAsia="仿宋"/>
          <w:sz w:val="28"/>
          <w:szCs w:val="28"/>
        </w:rPr>
        <w:t>）。</w:t>
      </w:r>
    </w:p>
    <w:p w14:paraId="40F445C7">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甲方联系人：</w:t>
      </w:r>
      <w:r>
        <w:rPr>
          <w:rFonts w:hint="eastAsia" w:ascii="仿宋" w:hAnsi="仿宋" w:eastAsia="仿宋"/>
          <w:sz w:val="28"/>
          <w:szCs w:val="28"/>
          <w:u w:val="single"/>
        </w:rPr>
        <w:t xml:space="preserve">  </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 xml:space="preserve">     </w:t>
      </w:r>
      <w:r>
        <w:rPr>
          <w:rFonts w:hint="eastAsia" w:ascii="仿宋" w:hAnsi="仿宋" w:eastAsia="仿宋"/>
          <w:sz w:val="28"/>
          <w:szCs w:val="28"/>
        </w:rPr>
        <w:t>（姓名）</w:t>
      </w:r>
    </w:p>
    <w:p w14:paraId="3F4CB87F">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固定电话：</w:t>
      </w:r>
      <w:r>
        <w:rPr>
          <w:rFonts w:hint="eastAsia" w:ascii="仿宋" w:hAnsi="仿宋" w:eastAsia="仿宋"/>
          <w:sz w:val="28"/>
          <w:szCs w:val="28"/>
          <w:u w:val="single"/>
        </w:rPr>
        <w:t xml:space="preserve"> </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 xml:space="preserve">       </w:t>
      </w:r>
      <w:r>
        <w:rPr>
          <w:rFonts w:hint="eastAsia" w:ascii="仿宋" w:hAnsi="仿宋" w:eastAsia="仿宋"/>
          <w:sz w:val="28"/>
          <w:szCs w:val="28"/>
        </w:rPr>
        <w:t xml:space="preserve"> 移动电话：</w:t>
      </w:r>
      <w:r>
        <w:rPr>
          <w:rFonts w:hint="eastAsia" w:ascii="仿宋" w:hAnsi="仿宋" w:eastAsia="仿宋"/>
          <w:sz w:val="28"/>
          <w:szCs w:val="28"/>
          <w:u w:val="single"/>
        </w:rPr>
        <w:t xml:space="preserve">             </w:t>
      </w:r>
    </w:p>
    <w:p w14:paraId="03713CBD">
      <w:pPr>
        <w:spacing w:before="156" w:beforeLines="50" w:after="156" w:afterLines="50" w:line="360" w:lineRule="auto"/>
        <w:ind w:firstLine="560" w:firstLineChars="200"/>
        <w:rPr>
          <w:rFonts w:ascii="仿宋" w:hAnsi="仿宋" w:eastAsia="仿宋"/>
          <w:sz w:val="28"/>
          <w:szCs w:val="28"/>
          <w:u w:val="single"/>
        </w:rPr>
      </w:pPr>
      <w:r>
        <w:rPr>
          <w:rFonts w:hint="eastAsia" w:ascii="仿宋" w:hAnsi="仿宋" w:eastAsia="仿宋"/>
          <w:sz w:val="28"/>
          <w:szCs w:val="28"/>
        </w:rPr>
        <w:t>电子邮箱：</w:t>
      </w:r>
      <w:r>
        <w:rPr>
          <w:rFonts w:hint="eastAsia" w:ascii="仿宋" w:hAnsi="仿宋" w:eastAsia="仿宋"/>
          <w:sz w:val="28"/>
          <w:szCs w:val="28"/>
          <w:u w:val="single"/>
        </w:rPr>
        <w:t xml:space="preserve">             </w:t>
      </w:r>
    </w:p>
    <w:p w14:paraId="0981B363">
      <w:pPr>
        <w:spacing w:before="156" w:beforeLines="50" w:after="156" w:afterLines="50" w:line="360" w:lineRule="auto"/>
        <w:ind w:firstLine="560" w:firstLineChars="200"/>
        <w:rPr>
          <w:rFonts w:ascii="仿宋" w:hAnsi="仿宋" w:eastAsia="仿宋"/>
          <w:sz w:val="28"/>
          <w:szCs w:val="28"/>
          <w:u w:val="single"/>
        </w:rPr>
      </w:pPr>
      <w:r>
        <w:rPr>
          <w:rFonts w:hint="eastAsia" w:ascii="仿宋" w:hAnsi="仿宋" w:eastAsia="仿宋"/>
          <w:sz w:val="28"/>
          <w:szCs w:val="28"/>
        </w:rPr>
        <w:t>通信</w:t>
      </w:r>
      <w:r>
        <w:rPr>
          <w:rFonts w:ascii="仿宋" w:hAnsi="仿宋" w:eastAsia="仿宋"/>
          <w:sz w:val="28"/>
          <w:szCs w:val="28"/>
        </w:rPr>
        <w:t>地址：</w:t>
      </w:r>
      <w:r>
        <w:rPr>
          <w:rFonts w:hint="eastAsia" w:ascii="仿宋" w:hAnsi="仿宋" w:eastAsia="仿宋"/>
          <w:sz w:val="28"/>
          <w:szCs w:val="28"/>
          <w:u w:val="single"/>
        </w:rPr>
        <w:t xml:space="preserve">                                   </w:t>
      </w:r>
    </w:p>
    <w:p w14:paraId="59A6C853">
      <w:pPr>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二</w:t>
      </w:r>
      <w:r>
        <w:rPr>
          <w:rFonts w:ascii="仿宋" w:hAnsi="仿宋" w:eastAsia="仿宋"/>
          <w:b/>
          <w:sz w:val="28"/>
          <w:szCs w:val="28"/>
        </w:rPr>
        <w:t>、体检期限</w:t>
      </w:r>
    </w:p>
    <w:p w14:paraId="4B996714">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自</w:t>
      </w:r>
      <w:r>
        <w:rPr>
          <w:rFonts w:hint="eastAsia" w:ascii="仿宋" w:hAnsi="仿宋" w:eastAsia="仿宋"/>
          <w:sz w:val="28"/>
          <w:szCs w:val="28"/>
          <w:u w:val="single"/>
        </w:rPr>
        <w:t xml:space="preserve"> </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年</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 xml:space="preserve">月 </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日</w:t>
      </w:r>
      <w:r>
        <w:rPr>
          <w:rFonts w:hint="eastAsia" w:ascii="仿宋" w:hAnsi="仿宋" w:eastAsia="仿宋"/>
          <w:sz w:val="28"/>
          <w:szCs w:val="28"/>
        </w:rPr>
        <w:t>（开检日期）起</w:t>
      </w:r>
      <w:r>
        <w:rPr>
          <w:rFonts w:ascii="仿宋" w:hAnsi="仿宋" w:eastAsia="仿宋"/>
          <w:sz w:val="28"/>
          <w:szCs w:val="28"/>
        </w:rPr>
        <w:t>至</w:t>
      </w:r>
      <w:r>
        <w:rPr>
          <w:rFonts w:hint="eastAsia" w:ascii="仿宋" w:hAnsi="仿宋" w:eastAsia="仿宋"/>
          <w:sz w:val="28"/>
          <w:szCs w:val="28"/>
          <w:u w:val="single"/>
        </w:rPr>
        <w:t xml:space="preserve"> </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年</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 xml:space="preserve"> 月</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 xml:space="preserve"> 日</w:t>
      </w:r>
      <w:r>
        <w:rPr>
          <w:rFonts w:hint="eastAsia" w:ascii="仿宋" w:hAnsi="仿宋" w:eastAsia="仿宋"/>
          <w:sz w:val="28"/>
          <w:szCs w:val="28"/>
        </w:rPr>
        <w:t>（结束日期）。</w:t>
      </w:r>
    </w:p>
    <w:p w14:paraId="552C2BE4">
      <w:pPr>
        <w:spacing w:before="156" w:beforeLines="50" w:after="156" w:afterLines="50" w:line="360" w:lineRule="auto"/>
        <w:ind w:firstLine="562" w:firstLineChars="200"/>
        <w:rPr>
          <w:rFonts w:hint="eastAsia" w:eastAsia="仿宋"/>
          <w:lang w:eastAsia="zh-CN"/>
        </w:rPr>
      </w:pPr>
      <w:r>
        <w:rPr>
          <w:rFonts w:hint="eastAsia" w:ascii="仿宋" w:hAnsi="仿宋" w:eastAsia="仿宋"/>
          <w:b/>
          <w:sz w:val="28"/>
          <w:szCs w:val="28"/>
        </w:rPr>
        <w:t>三、体检地点</w:t>
      </w:r>
      <w:r>
        <w:rPr>
          <w:rFonts w:hint="eastAsia" w:ascii="仿宋" w:hAnsi="仿宋" w:eastAsia="仿宋"/>
          <w:b/>
          <w:sz w:val="28"/>
          <w:szCs w:val="28"/>
          <w:lang w:eastAsia="zh-CN"/>
        </w:rPr>
        <w:t>：</w:t>
      </w:r>
    </w:p>
    <w:p w14:paraId="3D9DA67C">
      <w:pPr>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四、合同价款</w:t>
      </w:r>
    </w:p>
    <w:p w14:paraId="5D2A3C0B">
      <w:pPr>
        <w:spacing w:before="156" w:beforeLines="50" w:after="156" w:afterLines="50" w:line="360" w:lineRule="auto"/>
        <w:ind w:left="105" w:leftChars="50" w:firstLine="420" w:firstLineChars="150"/>
        <w:rPr>
          <w:rFonts w:ascii="仿宋" w:hAnsi="仿宋" w:eastAsia="仿宋"/>
          <w:color w:val="000000"/>
          <w:sz w:val="28"/>
          <w:szCs w:val="28"/>
        </w:rPr>
      </w:pPr>
      <w:r>
        <w:rPr>
          <w:rFonts w:hint="eastAsia" w:ascii="仿宋" w:hAnsi="仿宋" w:eastAsia="仿宋"/>
          <w:color w:val="000000"/>
          <w:sz w:val="28"/>
          <w:szCs w:val="28"/>
        </w:rPr>
        <w:t>（一）合同金额为</w:t>
      </w:r>
      <w:r>
        <w:rPr>
          <w:rFonts w:ascii="仿宋" w:hAnsi="仿宋" w:eastAsia="仿宋"/>
          <w:color w:val="000000"/>
          <w:sz w:val="28"/>
          <w:szCs w:val="28"/>
        </w:rPr>
        <w:t>：</w:t>
      </w:r>
      <w:r>
        <w:rPr>
          <w:rFonts w:hint="eastAsia" w:ascii="仿宋" w:hAnsi="仿宋" w:eastAsia="仿宋"/>
          <w:color w:val="000000"/>
          <w:sz w:val="28"/>
          <w:szCs w:val="28"/>
          <w:u w:val="single"/>
        </w:rPr>
        <w:t xml:space="preserve"> </w:t>
      </w:r>
      <w:r>
        <w:rPr>
          <w:rFonts w:hint="eastAsia" w:ascii="仿宋" w:hAnsi="仿宋" w:eastAsia="仿宋"/>
          <w:color w:val="000000"/>
          <w:sz w:val="28"/>
          <w:szCs w:val="28"/>
          <w:u w:val="single"/>
          <w:lang w:val="en-US" w:eastAsia="zh-CN"/>
        </w:rPr>
        <w:t xml:space="preserve">     </w:t>
      </w:r>
      <w:r>
        <w:rPr>
          <w:rFonts w:hint="eastAsia" w:ascii="仿宋" w:hAnsi="仿宋" w:eastAsia="仿宋"/>
          <w:color w:val="000000"/>
          <w:sz w:val="28"/>
          <w:szCs w:val="28"/>
          <w:u w:val="single"/>
        </w:rPr>
        <w:t xml:space="preserve"> </w:t>
      </w:r>
      <w:r>
        <w:rPr>
          <w:rFonts w:hint="eastAsia" w:ascii="仿宋" w:hAnsi="仿宋" w:eastAsia="仿宋"/>
          <w:color w:val="000000"/>
          <w:sz w:val="28"/>
          <w:szCs w:val="28"/>
        </w:rPr>
        <w:t>元，</w:t>
      </w:r>
      <w:r>
        <w:rPr>
          <w:rFonts w:ascii="仿宋" w:hAnsi="仿宋" w:eastAsia="仿宋"/>
          <w:color w:val="000000"/>
          <w:sz w:val="28"/>
          <w:szCs w:val="28"/>
        </w:rPr>
        <w:t>大写金额</w:t>
      </w:r>
      <w:r>
        <w:rPr>
          <w:rFonts w:hint="eastAsia" w:ascii="仿宋" w:hAnsi="仿宋" w:eastAsia="仿宋"/>
          <w:color w:val="000000"/>
          <w:sz w:val="28"/>
          <w:szCs w:val="28"/>
        </w:rPr>
        <w:t>：</w:t>
      </w:r>
      <w:r>
        <w:rPr>
          <w:rFonts w:hint="eastAsia" w:ascii="仿宋" w:hAnsi="仿宋" w:eastAsia="仿宋"/>
          <w:color w:val="000000"/>
          <w:sz w:val="28"/>
          <w:szCs w:val="28"/>
          <w:u w:val="single"/>
        </w:rPr>
        <w:t xml:space="preserve"> </w:t>
      </w:r>
      <w:r>
        <w:rPr>
          <w:rFonts w:hint="eastAsia" w:ascii="仿宋" w:hAnsi="仿宋" w:eastAsia="仿宋"/>
          <w:color w:val="000000"/>
          <w:sz w:val="28"/>
          <w:szCs w:val="28"/>
          <w:u w:val="single"/>
          <w:lang w:val="en-US" w:eastAsia="zh-CN"/>
        </w:rPr>
        <w:t xml:space="preserve">            </w:t>
      </w:r>
      <w:r>
        <w:rPr>
          <w:rFonts w:hint="eastAsia" w:ascii="仿宋" w:hAnsi="仿宋" w:eastAsia="仿宋"/>
          <w:color w:val="000000"/>
          <w:sz w:val="28"/>
          <w:szCs w:val="28"/>
        </w:rPr>
        <w:t xml:space="preserve"> 。体检人数总计为</w:t>
      </w:r>
      <w:r>
        <w:rPr>
          <w:rFonts w:ascii="仿宋" w:hAnsi="仿宋" w:eastAsia="仿宋"/>
          <w:color w:val="000000"/>
          <w:sz w:val="28"/>
          <w:szCs w:val="28"/>
        </w:rPr>
        <w:t>：</w:t>
      </w:r>
      <w:r>
        <w:rPr>
          <w:rFonts w:hint="eastAsia" w:ascii="仿宋" w:hAnsi="仿宋" w:eastAsia="仿宋"/>
          <w:color w:val="000000"/>
          <w:sz w:val="28"/>
          <w:szCs w:val="28"/>
          <w:u w:val="single"/>
        </w:rPr>
        <w:t xml:space="preserve">  </w:t>
      </w:r>
      <w:r>
        <w:rPr>
          <w:rFonts w:hint="eastAsia" w:ascii="仿宋" w:hAnsi="仿宋" w:eastAsia="仿宋"/>
          <w:color w:val="000000"/>
          <w:sz w:val="28"/>
          <w:szCs w:val="28"/>
          <w:u w:val="single"/>
          <w:lang w:val="en-US" w:eastAsia="zh-CN"/>
        </w:rPr>
        <w:t xml:space="preserve">   </w:t>
      </w:r>
      <w:r>
        <w:rPr>
          <w:rFonts w:hint="eastAsia" w:ascii="仿宋" w:hAnsi="仿宋" w:eastAsia="仿宋"/>
          <w:color w:val="000000"/>
          <w:sz w:val="28"/>
          <w:szCs w:val="28"/>
          <w:u w:val="single"/>
        </w:rPr>
        <w:t xml:space="preserve"> 人</w:t>
      </w:r>
      <w:r>
        <w:rPr>
          <w:rFonts w:hint="eastAsia" w:ascii="仿宋" w:hAnsi="仿宋" w:eastAsia="仿宋"/>
          <w:color w:val="000000"/>
          <w:sz w:val="28"/>
          <w:szCs w:val="28"/>
        </w:rPr>
        <w:t>。金额人数</w:t>
      </w:r>
      <w:r>
        <w:rPr>
          <w:rFonts w:ascii="仿宋" w:hAnsi="仿宋" w:eastAsia="仿宋"/>
          <w:color w:val="000000"/>
          <w:sz w:val="28"/>
          <w:szCs w:val="28"/>
        </w:rPr>
        <w:t>明细如下</w:t>
      </w:r>
      <w:r>
        <w:rPr>
          <w:rFonts w:hint="eastAsia" w:ascii="仿宋" w:hAnsi="仿宋" w:eastAsia="仿宋"/>
          <w:color w:val="000000"/>
          <w:sz w:val="28"/>
          <w:szCs w:val="28"/>
        </w:rPr>
        <w:t>表。</w:t>
      </w:r>
    </w:p>
    <w:tbl>
      <w:tblPr>
        <w:tblStyle w:val="5"/>
        <w:tblW w:w="5000" w:type="pct"/>
        <w:tblInd w:w="0" w:type="dxa"/>
        <w:tblLayout w:type="autofit"/>
        <w:tblCellMar>
          <w:top w:w="0" w:type="dxa"/>
          <w:left w:w="108" w:type="dxa"/>
          <w:bottom w:w="0" w:type="dxa"/>
          <w:right w:w="108" w:type="dxa"/>
        </w:tblCellMar>
      </w:tblPr>
      <w:tblGrid>
        <w:gridCol w:w="1009"/>
        <w:gridCol w:w="1831"/>
        <w:gridCol w:w="1442"/>
        <w:gridCol w:w="1166"/>
        <w:gridCol w:w="1386"/>
        <w:gridCol w:w="1688"/>
      </w:tblGrid>
      <w:tr w14:paraId="769876A7">
        <w:tblPrEx>
          <w:tblCellMar>
            <w:top w:w="0" w:type="dxa"/>
            <w:left w:w="108" w:type="dxa"/>
            <w:bottom w:w="0" w:type="dxa"/>
            <w:right w:w="108" w:type="dxa"/>
          </w:tblCellMar>
        </w:tblPrEx>
        <w:trPr>
          <w:trHeight w:val="944" w:hRule="atLeast"/>
        </w:trPr>
        <w:tc>
          <w:tcPr>
            <w:tcW w:w="592" w:type="pct"/>
            <w:tcBorders>
              <w:top w:val="single" w:color="auto" w:sz="4" w:space="0"/>
              <w:left w:val="single" w:color="auto" w:sz="4" w:space="0"/>
              <w:bottom w:val="single" w:color="auto" w:sz="4" w:space="0"/>
              <w:right w:val="single" w:color="auto" w:sz="4" w:space="0"/>
            </w:tcBorders>
            <w:shd w:val="clear" w:color="auto" w:fill="auto"/>
            <w:vAlign w:val="center"/>
          </w:tcPr>
          <w:p w14:paraId="35EC4AE9">
            <w:pPr>
              <w:widowControl/>
              <w:jc w:val="center"/>
              <w:rPr>
                <w:rFonts w:ascii="宋体" w:hAnsi="宋体" w:cs="宋体"/>
                <w:color w:val="000000"/>
                <w:kern w:val="0"/>
                <w:sz w:val="24"/>
              </w:rPr>
            </w:pPr>
            <w:r>
              <w:rPr>
                <w:rFonts w:hint="eastAsia" w:ascii="宋体" w:hAnsi="宋体" w:cs="宋体"/>
                <w:color w:val="000000"/>
                <w:kern w:val="0"/>
                <w:sz w:val="24"/>
              </w:rPr>
              <w:t>序号</w:t>
            </w:r>
          </w:p>
        </w:tc>
        <w:tc>
          <w:tcPr>
            <w:tcW w:w="1074" w:type="pct"/>
            <w:tcBorders>
              <w:top w:val="single" w:color="auto" w:sz="4" w:space="0"/>
              <w:left w:val="single" w:color="auto" w:sz="4" w:space="0"/>
              <w:bottom w:val="single" w:color="auto" w:sz="4" w:space="0"/>
              <w:right w:val="single" w:color="auto" w:sz="4" w:space="0"/>
            </w:tcBorders>
            <w:shd w:val="clear" w:color="auto" w:fill="auto"/>
            <w:vAlign w:val="center"/>
          </w:tcPr>
          <w:p w14:paraId="335E3735">
            <w:pPr>
              <w:widowControl/>
              <w:jc w:val="center"/>
              <w:rPr>
                <w:rFonts w:ascii="宋体" w:hAnsi="宋体" w:cs="宋体"/>
                <w:color w:val="000000"/>
                <w:kern w:val="0"/>
                <w:sz w:val="24"/>
              </w:rPr>
            </w:pPr>
            <w:r>
              <w:rPr>
                <w:rFonts w:hint="eastAsia" w:ascii="宋体" w:hAnsi="宋体" w:cs="宋体"/>
                <w:color w:val="000000"/>
                <w:kern w:val="0"/>
                <w:sz w:val="24"/>
              </w:rPr>
              <w:t>性别及年龄段</w:t>
            </w:r>
          </w:p>
        </w:tc>
        <w:tc>
          <w:tcPr>
            <w:tcW w:w="846" w:type="pct"/>
            <w:tcBorders>
              <w:top w:val="single" w:color="auto" w:sz="4" w:space="0"/>
              <w:left w:val="single" w:color="auto" w:sz="4" w:space="0"/>
              <w:bottom w:val="single" w:color="auto" w:sz="4" w:space="0"/>
              <w:right w:val="single" w:color="auto" w:sz="4" w:space="0"/>
            </w:tcBorders>
            <w:shd w:val="clear" w:color="auto" w:fill="auto"/>
            <w:vAlign w:val="center"/>
          </w:tcPr>
          <w:p w14:paraId="4E76D43E">
            <w:pPr>
              <w:widowControl/>
              <w:jc w:val="center"/>
              <w:rPr>
                <w:rFonts w:ascii="宋体" w:hAnsi="宋体" w:cs="宋体"/>
                <w:color w:val="000000"/>
                <w:kern w:val="0"/>
                <w:sz w:val="24"/>
              </w:rPr>
            </w:pPr>
            <w:r>
              <w:rPr>
                <w:rFonts w:hint="eastAsia" w:ascii="宋体" w:hAnsi="宋体" w:cs="宋体"/>
                <w:color w:val="000000"/>
                <w:kern w:val="0"/>
                <w:sz w:val="24"/>
              </w:rPr>
              <w:t>具体描述</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
          <w:p w14:paraId="27E2018E">
            <w:pPr>
              <w:widowControl/>
              <w:jc w:val="center"/>
              <w:rPr>
                <w:rFonts w:ascii="宋体" w:hAnsi="宋体" w:cs="宋体"/>
                <w:color w:val="000000"/>
                <w:kern w:val="0"/>
                <w:sz w:val="24"/>
              </w:rPr>
            </w:pPr>
            <w:r>
              <w:rPr>
                <w:rFonts w:hint="eastAsia" w:ascii="宋体" w:hAnsi="宋体" w:cs="宋体"/>
                <w:color w:val="000000"/>
                <w:kern w:val="0"/>
                <w:sz w:val="24"/>
              </w:rPr>
              <w:t>数量</w:t>
            </w:r>
          </w:p>
        </w:tc>
        <w:tc>
          <w:tcPr>
            <w:tcW w:w="811" w:type="pct"/>
            <w:tcBorders>
              <w:top w:val="single" w:color="auto" w:sz="4" w:space="0"/>
              <w:left w:val="nil"/>
              <w:bottom w:val="single" w:color="auto" w:sz="4" w:space="0"/>
              <w:right w:val="single" w:color="auto" w:sz="4" w:space="0"/>
            </w:tcBorders>
            <w:shd w:val="clear" w:color="auto" w:fill="auto"/>
            <w:vAlign w:val="center"/>
          </w:tcPr>
          <w:p w14:paraId="0CE28FF7">
            <w:pPr>
              <w:widowControl/>
              <w:jc w:val="center"/>
              <w:rPr>
                <w:rFonts w:ascii="宋体" w:hAnsi="宋体" w:cs="宋体"/>
                <w:color w:val="000000"/>
                <w:kern w:val="0"/>
                <w:sz w:val="24"/>
              </w:rPr>
            </w:pPr>
            <w:r>
              <w:rPr>
                <w:rFonts w:hint="eastAsia" w:ascii="宋体" w:hAnsi="宋体" w:cs="宋体"/>
                <w:color w:val="000000"/>
                <w:kern w:val="0"/>
                <w:sz w:val="24"/>
              </w:rPr>
              <w:t>单价/元</w:t>
            </w:r>
          </w:p>
        </w:tc>
        <w:tc>
          <w:tcPr>
            <w:tcW w:w="990" w:type="pct"/>
            <w:tcBorders>
              <w:top w:val="single" w:color="auto" w:sz="4" w:space="0"/>
              <w:left w:val="nil"/>
              <w:bottom w:val="single" w:color="auto" w:sz="4" w:space="0"/>
              <w:right w:val="single" w:color="auto" w:sz="4" w:space="0"/>
            </w:tcBorders>
            <w:shd w:val="clear" w:color="auto" w:fill="auto"/>
            <w:vAlign w:val="center"/>
          </w:tcPr>
          <w:p w14:paraId="3FEF0C5F">
            <w:pPr>
              <w:widowControl/>
              <w:jc w:val="center"/>
              <w:rPr>
                <w:rFonts w:ascii="宋体" w:hAnsi="宋体" w:cs="宋体"/>
                <w:color w:val="000000"/>
                <w:kern w:val="0"/>
                <w:sz w:val="24"/>
              </w:rPr>
            </w:pPr>
            <w:r>
              <w:rPr>
                <w:rFonts w:hint="eastAsia" w:ascii="宋体" w:hAnsi="宋体" w:cs="宋体"/>
                <w:color w:val="000000"/>
                <w:kern w:val="0"/>
                <w:sz w:val="24"/>
              </w:rPr>
              <w:t>总价/元</w:t>
            </w:r>
          </w:p>
        </w:tc>
      </w:tr>
      <w:tr w14:paraId="7F364D06">
        <w:tblPrEx>
          <w:tblCellMar>
            <w:top w:w="0" w:type="dxa"/>
            <w:left w:w="108" w:type="dxa"/>
            <w:bottom w:w="0" w:type="dxa"/>
            <w:right w:w="108" w:type="dxa"/>
          </w:tblCellMar>
        </w:tblPrEx>
        <w:trPr>
          <w:trHeight w:val="629" w:hRule="atLeast"/>
        </w:trPr>
        <w:tc>
          <w:tcPr>
            <w:tcW w:w="592" w:type="pct"/>
            <w:tcBorders>
              <w:top w:val="nil"/>
              <w:left w:val="single" w:color="auto" w:sz="4" w:space="0"/>
              <w:bottom w:val="single" w:color="auto" w:sz="4" w:space="0"/>
              <w:right w:val="single" w:color="auto" w:sz="4" w:space="0"/>
            </w:tcBorders>
            <w:shd w:val="clear" w:color="auto" w:fill="auto"/>
            <w:vAlign w:val="center"/>
          </w:tcPr>
          <w:p w14:paraId="54321AE0">
            <w:pPr>
              <w:widowControl/>
              <w:jc w:val="center"/>
              <w:rPr>
                <w:rFonts w:ascii="宋体" w:hAnsi="宋体" w:cs="宋体"/>
                <w:color w:val="000000"/>
                <w:kern w:val="0"/>
                <w:sz w:val="24"/>
              </w:rPr>
            </w:pPr>
            <w:r>
              <w:rPr>
                <w:rFonts w:hint="eastAsia" w:ascii="宋体" w:hAnsi="宋体" w:cs="宋体"/>
                <w:color w:val="000000"/>
                <w:kern w:val="0"/>
                <w:sz w:val="24"/>
              </w:rPr>
              <w:t>1</w:t>
            </w:r>
          </w:p>
        </w:tc>
        <w:tc>
          <w:tcPr>
            <w:tcW w:w="1074" w:type="pct"/>
            <w:tcBorders>
              <w:top w:val="nil"/>
              <w:left w:val="nil"/>
              <w:bottom w:val="single" w:color="auto" w:sz="4" w:space="0"/>
              <w:right w:val="single" w:color="auto" w:sz="4" w:space="0"/>
            </w:tcBorders>
            <w:shd w:val="clear" w:color="auto" w:fill="auto"/>
            <w:vAlign w:val="center"/>
          </w:tcPr>
          <w:p w14:paraId="323AC7C6">
            <w:pPr>
              <w:widowControl/>
              <w:jc w:val="center"/>
              <w:rPr>
                <w:rFonts w:ascii="宋体" w:hAnsi="宋体" w:cs="宋体"/>
                <w:color w:val="000000"/>
                <w:kern w:val="0"/>
                <w:sz w:val="24"/>
              </w:rPr>
            </w:pPr>
            <w:r>
              <w:rPr>
                <w:rFonts w:ascii="仿宋" w:hAnsi="仿宋" w:eastAsia="仿宋" w:cs="仿宋"/>
                <w:b/>
                <w:bCs/>
                <w:spacing w:val="-7"/>
                <w:sz w:val="21"/>
                <w:szCs w:val="21"/>
                <w:lang w:val="en-US" w:eastAsia="zh-CN"/>
              </w:rPr>
              <w:t>≤40</w:t>
            </w:r>
            <w:r>
              <w:rPr>
                <w:rFonts w:hint="default" w:ascii="仿宋" w:hAnsi="仿宋" w:eastAsia="仿宋" w:cs="仿宋"/>
                <w:b/>
                <w:bCs/>
                <w:spacing w:val="-7"/>
                <w:sz w:val="21"/>
                <w:szCs w:val="21"/>
                <w:lang w:val="en-US" w:eastAsia="zh-CN"/>
              </w:rPr>
              <w:t>岁男性</w:t>
            </w:r>
          </w:p>
        </w:tc>
        <w:tc>
          <w:tcPr>
            <w:tcW w:w="846" w:type="pct"/>
            <w:tcBorders>
              <w:top w:val="nil"/>
              <w:left w:val="nil"/>
              <w:bottom w:val="single" w:color="auto" w:sz="4" w:space="0"/>
              <w:right w:val="single" w:color="auto" w:sz="4" w:space="0"/>
            </w:tcBorders>
            <w:shd w:val="clear" w:color="auto" w:fill="auto"/>
            <w:vAlign w:val="center"/>
          </w:tcPr>
          <w:p w14:paraId="662937A4">
            <w:pPr>
              <w:widowControl/>
              <w:jc w:val="center"/>
              <w:rPr>
                <w:rFonts w:ascii="宋体" w:hAnsi="宋体" w:cs="宋体"/>
                <w:color w:val="000000"/>
                <w:kern w:val="0"/>
                <w:sz w:val="24"/>
              </w:rPr>
            </w:pPr>
          </w:p>
        </w:tc>
        <w:tc>
          <w:tcPr>
            <w:tcW w:w="684" w:type="pct"/>
            <w:tcBorders>
              <w:top w:val="nil"/>
              <w:left w:val="nil"/>
              <w:bottom w:val="single" w:color="auto" w:sz="4" w:space="0"/>
              <w:right w:val="single" w:color="auto" w:sz="4" w:space="0"/>
            </w:tcBorders>
            <w:shd w:val="clear" w:color="auto" w:fill="auto"/>
            <w:vAlign w:val="center"/>
          </w:tcPr>
          <w:p w14:paraId="75E1E5D9">
            <w:pPr>
              <w:widowControl/>
              <w:jc w:val="center"/>
              <w:rPr>
                <w:rFonts w:ascii="宋体" w:hAnsi="宋体" w:cs="宋体"/>
                <w:color w:val="000000"/>
                <w:kern w:val="0"/>
                <w:sz w:val="24"/>
              </w:rPr>
            </w:pPr>
          </w:p>
        </w:tc>
        <w:tc>
          <w:tcPr>
            <w:tcW w:w="811" w:type="pct"/>
            <w:tcBorders>
              <w:top w:val="single" w:color="auto" w:sz="4" w:space="0"/>
              <w:left w:val="nil"/>
              <w:bottom w:val="single" w:color="auto" w:sz="4" w:space="0"/>
              <w:right w:val="single" w:color="auto" w:sz="4" w:space="0"/>
            </w:tcBorders>
            <w:shd w:val="clear" w:color="auto" w:fill="auto"/>
            <w:vAlign w:val="center"/>
          </w:tcPr>
          <w:p w14:paraId="64CDD4B3">
            <w:pPr>
              <w:widowControl/>
              <w:jc w:val="center"/>
              <w:rPr>
                <w:rFonts w:ascii="宋体" w:hAnsi="宋体" w:cs="宋体"/>
                <w:color w:val="000000"/>
                <w:kern w:val="0"/>
                <w:sz w:val="24"/>
              </w:rPr>
            </w:pPr>
          </w:p>
        </w:tc>
        <w:tc>
          <w:tcPr>
            <w:tcW w:w="990" w:type="pct"/>
            <w:tcBorders>
              <w:top w:val="nil"/>
              <w:left w:val="nil"/>
              <w:bottom w:val="single" w:color="auto" w:sz="4" w:space="0"/>
              <w:right w:val="single" w:color="auto" w:sz="4" w:space="0"/>
            </w:tcBorders>
            <w:shd w:val="clear" w:color="auto" w:fill="auto"/>
            <w:vAlign w:val="center"/>
          </w:tcPr>
          <w:p w14:paraId="6898A5BA">
            <w:pPr>
              <w:widowControl/>
              <w:jc w:val="center"/>
              <w:rPr>
                <w:rFonts w:ascii="宋体" w:hAnsi="宋体" w:cs="宋体"/>
                <w:color w:val="000000"/>
                <w:kern w:val="0"/>
                <w:sz w:val="24"/>
              </w:rPr>
            </w:pPr>
          </w:p>
        </w:tc>
      </w:tr>
      <w:tr w14:paraId="40414AFF">
        <w:tblPrEx>
          <w:tblCellMar>
            <w:top w:w="0" w:type="dxa"/>
            <w:left w:w="108" w:type="dxa"/>
            <w:bottom w:w="0" w:type="dxa"/>
            <w:right w:w="108" w:type="dxa"/>
          </w:tblCellMar>
        </w:tblPrEx>
        <w:trPr>
          <w:trHeight w:val="629" w:hRule="atLeast"/>
        </w:trPr>
        <w:tc>
          <w:tcPr>
            <w:tcW w:w="592" w:type="pct"/>
            <w:tcBorders>
              <w:top w:val="nil"/>
              <w:left w:val="single" w:color="auto" w:sz="4" w:space="0"/>
              <w:bottom w:val="single" w:color="auto" w:sz="4" w:space="0"/>
              <w:right w:val="single" w:color="auto" w:sz="4" w:space="0"/>
            </w:tcBorders>
            <w:shd w:val="clear" w:color="auto" w:fill="auto"/>
            <w:vAlign w:val="center"/>
          </w:tcPr>
          <w:p w14:paraId="6E7F3E61">
            <w:pPr>
              <w:widowControl/>
              <w:jc w:val="center"/>
              <w:rPr>
                <w:rFonts w:ascii="宋体" w:hAnsi="宋体" w:cs="宋体"/>
                <w:color w:val="000000"/>
                <w:kern w:val="0"/>
                <w:sz w:val="24"/>
              </w:rPr>
            </w:pPr>
            <w:r>
              <w:rPr>
                <w:rFonts w:hint="eastAsia" w:ascii="宋体" w:hAnsi="宋体" w:cs="宋体"/>
                <w:color w:val="000000"/>
                <w:kern w:val="0"/>
                <w:sz w:val="24"/>
              </w:rPr>
              <w:t>2</w:t>
            </w:r>
          </w:p>
        </w:tc>
        <w:tc>
          <w:tcPr>
            <w:tcW w:w="1074" w:type="pct"/>
            <w:tcBorders>
              <w:top w:val="nil"/>
              <w:left w:val="nil"/>
              <w:bottom w:val="single" w:color="auto" w:sz="4" w:space="0"/>
              <w:right w:val="single" w:color="auto" w:sz="4" w:space="0"/>
            </w:tcBorders>
            <w:shd w:val="clear" w:color="auto" w:fill="auto"/>
            <w:vAlign w:val="center"/>
          </w:tcPr>
          <w:p w14:paraId="7B004920">
            <w:pPr>
              <w:widowControl/>
              <w:jc w:val="center"/>
              <w:rPr>
                <w:rFonts w:ascii="宋体" w:hAnsi="宋体" w:cs="宋体"/>
                <w:color w:val="000000"/>
                <w:kern w:val="0"/>
                <w:sz w:val="24"/>
              </w:rPr>
            </w:pPr>
            <w:r>
              <w:rPr>
                <w:rFonts w:hint="eastAsia" w:ascii="仿宋" w:hAnsi="仿宋" w:eastAsia="仿宋" w:cs="仿宋"/>
                <w:b/>
                <w:bCs/>
                <w:spacing w:val="-7"/>
                <w:sz w:val="21"/>
                <w:szCs w:val="21"/>
                <w:lang w:val="en-US" w:eastAsia="zh-CN"/>
              </w:rPr>
              <w:t>＞</w:t>
            </w:r>
            <w:r>
              <w:rPr>
                <w:rFonts w:ascii="仿宋" w:hAnsi="仿宋" w:eastAsia="仿宋" w:cs="仿宋"/>
                <w:b/>
                <w:bCs/>
                <w:spacing w:val="-7"/>
                <w:sz w:val="21"/>
                <w:szCs w:val="21"/>
                <w:lang w:val="en-US" w:eastAsia="zh-CN"/>
              </w:rPr>
              <w:t>40岁男性</w:t>
            </w:r>
          </w:p>
        </w:tc>
        <w:tc>
          <w:tcPr>
            <w:tcW w:w="846" w:type="pct"/>
            <w:tcBorders>
              <w:top w:val="nil"/>
              <w:left w:val="nil"/>
              <w:bottom w:val="single" w:color="auto" w:sz="4" w:space="0"/>
              <w:right w:val="single" w:color="auto" w:sz="4" w:space="0"/>
            </w:tcBorders>
            <w:shd w:val="clear" w:color="auto" w:fill="auto"/>
            <w:vAlign w:val="center"/>
          </w:tcPr>
          <w:p w14:paraId="666098AC">
            <w:pPr>
              <w:widowControl/>
              <w:jc w:val="center"/>
              <w:rPr>
                <w:rFonts w:ascii="宋体" w:hAnsi="宋体" w:cs="宋体"/>
                <w:color w:val="000000"/>
                <w:kern w:val="0"/>
                <w:sz w:val="24"/>
              </w:rPr>
            </w:pPr>
          </w:p>
        </w:tc>
        <w:tc>
          <w:tcPr>
            <w:tcW w:w="684" w:type="pct"/>
            <w:tcBorders>
              <w:top w:val="nil"/>
              <w:left w:val="nil"/>
              <w:bottom w:val="single" w:color="auto" w:sz="4" w:space="0"/>
              <w:right w:val="single" w:color="auto" w:sz="4" w:space="0"/>
            </w:tcBorders>
            <w:shd w:val="clear" w:color="auto" w:fill="auto"/>
            <w:vAlign w:val="center"/>
          </w:tcPr>
          <w:p w14:paraId="159E0064">
            <w:pPr>
              <w:widowControl/>
              <w:jc w:val="center"/>
              <w:rPr>
                <w:rFonts w:ascii="宋体" w:hAnsi="宋体" w:cs="宋体"/>
                <w:color w:val="000000"/>
                <w:kern w:val="0"/>
                <w:sz w:val="24"/>
              </w:rPr>
            </w:pPr>
          </w:p>
        </w:tc>
        <w:tc>
          <w:tcPr>
            <w:tcW w:w="811" w:type="pct"/>
            <w:tcBorders>
              <w:top w:val="nil"/>
              <w:left w:val="nil"/>
              <w:bottom w:val="single" w:color="auto" w:sz="4" w:space="0"/>
              <w:right w:val="single" w:color="auto" w:sz="4" w:space="0"/>
            </w:tcBorders>
            <w:shd w:val="clear" w:color="auto" w:fill="auto"/>
            <w:vAlign w:val="center"/>
          </w:tcPr>
          <w:p w14:paraId="313285DC">
            <w:pPr>
              <w:widowControl/>
              <w:jc w:val="center"/>
              <w:rPr>
                <w:rFonts w:ascii="宋体" w:hAnsi="宋体" w:cs="宋体"/>
                <w:color w:val="000000"/>
                <w:kern w:val="0"/>
                <w:sz w:val="24"/>
              </w:rPr>
            </w:pPr>
          </w:p>
        </w:tc>
        <w:tc>
          <w:tcPr>
            <w:tcW w:w="990" w:type="pct"/>
            <w:tcBorders>
              <w:top w:val="nil"/>
              <w:left w:val="nil"/>
              <w:bottom w:val="single" w:color="auto" w:sz="4" w:space="0"/>
              <w:right w:val="single" w:color="auto" w:sz="4" w:space="0"/>
            </w:tcBorders>
            <w:shd w:val="clear" w:color="auto" w:fill="auto"/>
            <w:vAlign w:val="center"/>
          </w:tcPr>
          <w:p w14:paraId="784E5626">
            <w:pPr>
              <w:widowControl/>
              <w:jc w:val="center"/>
              <w:rPr>
                <w:rFonts w:ascii="宋体" w:hAnsi="宋体" w:cs="宋体"/>
                <w:color w:val="000000"/>
                <w:kern w:val="0"/>
                <w:sz w:val="24"/>
              </w:rPr>
            </w:pPr>
          </w:p>
        </w:tc>
      </w:tr>
      <w:tr w14:paraId="3A40FB37">
        <w:tblPrEx>
          <w:tblCellMar>
            <w:top w:w="0" w:type="dxa"/>
            <w:left w:w="108" w:type="dxa"/>
            <w:bottom w:w="0" w:type="dxa"/>
            <w:right w:w="108" w:type="dxa"/>
          </w:tblCellMar>
        </w:tblPrEx>
        <w:trPr>
          <w:trHeight w:val="629" w:hRule="atLeast"/>
        </w:trPr>
        <w:tc>
          <w:tcPr>
            <w:tcW w:w="592" w:type="pct"/>
            <w:tcBorders>
              <w:top w:val="nil"/>
              <w:left w:val="single" w:color="auto" w:sz="4" w:space="0"/>
              <w:bottom w:val="single" w:color="auto" w:sz="4" w:space="0"/>
              <w:right w:val="single" w:color="auto" w:sz="4" w:space="0"/>
            </w:tcBorders>
            <w:shd w:val="clear" w:color="auto" w:fill="auto"/>
            <w:vAlign w:val="center"/>
          </w:tcPr>
          <w:p w14:paraId="15BC64B4">
            <w:pPr>
              <w:widowControl/>
              <w:jc w:val="center"/>
              <w:rPr>
                <w:rFonts w:ascii="宋体" w:hAnsi="宋体" w:cs="宋体"/>
                <w:color w:val="000000"/>
                <w:kern w:val="0"/>
                <w:sz w:val="24"/>
              </w:rPr>
            </w:pPr>
            <w:r>
              <w:rPr>
                <w:rFonts w:hint="eastAsia" w:ascii="宋体" w:hAnsi="宋体" w:cs="宋体"/>
                <w:color w:val="000000"/>
                <w:kern w:val="0"/>
                <w:sz w:val="24"/>
              </w:rPr>
              <w:t>3</w:t>
            </w:r>
          </w:p>
        </w:tc>
        <w:tc>
          <w:tcPr>
            <w:tcW w:w="1074" w:type="pct"/>
            <w:tcBorders>
              <w:top w:val="nil"/>
              <w:left w:val="nil"/>
              <w:bottom w:val="single" w:color="auto" w:sz="4" w:space="0"/>
              <w:right w:val="single" w:color="auto" w:sz="4" w:space="0"/>
            </w:tcBorders>
            <w:shd w:val="clear" w:color="auto" w:fill="auto"/>
            <w:vAlign w:val="center"/>
          </w:tcPr>
          <w:p w14:paraId="191AF45B">
            <w:pPr>
              <w:widowControl/>
              <w:jc w:val="center"/>
              <w:rPr>
                <w:rFonts w:ascii="宋体" w:hAnsi="宋体" w:cs="宋体"/>
                <w:color w:val="000000"/>
                <w:kern w:val="0"/>
                <w:sz w:val="24"/>
              </w:rPr>
            </w:pPr>
            <w:r>
              <w:rPr>
                <w:rFonts w:ascii="仿宋" w:hAnsi="仿宋" w:eastAsia="仿宋" w:cs="仿宋"/>
                <w:b/>
                <w:bCs/>
                <w:spacing w:val="-7"/>
                <w:sz w:val="21"/>
                <w:szCs w:val="21"/>
                <w:lang w:val="en-US" w:eastAsia="zh-CN"/>
              </w:rPr>
              <w:t>≤40岁⼥性已婚</w:t>
            </w:r>
          </w:p>
        </w:tc>
        <w:tc>
          <w:tcPr>
            <w:tcW w:w="846" w:type="pct"/>
            <w:tcBorders>
              <w:top w:val="nil"/>
              <w:left w:val="nil"/>
              <w:bottom w:val="single" w:color="auto" w:sz="4" w:space="0"/>
              <w:right w:val="single" w:color="auto" w:sz="4" w:space="0"/>
            </w:tcBorders>
            <w:shd w:val="clear" w:color="auto" w:fill="auto"/>
            <w:vAlign w:val="center"/>
          </w:tcPr>
          <w:p w14:paraId="7C6B9244">
            <w:pPr>
              <w:widowControl/>
              <w:jc w:val="center"/>
              <w:rPr>
                <w:rFonts w:ascii="宋体" w:hAnsi="宋体" w:cs="宋体"/>
                <w:color w:val="000000"/>
                <w:kern w:val="0"/>
                <w:sz w:val="24"/>
              </w:rPr>
            </w:pPr>
          </w:p>
        </w:tc>
        <w:tc>
          <w:tcPr>
            <w:tcW w:w="684" w:type="pct"/>
            <w:tcBorders>
              <w:top w:val="nil"/>
              <w:left w:val="nil"/>
              <w:bottom w:val="single" w:color="auto" w:sz="4" w:space="0"/>
              <w:right w:val="single" w:color="auto" w:sz="4" w:space="0"/>
            </w:tcBorders>
            <w:shd w:val="clear" w:color="auto" w:fill="auto"/>
            <w:vAlign w:val="center"/>
          </w:tcPr>
          <w:p w14:paraId="62C90C21">
            <w:pPr>
              <w:widowControl/>
              <w:jc w:val="center"/>
              <w:rPr>
                <w:rFonts w:ascii="宋体" w:hAnsi="宋体" w:cs="宋体"/>
                <w:color w:val="000000"/>
                <w:kern w:val="0"/>
                <w:sz w:val="24"/>
              </w:rPr>
            </w:pPr>
          </w:p>
        </w:tc>
        <w:tc>
          <w:tcPr>
            <w:tcW w:w="811" w:type="pct"/>
            <w:tcBorders>
              <w:top w:val="nil"/>
              <w:left w:val="nil"/>
              <w:bottom w:val="single" w:color="auto" w:sz="4" w:space="0"/>
              <w:right w:val="single" w:color="auto" w:sz="4" w:space="0"/>
            </w:tcBorders>
            <w:shd w:val="clear" w:color="auto" w:fill="auto"/>
            <w:vAlign w:val="center"/>
          </w:tcPr>
          <w:p w14:paraId="4751C99C">
            <w:pPr>
              <w:widowControl/>
              <w:jc w:val="center"/>
              <w:rPr>
                <w:rFonts w:ascii="宋体" w:hAnsi="宋体" w:cs="宋体"/>
                <w:color w:val="000000"/>
                <w:kern w:val="0"/>
                <w:sz w:val="24"/>
              </w:rPr>
            </w:pPr>
          </w:p>
        </w:tc>
        <w:tc>
          <w:tcPr>
            <w:tcW w:w="990" w:type="pct"/>
            <w:tcBorders>
              <w:top w:val="nil"/>
              <w:left w:val="nil"/>
              <w:bottom w:val="single" w:color="auto" w:sz="4" w:space="0"/>
              <w:right w:val="single" w:color="auto" w:sz="4" w:space="0"/>
            </w:tcBorders>
            <w:shd w:val="clear" w:color="auto" w:fill="auto"/>
            <w:vAlign w:val="center"/>
          </w:tcPr>
          <w:p w14:paraId="56EA5F31">
            <w:pPr>
              <w:widowControl/>
              <w:jc w:val="center"/>
              <w:rPr>
                <w:rFonts w:ascii="宋体" w:hAnsi="宋体" w:cs="宋体"/>
                <w:color w:val="000000"/>
                <w:kern w:val="0"/>
                <w:sz w:val="24"/>
              </w:rPr>
            </w:pPr>
          </w:p>
        </w:tc>
      </w:tr>
      <w:tr w14:paraId="222A5EA2">
        <w:tblPrEx>
          <w:tblCellMar>
            <w:top w:w="0" w:type="dxa"/>
            <w:left w:w="108" w:type="dxa"/>
            <w:bottom w:w="0" w:type="dxa"/>
            <w:right w:w="108" w:type="dxa"/>
          </w:tblCellMar>
        </w:tblPrEx>
        <w:trPr>
          <w:trHeight w:val="629" w:hRule="atLeast"/>
        </w:trPr>
        <w:tc>
          <w:tcPr>
            <w:tcW w:w="592" w:type="pct"/>
            <w:tcBorders>
              <w:top w:val="nil"/>
              <w:left w:val="single" w:color="auto" w:sz="4" w:space="0"/>
              <w:bottom w:val="single" w:color="auto" w:sz="4" w:space="0"/>
              <w:right w:val="single" w:color="auto" w:sz="4" w:space="0"/>
            </w:tcBorders>
            <w:shd w:val="clear" w:color="auto" w:fill="auto"/>
            <w:vAlign w:val="center"/>
          </w:tcPr>
          <w:p w14:paraId="222A65F7">
            <w:pPr>
              <w:widowControl/>
              <w:jc w:val="center"/>
              <w:rPr>
                <w:rFonts w:ascii="宋体" w:hAnsi="宋体" w:cs="宋体"/>
                <w:color w:val="000000"/>
                <w:kern w:val="0"/>
                <w:sz w:val="24"/>
              </w:rPr>
            </w:pPr>
            <w:r>
              <w:rPr>
                <w:rFonts w:hint="eastAsia" w:ascii="宋体" w:hAnsi="宋体" w:cs="宋体"/>
                <w:color w:val="000000"/>
                <w:kern w:val="0"/>
                <w:sz w:val="24"/>
              </w:rPr>
              <w:t>4</w:t>
            </w:r>
          </w:p>
        </w:tc>
        <w:tc>
          <w:tcPr>
            <w:tcW w:w="1074" w:type="pct"/>
            <w:tcBorders>
              <w:top w:val="nil"/>
              <w:left w:val="nil"/>
              <w:bottom w:val="single" w:color="auto" w:sz="4" w:space="0"/>
              <w:right w:val="single" w:color="auto" w:sz="4" w:space="0"/>
            </w:tcBorders>
            <w:shd w:val="clear" w:color="auto" w:fill="auto"/>
            <w:vAlign w:val="center"/>
          </w:tcPr>
          <w:p w14:paraId="44BD2141">
            <w:pPr>
              <w:widowControl/>
              <w:jc w:val="center"/>
              <w:rPr>
                <w:rFonts w:ascii="宋体" w:hAnsi="宋体" w:cs="宋体"/>
                <w:color w:val="000000"/>
                <w:kern w:val="0"/>
                <w:sz w:val="24"/>
              </w:rPr>
            </w:pPr>
            <w:r>
              <w:rPr>
                <w:rFonts w:hint="eastAsia" w:ascii="仿宋" w:hAnsi="仿宋" w:eastAsia="仿宋" w:cs="仿宋"/>
                <w:b/>
                <w:bCs/>
                <w:spacing w:val="-7"/>
                <w:sz w:val="21"/>
                <w:szCs w:val="21"/>
                <w:lang w:val="en-US" w:eastAsia="zh-CN"/>
              </w:rPr>
              <w:t>＞</w:t>
            </w:r>
            <w:r>
              <w:rPr>
                <w:rFonts w:ascii="仿宋" w:hAnsi="仿宋" w:eastAsia="仿宋" w:cs="仿宋"/>
                <w:b/>
                <w:bCs/>
                <w:spacing w:val="-7"/>
                <w:sz w:val="21"/>
                <w:szCs w:val="21"/>
                <w:lang w:val="en-US" w:eastAsia="zh-CN"/>
              </w:rPr>
              <w:t>40岁⼥性已婚</w:t>
            </w:r>
          </w:p>
        </w:tc>
        <w:tc>
          <w:tcPr>
            <w:tcW w:w="846" w:type="pct"/>
            <w:tcBorders>
              <w:top w:val="nil"/>
              <w:left w:val="nil"/>
              <w:bottom w:val="single" w:color="auto" w:sz="4" w:space="0"/>
              <w:right w:val="single" w:color="auto" w:sz="4" w:space="0"/>
            </w:tcBorders>
            <w:shd w:val="clear" w:color="auto" w:fill="auto"/>
            <w:vAlign w:val="center"/>
          </w:tcPr>
          <w:p w14:paraId="7F275AEE">
            <w:pPr>
              <w:widowControl/>
              <w:jc w:val="center"/>
              <w:rPr>
                <w:rFonts w:ascii="宋体" w:hAnsi="宋体" w:cs="宋体"/>
                <w:color w:val="000000"/>
                <w:kern w:val="0"/>
                <w:sz w:val="24"/>
              </w:rPr>
            </w:pPr>
          </w:p>
        </w:tc>
        <w:tc>
          <w:tcPr>
            <w:tcW w:w="684" w:type="pct"/>
            <w:tcBorders>
              <w:top w:val="nil"/>
              <w:left w:val="nil"/>
              <w:bottom w:val="single" w:color="auto" w:sz="4" w:space="0"/>
              <w:right w:val="single" w:color="auto" w:sz="4" w:space="0"/>
            </w:tcBorders>
            <w:shd w:val="clear" w:color="auto" w:fill="auto"/>
            <w:vAlign w:val="center"/>
          </w:tcPr>
          <w:p w14:paraId="097A4757">
            <w:pPr>
              <w:widowControl/>
              <w:jc w:val="center"/>
              <w:rPr>
                <w:rFonts w:ascii="宋体" w:hAnsi="宋体" w:cs="宋体"/>
                <w:color w:val="000000"/>
                <w:kern w:val="0"/>
                <w:sz w:val="24"/>
              </w:rPr>
            </w:pPr>
          </w:p>
        </w:tc>
        <w:tc>
          <w:tcPr>
            <w:tcW w:w="811" w:type="pct"/>
            <w:tcBorders>
              <w:top w:val="nil"/>
              <w:left w:val="nil"/>
              <w:bottom w:val="single" w:color="auto" w:sz="4" w:space="0"/>
              <w:right w:val="single" w:color="auto" w:sz="4" w:space="0"/>
            </w:tcBorders>
            <w:shd w:val="clear" w:color="auto" w:fill="auto"/>
            <w:vAlign w:val="center"/>
          </w:tcPr>
          <w:p w14:paraId="7FF49A42">
            <w:pPr>
              <w:widowControl/>
              <w:jc w:val="center"/>
              <w:rPr>
                <w:rFonts w:ascii="宋体" w:hAnsi="宋体" w:cs="宋体"/>
                <w:color w:val="000000"/>
                <w:kern w:val="0"/>
                <w:sz w:val="24"/>
              </w:rPr>
            </w:pPr>
          </w:p>
        </w:tc>
        <w:tc>
          <w:tcPr>
            <w:tcW w:w="990" w:type="pct"/>
            <w:tcBorders>
              <w:top w:val="nil"/>
              <w:left w:val="nil"/>
              <w:bottom w:val="single" w:color="auto" w:sz="4" w:space="0"/>
              <w:right w:val="single" w:color="auto" w:sz="4" w:space="0"/>
            </w:tcBorders>
            <w:shd w:val="clear" w:color="auto" w:fill="auto"/>
            <w:vAlign w:val="center"/>
          </w:tcPr>
          <w:p w14:paraId="674DAEAE">
            <w:pPr>
              <w:widowControl/>
              <w:jc w:val="center"/>
              <w:rPr>
                <w:rFonts w:ascii="宋体" w:hAnsi="宋体" w:cs="宋体"/>
                <w:color w:val="000000"/>
                <w:kern w:val="0"/>
                <w:sz w:val="24"/>
              </w:rPr>
            </w:pPr>
          </w:p>
        </w:tc>
      </w:tr>
      <w:tr w14:paraId="47A5A265">
        <w:tblPrEx>
          <w:tblCellMar>
            <w:top w:w="0" w:type="dxa"/>
            <w:left w:w="108" w:type="dxa"/>
            <w:bottom w:w="0" w:type="dxa"/>
            <w:right w:w="108" w:type="dxa"/>
          </w:tblCellMar>
        </w:tblPrEx>
        <w:trPr>
          <w:trHeight w:val="629" w:hRule="atLeast"/>
        </w:trPr>
        <w:tc>
          <w:tcPr>
            <w:tcW w:w="592" w:type="pct"/>
            <w:tcBorders>
              <w:top w:val="nil"/>
              <w:left w:val="single" w:color="auto" w:sz="4" w:space="0"/>
              <w:bottom w:val="single" w:color="auto" w:sz="4" w:space="0"/>
              <w:right w:val="single" w:color="auto" w:sz="4" w:space="0"/>
            </w:tcBorders>
            <w:shd w:val="clear" w:color="auto" w:fill="auto"/>
            <w:vAlign w:val="center"/>
          </w:tcPr>
          <w:p w14:paraId="5B12F44F">
            <w:pPr>
              <w:widowControl/>
              <w:jc w:val="center"/>
              <w:rPr>
                <w:rFonts w:ascii="宋体" w:hAnsi="宋体" w:cs="宋体"/>
                <w:color w:val="000000"/>
                <w:kern w:val="0"/>
                <w:sz w:val="24"/>
              </w:rPr>
            </w:pPr>
            <w:r>
              <w:rPr>
                <w:rFonts w:hint="eastAsia" w:ascii="宋体" w:hAnsi="宋体" w:cs="宋体"/>
                <w:color w:val="000000"/>
                <w:kern w:val="0"/>
                <w:sz w:val="24"/>
              </w:rPr>
              <w:t>5</w:t>
            </w:r>
          </w:p>
        </w:tc>
        <w:tc>
          <w:tcPr>
            <w:tcW w:w="1074" w:type="pct"/>
            <w:tcBorders>
              <w:top w:val="nil"/>
              <w:left w:val="nil"/>
              <w:bottom w:val="single" w:color="auto" w:sz="4" w:space="0"/>
              <w:right w:val="single" w:color="auto" w:sz="4" w:space="0"/>
            </w:tcBorders>
            <w:shd w:val="clear" w:color="auto" w:fill="auto"/>
            <w:vAlign w:val="center"/>
          </w:tcPr>
          <w:p w14:paraId="6F1B69A9">
            <w:pPr>
              <w:widowControl/>
              <w:jc w:val="center"/>
              <w:rPr>
                <w:rFonts w:ascii="宋体" w:hAnsi="宋体" w:cs="宋体"/>
                <w:color w:val="000000"/>
                <w:kern w:val="0"/>
                <w:sz w:val="24"/>
              </w:rPr>
            </w:pPr>
            <w:r>
              <w:rPr>
                <w:rFonts w:hint="eastAsia" w:ascii="仿宋" w:hAnsi="仿宋" w:eastAsia="仿宋" w:cs="仿宋"/>
                <w:b/>
                <w:bCs/>
                <w:spacing w:val="-7"/>
                <w:sz w:val="21"/>
                <w:szCs w:val="21"/>
                <w:lang w:val="en-US" w:eastAsia="zh-CN"/>
              </w:rPr>
              <w:t>未婚⼥性</w:t>
            </w:r>
          </w:p>
        </w:tc>
        <w:tc>
          <w:tcPr>
            <w:tcW w:w="846" w:type="pct"/>
            <w:tcBorders>
              <w:top w:val="nil"/>
              <w:left w:val="nil"/>
              <w:bottom w:val="single" w:color="auto" w:sz="4" w:space="0"/>
              <w:right w:val="single" w:color="auto" w:sz="4" w:space="0"/>
            </w:tcBorders>
            <w:shd w:val="clear" w:color="auto" w:fill="auto"/>
            <w:vAlign w:val="center"/>
          </w:tcPr>
          <w:p w14:paraId="19AA849F">
            <w:pPr>
              <w:widowControl/>
              <w:jc w:val="center"/>
              <w:rPr>
                <w:rFonts w:ascii="宋体" w:hAnsi="宋体" w:cs="宋体"/>
                <w:color w:val="000000"/>
                <w:kern w:val="0"/>
                <w:sz w:val="24"/>
              </w:rPr>
            </w:pPr>
          </w:p>
        </w:tc>
        <w:tc>
          <w:tcPr>
            <w:tcW w:w="684" w:type="pct"/>
            <w:tcBorders>
              <w:top w:val="nil"/>
              <w:left w:val="nil"/>
              <w:bottom w:val="single" w:color="auto" w:sz="4" w:space="0"/>
              <w:right w:val="single" w:color="auto" w:sz="4" w:space="0"/>
            </w:tcBorders>
            <w:shd w:val="clear" w:color="auto" w:fill="auto"/>
            <w:vAlign w:val="center"/>
          </w:tcPr>
          <w:p w14:paraId="13FAC55F">
            <w:pPr>
              <w:widowControl/>
              <w:jc w:val="center"/>
              <w:rPr>
                <w:rFonts w:ascii="宋体" w:hAnsi="宋体" w:cs="宋体"/>
                <w:color w:val="000000"/>
                <w:kern w:val="0"/>
                <w:sz w:val="24"/>
              </w:rPr>
            </w:pPr>
          </w:p>
        </w:tc>
        <w:tc>
          <w:tcPr>
            <w:tcW w:w="811" w:type="pct"/>
            <w:tcBorders>
              <w:top w:val="nil"/>
              <w:left w:val="nil"/>
              <w:bottom w:val="single" w:color="auto" w:sz="4" w:space="0"/>
              <w:right w:val="single" w:color="auto" w:sz="4" w:space="0"/>
            </w:tcBorders>
            <w:shd w:val="clear" w:color="auto" w:fill="auto"/>
            <w:vAlign w:val="center"/>
          </w:tcPr>
          <w:p w14:paraId="70CE2C8A">
            <w:pPr>
              <w:widowControl/>
              <w:jc w:val="center"/>
              <w:rPr>
                <w:rFonts w:ascii="宋体" w:hAnsi="宋体" w:cs="宋体"/>
                <w:color w:val="000000"/>
                <w:kern w:val="0"/>
                <w:sz w:val="24"/>
              </w:rPr>
            </w:pPr>
          </w:p>
        </w:tc>
        <w:tc>
          <w:tcPr>
            <w:tcW w:w="990" w:type="pct"/>
            <w:tcBorders>
              <w:top w:val="nil"/>
              <w:left w:val="nil"/>
              <w:bottom w:val="single" w:color="auto" w:sz="4" w:space="0"/>
              <w:right w:val="single" w:color="auto" w:sz="4" w:space="0"/>
            </w:tcBorders>
            <w:shd w:val="clear" w:color="auto" w:fill="auto"/>
            <w:vAlign w:val="center"/>
          </w:tcPr>
          <w:p w14:paraId="368CD0A3">
            <w:pPr>
              <w:widowControl/>
              <w:jc w:val="center"/>
              <w:rPr>
                <w:rFonts w:ascii="宋体" w:hAnsi="宋体" w:cs="宋体"/>
                <w:color w:val="000000"/>
                <w:kern w:val="0"/>
                <w:sz w:val="24"/>
              </w:rPr>
            </w:pPr>
          </w:p>
        </w:tc>
      </w:tr>
      <w:tr w14:paraId="792E5A31">
        <w:tblPrEx>
          <w:tblCellMar>
            <w:top w:w="0" w:type="dxa"/>
            <w:left w:w="108" w:type="dxa"/>
            <w:bottom w:w="0" w:type="dxa"/>
            <w:right w:w="108" w:type="dxa"/>
          </w:tblCellMar>
        </w:tblPrEx>
        <w:trPr>
          <w:trHeight w:val="629" w:hRule="atLeast"/>
        </w:trPr>
        <w:tc>
          <w:tcPr>
            <w:tcW w:w="592" w:type="pct"/>
            <w:tcBorders>
              <w:top w:val="nil"/>
              <w:left w:val="single" w:color="auto" w:sz="4" w:space="0"/>
              <w:bottom w:val="single" w:color="auto" w:sz="4" w:space="0"/>
              <w:right w:val="single" w:color="auto" w:sz="4" w:space="0"/>
            </w:tcBorders>
            <w:shd w:val="clear" w:color="auto" w:fill="auto"/>
            <w:vAlign w:val="center"/>
          </w:tcPr>
          <w:p w14:paraId="2D437059">
            <w:pPr>
              <w:widowControl/>
              <w:jc w:val="center"/>
              <w:rPr>
                <w:rFonts w:ascii="宋体" w:hAnsi="宋体" w:cs="宋体"/>
                <w:color w:val="000000"/>
                <w:kern w:val="0"/>
                <w:sz w:val="24"/>
              </w:rPr>
            </w:pPr>
            <w:r>
              <w:rPr>
                <w:rFonts w:hint="eastAsia" w:ascii="宋体" w:hAnsi="宋体" w:cs="宋体"/>
                <w:color w:val="000000"/>
                <w:kern w:val="0"/>
                <w:sz w:val="24"/>
              </w:rPr>
              <w:t>6</w:t>
            </w:r>
          </w:p>
        </w:tc>
        <w:tc>
          <w:tcPr>
            <w:tcW w:w="1074" w:type="pct"/>
            <w:tcBorders>
              <w:top w:val="nil"/>
              <w:left w:val="nil"/>
              <w:bottom w:val="single" w:color="auto" w:sz="4" w:space="0"/>
              <w:right w:val="single" w:color="auto" w:sz="4" w:space="0"/>
            </w:tcBorders>
            <w:shd w:val="clear" w:color="auto" w:fill="auto"/>
            <w:vAlign w:val="center"/>
          </w:tcPr>
          <w:p w14:paraId="6A2E8D4A">
            <w:pPr>
              <w:widowControl/>
              <w:jc w:val="center"/>
              <w:rPr>
                <w:rFonts w:ascii="宋体" w:hAnsi="宋体" w:cs="宋体"/>
                <w:color w:val="000000"/>
                <w:kern w:val="0"/>
                <w:sz w:val="24"/>
              </w:rPr>
            </w:pPr>
            <w:r>
              <w:rPr>
                <w:rFonts w:hint="eastAsia" w:ascii="仿宋" w:hAnsi="仿宋" w:eastAsia="仿宋" w:cs="仿宋"/>
                <w:b/>
                <w:bCs/>
                <w:spacing w:val="-7"/>
                <w:sz w:val="21"/>
                <w:szCs w:val="21"/>
                <w:lang w:val="en-US" w:eastAsia="zh-CN"/>
              </w:rPr>
              <w:t>男性辅警</w:t>
            </w:r>
          </w:p>
        </w:tc>
        <w:tc>
          <w:tcPr>
            <w:tcW w:w="846" w:type="pct"/>
            <w:tcBorders>
              <w:top w:val="nil"/>
              <w:left w:val="nil"/>
              <w:bottom w:val="single" w:color="auto" w:sz="4" w:space="0"/>
              <w:right w:val="single" w:color="auto" w:sz="4" w:space="0"/>
            </w:tcBorders>
            <w:shd w:val="clear" w:color="auto" w:fill="auto"/>
            <w:vAlign w:val="center"/>
          </w:tcPr>
          <w:p w14:paraId="4B24499E">
            <w:pPr>
              <w:widowControl/>
              <w:jc w:val="center"/>
              <w:rPr>
                <w:rFonts w:ascii="宋体" w:hAnsi="宋体" w:cs="宋体"/>
                <w:color w:val="000000"/>
                <w:kern w:val="0"/>
                <w:sz w:val="24"/>
              </w:rPr>
            </w:pPr>
          </w:p>
        </w:tc>
        <w:tc>
          <w:tcPr>
            <w:tcW w:w="684" w:type="pct"/>
            <w:tcBorders>
              <w:top w:val="nil"/>
              <w:left w:val="nil"/>
              <w:bottom w:val="single" w:color="auto" w:sz="4" w:space="0"/>
              <w:right w:val="single" w:color="auto" w:sz="4" w:space="0"/>
            </w:tcBorders>
            <w:shd w:val="clear" w:color="auto" w:fill="auto"/>
            <w:vAlign w:val="center"/>
          </w:tcPr>
          <w:p w14:paraId="00CBE119">
            <w:pPr>
              <w:widowControl/>
              <w:jc w:val="center"/>
              <w:rPr>
                <w:rFonts w:ascii="宋体" w:hAnsi="宋体" w:cs="宋体"/>
                <w:color w:val="000000"/>
                <w:kern w:val="0"/>
                <w:sz w:val="24"/>
              </w:rPr>
            </w:pPr>
          </w:p>
        </w:tc>
        <w:tc>
          <w:tcPr>
            <w:tcW w:w="811" w:type="pct"/>
            <w:tcBorders>
              <w:top w:val="nil"/>
              <w:left w:val="nil"/>
              <w:bottom w:val="single" w:color="auto" w:sz="4" w:space="0"/>
              <w:right w:val="single" w:color="auto" w:sz="4" w:space="0"/>
            </w:tcBorders>
            <w:shd w:val="clear" w:color="auto" w:fill="auto"/>
            <w:vAlign w:val="center"/>
          </w:tcPr>
          <w:p w14:paraId="48E6F03D">
            <w:pPr>
              <w:widowControl/>
              <w:jc w:val="center"/>
              <w:rPr>
                <w:rFonts w:ascii="宋体" w:hAnsi="宋体" w:cs="宋体"/>
                <w:color w:val="000000"/>
                <w:kern w:val="0"/>
                <w:sz w:val="24"/>
              </w:rPr>
            </w:pPr>
          </w:p>
        </w:tc>
        <w:tc>
          <w:tcPr>
            <w:tcW w:w="990" w:type="pct"/>
            <w:tcBorders>
              <w:top w:val="nil"/>
              <w:left w:val="nil"/>
              <w:bottom w:val="single" w:color="auto" w:sz="4" w:space="0"/>
              <w:right w:val="single" w:color="auto" w:sz="4" w:space="0"/>
            </w:tcBorders>
            <w:shd w:val="clear" w:color="auto" w:fill="auto"/>
            <w:vAlign w:val="center"/>
          </w:tcPr>
          <w:p w14:paraId="3FA8F662">
            <w:pPr>
              <w:widowControl/>
              <w:jc w:val="center"/>
              <w:rPr>
                <w:rFonts w:ascii="宋体" w:hAnsi="宋体" w:cs="宋体"/>
                <w:color w:val="000000"/>
                <w:kern w:val="0"/>
                <w:sz w:val="24"/>
              </w:rPr>
            </w:pPr>
          </w:p>
        </w:tc>
      </w:tr>
      <w:tr w14:paraId="05F9A1E9">
        <w:tblPrEx>
          <w:tblCellMar>
            <w:top w:w="0" w:type="dxa"/>
            <w:left w:w="108" w:type="dxa"/>
            <w:bottom w:w="0" w:type="dxa"/>
            <w:right w:w="108" w:type="dxa"/>
          </w:tblCellMar>
        </w:tblPrEx>
        <w:trPr>
          <w:trHeight w:val="629" w:hRule="atLeast"/>
        </w:trPr>
        <w:tc>
          <w:tcPr>
            <w:tcW w:w="592" w:type="pct"/>
            <w:tcBorders>
              <w:top w:val="nil"/>
              <w:left w:val="single" w:color="auto" w:sz="4" w:space="0"/>
              <w:bottom w:val="single" w:color="auto" w:sz="4" w:space="0"/>
              <w:right w:val="single" w:color="auto" w:sz="4" w:space="0"/>
            </w:tcBorders>
            <w:shd w:val="clear" w:color="auto" w:fill="auto"/>
            <w:vAlign w:val="center"/>
          </w:tcPr>
          <w:p w14:paraId="37B5614E">
            <w:pPr>
              <w:widowControl/>
              <w:jc w:val="center"/>
              <w:rPr>
                <w:rFonts w:ascii="宋体" w:hAnsi="宋体" w:cs="宋体"/>
                <w:color w:val="000000"/>
                <w:kern w:val="0"/>
                <w:sz w:val="24"/>
              </w:rPr>
            </w:pPr>
            <w:r>
              <w:rPr>
                <w:rFonts w:hint="eastAsia" w:ascii="宋体" w:hAnsi="宋体" w:cs="宋体"/>
                <w:color w:val="000000"/>
                <w:kern w:val="0"/>
                <w:sz w:val="24"/>
              </w:rPr>
              <w:t>7</w:t>
            </w:r>
          </w:p>
        </w:tc>
        <w:tc>
          <w:tcPr>
            <w:tcW w:w="1074" w:type="pct"/>
            <w:tcBorders>
              <w:top w:val="nil"/>
              <w:left w:val="nil"/>
              <w:bottom w:val="single" w:color="auto" w:sz="4" w:space="0"/>
              <w:right w:val="single" w:color="auto" w:sz="4" w:space="0"/>
            </w:tcBorders>
            <w:shd w:val="clear" w:color="auto" w:fill="auto"/>
            <w:vAlign w:val="center"/>
          </w:tcPr>
          <w:p w14:paraId="326C9EE5">
            <w:pPr>
              <w:widowControl/>
              <w:jc w:val="center"/>
              <w:rPr>
                <w:rFonts w:ascii="宋体" w:hAnsi="宋体" w:cs="宋体"/>
                <w:color w:val="000000"/>
                <w:kern w:val="0"/>
                <w:sz w:val="24"/>
              </w:rPr>
            </w:pPr>
            <w:r>
              <w:rPr>
                <w:rFonts w:hint="eastAsia" w:ascii="仿宋" w:hAnsi="仿宋" w:eastAsia="仿宋" w:cs="仿宋"/>
                <w:b/>
                <w:bCs/>
                <w:spacing w:val="-7"/>
                <w:sz w:val="21"/>
                <w:szCs w:val="21"/>
                <w:lang w:val="en-US" w:eastAsia="zh-CN"/>
              </w:rPr>
              <w:t>⼥性已婚辅警</w:t>
            </w:r>
          </w:p>
        </w:tc>
        <w:tc>
          <w:tcPr>
            <w:tcW w:w="846" w:type="pct"/>
            <w:tcBorders>
              <w:top w:val="nil"/>
              <w:left w:val="nil"/>
              <w:bottom w:val="single" w:color="auto" w:sz="4" w:space="0"/>
              <w:right w:val="single" w:color="auto" w:sz="4" w:space="0"/>
            </w:tcBorders>
            <w:shd w:val="clear" w:color="auto" w:fill="auto"/>
            <w:vAlign w:val="center"/>
          </w:tcPr>
          <w:p w14:paraId="28E10E0C">
            <w:pPr>
              <w:widowControl/>
              <w:jc w:val="center"/>
              <w:rPr>
                <w:rFonts w:ascii="宋体" w:hAnsi="宋体" w:cs="宋体"/>
                <w:color w:val="000000"/>
                <w:kern w:val="0"/>
                <w:sz w:val="24"/>
              </w:rPr>
            </w:pPr>
          </w:p>
        </w:tc>
        <w:tc>
          <w:tcPr>
            <w:tcW w:w="684" w:type="pct"/>
            <w:tcBorders>
              <w:top w:val="nil"/>
              <w:left w:val="nil"/>
              <w:bottom w:val="single" w:color="auto" w:sz="4" w:space="0"/>
              <w:right w:val="single" w:color="auto" w:sz="4" w:space="0"/>
            </w:tcBorders>
            <w:shd w:val="clear" w:color="auto" w:fill="auto"/>
            <w:vAlign w:val="center"/>
          </w:tcPr>
          <w:p w14:paraId="4C5F45B1">
            <w:pPr>
              <w:widowControl/>
              <w:jc w:val="center"/>
              <w:rPr>
                <w:rFonts w:ascii="宋体" w:hAnsi="宋体" w:cs="宋体"/>
                <w:color w:val="000000"/>
                <w:kern w:val="0"/>
                <w:sz w:val="24"/>
              </w:rPr>
            </w:pPr>
          </w:p>
        </w:tc>
        <w:tc>
          <w:tcPr>
            <w:tcW w:w="811" w:type="pct"/>
            <w:tcBorders>
              <w:top w:val="nil"/>
              <w:left w:val="nil"/>
              <w:bottom w:val="single" w:color="auto" w:sz="4" w:space="0"/>
              <w:right w:val="single" w:color="auto" w:sz="4" w:space="0"/>
            </w:tcBorders>
            <w:shd w:val="clear" w:color="auto" w:fill="auto"/>
            <w:vAlign w:val="center"/>
          </w:tcPr>
          <w:p w14:paraId="44CA1968">
            <w:pPr>
              <w:widowControl/>
              <w:jc w:val="center"/>
              <w:rPr>
                <w:rFonts w:ascii="宋体" w:hAnsi="宋体" w:cs="宋体"/>
                <w:color w:val="000000"/>
                <w:kern w:val="0"/>
                <w:sz w:val="24"/>
              </w:rPr>
            </w:pPr>
          </w:p>
        </w:tc>
        <w:tc>
          <w:tcPr>
            <w:tcW w:w="990" w:type="pct"/>
            <w:tcBorders>
              <w:top w:val="nil"/>
              <w:left w:val="nil"/>
              <w:bottom w:val="single" w:color="auto" w:sz="4" w:space="0"/>
              <w:right w:val="single" w:color="auto" w:sz="4" w:space="0"/>
            </w:tcBorders>
            <w:shd w:val="clear" w:color="auto" w:fill="auto"/>
            <w:vAlign w:val="center"/>
          </w:tcPr>
          <w:p w14:paraId="41662A0D">
            <w:pPr>
              <w:widowControl/>
              <w:jc w:val="center"/>
              <w:rPr>
                <w:rFonts w:ascii="宋体" w:hAnsi="宋体" w:cs="宋体"/>
                <w:color w:val="000000"/>
                <w:kern w:val="0"/>
                <w:sz w:val="24"/>
              </w:rPr>
            </w:pPr>
          </w:p>
        </w:tc>
      </w:tr>
      <w:tr w14:paraId="6E6B5F42">
        <w:tblPrEx>
          <w:tblCellMar>
            <w:top w:w="0" w:type="dxa"/>
            <w:left w:w="108" w:type="dxa"/>
            <w:bottom w:w="0" w:type="dxa"/>
            <w:right w:w="108" w:type="dxa"/>
          </w:tblCellMar>
        </w:tblPrEx>
        <w:trPr>
          <w:trHeight w:val="629" w:hRule="atLeast"/>
        </w:trPr>
        <w:tc>
          <w:tcPr>
            <w:tcW w:w="592" w:type="pct"/>
            <w:tcBorders>
              <w:top w:val="nil"/>
              <w:left w:val="single" w:color="auto" w:sz="4" w:space="0"/>
              <w:bottom w:val="single" w:color="auto" w:sz="4" w:space="0"/>
              <w:right w:val="single" w:color="auto" w:sz="4" w:space="0"/>
            </w:tcBorders>
            <w:shd w:val="clear" w:color="auto" w:fill="auto"/>
            <w:vAlign w:val="center"/>
          </w:tcPr>
          <w:p w14:paraId="5D419F74">
            <w:pPr>
              <w:widowControl/>
              <w:jc w:val="center"/>
              <w:rPr>
                <w:rFonts w:hint="eastAsia" w:ascii="宋体" w:hAnsi="宋体" w:eastAsia="宋体" w:cs="宋体"/>
                <w:color w:val="000000"/>
                <w:kern w:val="0"/>
                <w:sz w:val="24"/>
                <w:lang w:val="en-US" w:eastAsia="zh-CN"/>
              </w:rPr>
            </w:pPr>
            <w:r>
              <w:rPr>
                <w:rFonts w:hint="eastAsia" w:ascii="宋体" w:hAnsi="宋体" w:cs="宋体"/>
                <w:color w:val="000000"/>
                <w:kern w:val="0"/>
                <w:sz w:val="24"/>
                <w:lang w:val="en-US" w:eastAsia="zh-CN"/>
              </w:rPr>
              <w:t>8</w:t>
            </w:r>
          </w:p>
        </w:tc>
        <w:tc>
          <w:tcPr>
            <w:tcW w:w="1074" w:type="pct"/>
            <w:tcBorders>
              <w:top w:val="nil"/>
              <w:left w:val="nil"/>
              <w:bottom w:val="single" w:color="auto" w:sz="4" w:space="0"/>
              <w:right w:val="single" w:color="auto" w:sz="4" w:space="0"/>
            </w:tcBorders>
            <w:shd w:val="clear" w:color="auto" w:fill="auto"/>
            <w:vAlign w:val="center"/>
          </w:tcPr>
          <w:p w14:paraId="0BAC8D33">
            <w:pPr>
              <w:widowControl/>
              <w:jc w:val="center"/>
              <w:rPr>
                <w:rFonts w:hint="eastAsia" w:ascii="仿宋" w:hAnsi="仿宋" w:eastAsia="仿宋" w:cs="仿宋"/>
                <w:b/>
                <w:bCs/>
                <w:spacing w:val="-7"/>
                <w:sz w:val="21"/>
                <w:szCs w:val="21"/>
                <w:lang w:val="en-US" w:eastAsia="zh-CN"/>
              </w:rPr>
            </w:pPr>
            <w:r>
              <w:rPr>
                <w:rFonts w:hint="eastAsia" w:ascii="仿宋" w:hAnsi="仿宋" w:eastAsia="仿宋" w:cs="仿宋"/>
                <w:b/>
                <w:bCs/>
                <w:spacing w:val="-7"/>
                <w:sz w:val="21"/>
                <w:szCs w:val="21"/>
                <w:lang w:val="en-US" w:eastAsia="zh-CN"/>
              </w:rPr>
              <w:t>⼥性未婚辅警</w:t>
            </w:r>
          </w:p>
        </w:tc>
        <w:tc>
          <w:tcPr>
            <w:tcW w:w="846" w:type="pct"/>
            <w:tcBorders>
              <w:top w:val="nil"/>
              <w:left w:val="nil"/>
              <w:bottom w:val="single" w:color="auto" w:sz="4" w:space="0"/>
              <w:right w:val="single" w:color="auto" w:sz="4" w:space="0"/>
            </w:tcBorders>
            <w:shd w:val="clear" w:color="auto" w:fill="auto"/>
            <w:vAlign w:val="center"/>
          </w:tcPr>
          <w:p w14:paraId="18551BBC">
            <w:pPr>
              <w:widowControl/>
              <w:jc w:val="center"/>
              <w:rPr>
                <w:rFonts w:ascii="宋体" w:hAnsi="宋体" w:cs="宋体"/>
                <w:color w:val="000000"/>
                <w:kern w:val="0"/>
                <w:sz w:val="24"/>
              </w:rPr>
            </w:pPr>
          </w:p>
        </w:tc>
        <w:tc>
          <w:tcPr>
            <w:tcW w:w="684" w:type="pct"/>
            <w:tcBorders>
              <w:top w:val="nil"/>
              <w:left w:val="nil"/>
              <w:bottom w:val="single" w:color="auto" w:sz="4" w:space="0"/>
              <w:right w:val="single" w:color="auto" w:sz="4" w:space="0"/>
            </w:tcBorders>
            <w:shd w:val="clear" w:color="auto" w:fill="auto"/>
            <w:vAlign w:val="center"/>
          </w:tcPr>
          <w:p w14:paraId="32B6B53A">
            <w:pPr>
              <w:widowControl/>
              <w:jc w:val="center"/>
              <w:rPr>
                <w:rFonts w:ascii="宋体" w:hAnsi="宋体" w:cs="宋体"/>
                <w:color w:val="000000"/>
                <w:kern w:val="0"/>
                <w:sz w:val="24"/>
              </w:rPr>
            </w:pPr>
          </w:p>
        </w:tc>
        <w:tc>
          <w:tcPr>
            <w:tcW w:w="811" w:type="pct"/>
            <w:tcBorders>
              <w:top w:val="nil"/>
              <w:left w:val="nil"/>
              <w:bottom w:val="single" w:color="auto" w:sz="4" w:space="0"/>
              <w:right w:val="single" w:color="auto" w:sz="4" w:space="0"/>
            </w:tcBorders>
            <w:shd w:val="clear" w:color="auto" w:fill="auto"/>
            <w:vAlign w:val="center"/>
          </w:tcPr>
          <w:p w14:paraId="2266A6C7">
            <w:pPr>
              <w:widowControl/>
              <w:jc w:val="center"/>
              <w:rPr>
                <w:rFonts w:ascii="宋体" w:hAnsi="宋体" w:cs="宋体"/>
                <w:color w:val="000000"/>
                <w:kern w:val="0"/>
                <w:sz w:val="24"/>
              </w:rPr>
            </w:pPr>
          </w:p>
        </w:tc>
        <w:tc>
          <w:tcPr>
            <w:tcW w:w="990" w:type="pct"/>
            <w:tcBorders>
              <w:top w:val="nil"/>
              <w:left w:val="nil"/>
              <w:bottom w:val="single" w:color="auto" w:sz="4" w:space="0"/>
              <w:right w:val="single" w:color="auto" w:sz="4" w:space="0"/>
            </w:tcBorders>
            <w:shd w:val="clear" w:color="auto" w:fill="auto"/>
            <w:vAlign w:val="center"/>
          </w:tcPr>
          <w:p w14:paraId="3B055EB1">
            <w:pPr>
              <w:widowControl/>
              <w:jc w:val="center"/>
              <w:rPr>
                <w:rFonts w:ascii="宋体" w:hAnsi="宋体" w:cs="宋体"/>
                <w:color w:val="000000"/>
                <w:kern w:val="0"/>
                <w:sz w:val="24"/>
              </w:rPr>
            </w:pPr>
          </w:p>
        </w:tc>
      </w:tr>
      <w:tr w14:paraId="34904C89">
        <w:tblPrEx>
          <w:tblCellMar>
            <w:top w:w="0" w:type="dxa"/>
            <w:left w:w="108" w:type="dxa"/>
            <w:bottom w:w="0" w:type="dxa"/>
            <w:right w:w="108" w:type="dxa"/>
          </w:tblCellMar>
        </w:tblPrEx>
        <w:trPr>
          <w:trHeight w:val="341" w:hRule="atLeast"/>
        </w:trPr>
        <w:tc>
          <w:tcPr>
            <w:tcW w:w="4009"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75AC5EAD">
            <w:pPr>
              <w:widowControl/>
              <w:jc w:val="center"/>
              <w:rPr>
                <w:rFonts w:ascii="宋体" w:hAnsi="宋体" w:cs="宋体"/>
                <w:color w:val="000000"/>
                <w:kern w:val="0"/>
                <w:sz w:val="24"/>
              </w:rPr>
            </w:pPr>
            <w:r>
              <w:rPr>
                <w:rFonts w:hint="eastAsia" w:ascii="宋体" w:hAnsi="宋体" w:cs="宋体"/>
                <w:color w:val="000000"/>
                <w:kern w:val="0"/>
                <w:sz w:val="24"/>
              </w:rPr>
              <w:t>合计（人民币/元）</w:t>
            </w:r>
          </w:p>
        </w:tc>
        <w:tc>
          <w:tcPr>
            <w:tcW w:w="990" w:type="pct"/>
            <w:tcBorders>
              <w:top w:val="nil"/>
              <w:left w:val="nil"/>
              <w:bottom w:val="single" w:color="auto" w:sz="4" w:space="0"/>
              <w:right w:val="single" w:color="auto" w:sz="4" w:space="0"/>
            </w:tcBorders>
            <w:shd w:val="clear" w:color="auto" w:fill="auto"/>
            <w:vAlign w:val="center"/>
          </w:tcPr>
          <w:p w14:paraId="1EAAB87D">
            <w:pPr>
              <w:widowControl/>
              <w:jc w:val="left"/>
              <w:rPr>
                <w:rFonts w:ascii="微软雅黑" w:hAnsi="微软雅黑" w:eastAsia="微软雅黑" w:cs="宋体"/>
                <w:color w:val="000000"/>
                <w:kern w:val="0"/>
                <w:sz w:val="24"/>
              </w:rPr>
            </w:pPr>
          </w:p>
        </w:tc>
      </w:tr>
    </w:tbl>
    <w:p w14:paraId="679864D9">
      <w:pPr>
        <w:spacing w:before="156" w:beforeLines="50" w:after="156" w:afterLines="50" w:line="360" w:lineRule="auto"/>
        <w:ind w:firstLine="570"/>
        <w:rPr>
          <w:rFonts w:ascii="仿宋" w:hAnsi="仿宋" w:eastAsia="仿宋"/>
          <w:sz w:val="28"/>
          <w:szCs w:val="28"/>
        </w:rPr>
      </w:pPr>
      <w:r>
        <w:rPr>
          <w:rFonts w:hint="eastAsia" w:ascii="仿宋" w:hAnsi="仿宋" w:eastAsia="仿宋"/>
          <w:sz w:val="28"/>
          <w:szCs w:val="28"/>
        </w:rPr>
        <w:t>（二）</w:t>
      </w:r>
      <w:r>
        <w:rPr>
          <w:rFonts w:ascii="仿宋" w:hAnsi="仿宋" w:eastAsia="仿宋"/>
          <w:sz w:val="28"/>
          <w:szCs w:val="28"/>
        </w:rPr>
        <w:t>合同价格为含税价，供应商提供</w:t>
      </w:r>
      <w:r>
        <w:rPr>
          <w:rFonts w:hint="eastAsia" w:ascii="仿宋" w:hAnsi="仿宋" w:eastAsia="仿宋"/>
          <w:sz w:val="28"/>
          <w:szCs w:val="28"/>
        </w:rPr>
        <w:t>产品</w:t>
      </w:r>
      <w:r>
        <w:rPr>
          <w:rFonts w:ascii="仿宋" w:hAnsi="仿宋" w:eastAsia="仿宋"/>
          <w:sz w:val="28"/>
          <w:szCs w:val="28"/>
        </w:rPr>
        <w:t>所发生的一切税费等都包含于合同价款中</w:t>
      </w:r>
      <w:r>
        <w:rPr>
          <w:rFonts w:hint="eastAsia" w:ascii="仿宋" w:hAnsi="仿宋" w:eastAsia="仿宋"/>
          <w:sz w:val="28"/>
          <w:szCs w:val="28"/>
        </w:rPr>
        <w:t>。</w:t>
      </w:r>
    </w:p>
    <w:p w14:paraId="05155282">
      <w:pPr>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五</w:t>
      </w:r>
      <w:r>
        <w:rPr>
          <w:rFonts w:ascii="仿宋" w:hAnsi="仿宋" w:eastAsia="仿宋"/>
          <w:b/>
          <w:sz w:val="28"/>
          <w:szCs w:val="28"/>
        </w:rPr>
        <w:t>、付款方式</w:t>
      </w:r>
    </w:p>
    <w:p w14:paraId="50FB569C">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（一）结算方式：</w:t>
      </w:r>
    </w:p>
    <w:p w14:paraId="65539D59">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hint="eastAsia" w:ascii="仿宋" w:hAnsi="仿宋" w:eastAsia="仿宋"/>
          <w:sz w:val="28"/>
          <w:szCs w:val="28"/>
          <w:lang w:val="en-US" w:eastAsia="zh-CN"/>
        </w:rPr>
        <w:t>二</w:t>
      </w:r>
      <w:r>
        <w:rPr>
          <w:rFonts w:ascii="仿宋" w:hAnsi="仿宋" w:eastAsia="仿宋"/>
          <w:sz w:val="28"/>
          <w:szCs w:val="28"/>
        </w:rPr>
        <w:t>）</w:t>
      </w:r>
      <w:r>
        <w:rPr>
          <w:rFonts w:hint="eastAsia" w:ascii="仿宋" w:hAnsi="仿宋" w:eastAsia="仿宋"/>
          <w:sz w:val="28"/>
          <w:szCs w:val="28"/>
        </w:rPr>
        <w:t>在规定时间完成体检后，按照各组报价以及实际参加体检人数据实结算。结算总额不能超出本项⽬预算⾦额。</w:t>
      </w:r>
    </w:p>
    <w:p w14:paraId="7CE99221">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hint="eastAsia" w:ascii="仿宋" w:hAnsi="仿宋" w:eastAsia="仿宋"/>
          <w:sz w:val="28"/>
          <w:szCs w:val="28"/>
          <w:lang w:val="en-US" w:eastAsia="zh-CN"/>
        </w:rPr>
        <w:t>三</w:t>
      </w:r>
      <w:r>
        <w:rPr>
          <w:rFonts w:ascii="仿宋" w:hAnsi="仿宋" w:eastAsia="仿宋"/>
          <w:sz w:val="28"/>
          <w:szCs w:val="28"/>
        </w:rPr>
        <w:t>）</w:t>
      </w:r>
      <w:r>
        <w:rPr>
          <w:rFonts w:hint="eastAsia" w:ascii="仿宋" w:hAnsi="仿宋" w:eastAsia="仿宋"/>
          <w:sz w:val="28"/>
          <w:szCs w:val="28"/>
        </w:rPr>
        <w:t>乙方开户银行及账号</w:t>
      </w:r>
    </w:p>
    <w:p w14:paraId="75E206B3">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开户名称：</w:t>
      </w:r>
    </w:p>
    <w:p w14:paraId="0CB214A0">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开户银行：</w:t>
      </w:r>
    </w:p>
    <w:p w14:paraId="22D44B7D">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银行账号：</w:t>
      </w:r>
    </w:p>
    <w:p w14:paraId="5B56289C">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hint="eastAsia" w:ascii="仿宋" w:hAnsi="仿宋" w:eastAsia="仿宋"/>
          <w:sz w:val="28"/>
          <w:szCs w:val="28"/>
          <w:lang w:val="en-US" w:eastAsia="zh-CN"/>
        </w:rPr>
        <w:t>四</w:t>
      </w:r>
      <w:r>
        <w:rPr>
          <w:rFonts w:ascii="仿宋" w:hAnsi="仿宋" w:eastAsia="仿宋"/>
          <w:sz w:val="28"/>
          <w:szCs w:val="28"/>
        </w:rPr>
        <w:t>）</w:t>
      </w:r>
      <w:r>
        <w:rPr>
          <w:rFonts w:hint="eastAsia" w:ascii="仿宋" w:hAnsi="仿宋" w:eastAsia="仿宋"/>
          <w:sz w:val="28"/>
          <w:szCs w:val="28"/>
        </w:rPr>
        <w:t>甲方开票信息</w:t>
      </w:r>
    </w:p>
    <w:p w14:paraId="12360436">
      <w:pPr>
        <w:spacing w:before="156" w:beforeLines="50" w:after="156" w:afterLines="50" w:line="360" w:lineRule="auto"/>
        <w:ind w:firstLine="560" w:firstLineChars="200"/>
        <w:rPr>
          <w:rFonts w:hint="eastAsia" w:ascii="仿宋" w:hAnsi="仿宋" w:eastAsia="仿宋"/>
          <w:sz w:val="28"/>
          <w:szCs w:val="28"/>
        </w:rPr>
      </w:pPr>
      <w:r>
        <w:rPr>
          <w:rFonts w:hint="eastAsia" w:ascii="仿宋" w:hAnsi="仿宋" w:eastAsia="仿宋"/>
          <w:sz w:val="28"/>
          <w:szCs w:val="28"/>
        </w:rPr>
        <w:t>开户名称：</w:t>
      </w:r>
    </w:p>
    <w:p w14:paraId="26B555D8">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纳税人识别号：</w:t>
      </w:r>
    </w:p>
    <w:p w14:paraId="7FF32292">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开户银行：</w:t>
      </w:r>
    </w:p>
    <w:p w14:paraId="5562FB28">
      <w:pPr>
        <w:spacing w:before="156" w:beforeLines="50" w:after="156" w:afterLines="50" w:line="360" w:lineRule="auto"/>
        <w:ind w:firstLine="560" w:firstLineChars="200"/>
        <w:rPr>
          <w:rFonts w:ascii="仿宋" w:hAnsi="仿宋" w:eastAsia="仿宋"/>
          <w:sz w:val="28"/>
          <w:szCs w:val="28"/>
          <w:lang w:val="zh-CN"/>
        </w:rPr>
      </w:pPr>
      <w:r>
        <w:rPr>
          <w:rFonts w:hint="eastAsia" w:ascii="仿宋" w:hAnsi="仿宋" w:eastAsia="仿宋"/>
          <w:sz w:val="28"/>
          <w:szCs w:val="28"/>
        </w:rPr>
        <w:t>银行账号：</w:t>
      </w:r>
    </w:p>
    <w:p w14:paraId="759B77D7">
      <w:pPr>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六</w:t>
      </w:r>
      <w:r>
        <w:rPr>
          <w:rFonts w:ascii="仿宋" w:hAnsi="仿宋" w:eastAsia="仿宋"/>
          <w:b/>
          <w:sz w:val="28"/>
          <w:szCs w:val="28"/>
        </w:rPr>
        <w:t>、体检报告</w:t>
      </w:r>
      <w:r>
        <w:rPr>
          <w:rFonts w:hint="eastAsia" w:ascii="仿宋" w:hAnsi="仿宋" w:eastAsia="仿宋"/>
          <w:b/>
          <w:sz w:val="28"/>
          <w:szCs w:val="28"/>
        </w:rPr>
        <w:t>查看方式</w:t>
      </w:r>
    </w:p>
    <w:p w14:paraId="08E58579">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乙方</w:t>
      </w:r>
      <w:r>
        <w:rPr>
          <w:rFonts w:ascii="仿宋" w:hAnsi="仿宋" w:eastAsia="仿宋"/>
          <w:sz w:val="28"/>
          <w:szCs w:val="28"/>
        </w:rPr>
        <w:t>可</w:t>
      </w:r>
      <w:r>
        <w:rPr>
          <w:rFonts w:hint="eastAsia" w:ascii="仿宋" w:hAnsi="仿宋" w:eastAsia="仿宋"/>
          <w:sz w:val="28"/>
          <w:szCs w:val="28"/>
        </w:rPr>
        <w:t>根据</w:t>
      </w:r>
      <w:r>
        <w:rPr>
          <w:rFonts w:ascii="仿宋" w:hAnsi="仿宋" w:eastAsia="仿宋"/>
          <w:sz w:val="28"/>
          <w:szCs w:val="28"/>
        </w:rPr>
        <w:t>甲方的要求，</w:t>
      </w:r>
      <w:r>
        <w:rPr>
          <w:rFonts w:hint="eastAsia" w:ascii="仿宋" w:hAnsi="仿宋" w:eastAsia="仿宋"/>
          <w:sz w:val="28"/>
          <w:szCs w:val="28"/>
        </w:rPr>
        <w:t>在参检员工体检结束后统一</w:t>
      </w:r>
      <w:r>
        <w:rPr>
          <w:rFonts w:ascii="仿宋" w:hAnsi="仿宋" w:eastAsia="仿宋"/>
          <w:sz w:val="28"/>
          <w:szCs w:val="28"/>
        </w:rPr>
        <w:t>将纸质版报告送达单位。</w:t>
      </w:r>
    </w:p>
    <w:p w14:paraId="439931C2">
      <w:pPr>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七、甲方权利义务</w:t>
      </w:r>
    </w:p>
    <w:p w14:paraId="3A331476">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一）</w:t>
      </w:r>
      <w:r>
        <w:rPr>
          <w:rFonts w:hint="eastAsia" w:ascii="仿宋" w:hAnsi="仿宋" w:eastAsia="仿宋"/>
          <w:sz w:val="28"/>
          <w:szCs w:val="28"/>
        </w:rPr>
        <w:t>甲方应及时向乙方提供参检员工名单及相关资料，并负责参检员工的身份验证工作。</w:t>
      </w:r>
    </w:p>
    <w:p w14:paraId="29A1E8F1">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二）</w:t>
      </w:r>
      <w:r>
        <w:rPr>
          <w:rFonts w:hint="eastAsia" w:ascii="仿宋" w:hAnsi="仿宋" w:eastAsia="仿宋"/>
          <w:sz w:val="28"/>
          <w:szCs w:val="28"/>
        </w:rPr>
        <w:t>甲方员工应按乙方要求注意体检准备事项并充分配合乙方及乙方工作人员的体检安排，以便顺利完成全部体检项目；如甲方员工未按照乙方的要求做好体检准备或不配合乙方工作的，由此产生的责任由员工自负。</w:t>
      </w:r>
    </w:p>
    <w:p w14:paraId="758B41F5">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三）</w:t>
      </w:r>
      <w:r>
        <w:rPr>
          <w:rFonts w:hint="eastAsia" w:ascii="仿宋" w:hAnsi="仿宋" w:eastAsia="仿宋"/>
          <w:sz w:val="28"/>
          <w:szCs w:val="28"/>
        </w:rPr>
        <w:t>甲方应当按时向乙方支付体检费用。</w:t>
      </w:r>
    </w:p>
    <w:p w14:paraId="307A93A4">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四）</w:t>
      </w:r>
      <w:r>
        <w:rPr>
          <w:rFonts w:hint="eastAsia" w:ascii="仿宋" w:hAnsi="仿宋" w:eastAsia="仿宋"/>
          <w:sz w:val="28"/>
          <w:szCs w:val="28"/>
        </w:rPr>
        <w:t>本着对客户生命健康高度负责的精神，甲方在组织员工参加健康体检之前应当充分了解员工的健康状况，且不能组织以下人员参加健康体检，否则，乙方有权拒绝为以下人员提供健康体检服务：</w:t>
      </w:r>
    </w:p>
    <w:p w14:paraId="04871665">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1.各种疾病的急性期患者；</w:t>
      </w:r>
    </w:p>
    <w:p w14:paraId="47D3B4C4">
      <w:pPr>
        <w:spacing w:before="156" w:beforeLines="50" w:after="156" w:afterLines="50" w:line="360" w:lineRule="auto"/>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.身患各种慢性疾病，且生活不能自理者；</w:t>
      </w:r>
    </w:p>
    <w:p w14:paraId="033AEAFA">
      <w:pPr>
        <w:spacing w:before="156" w:beforeLines="50" w:after="156" w:afterLines="50" w:line="360" w:lineRule="auto"/>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.各种严重传染性疾病患者；</w:t>
      </w:r>
    </w:p>
    <w:p w14:paraId="5B9E9562">
      <w:pPr>
        <w:spacing w:before="156" w:beforeLines="50" w:after="156" w:afterLines="50" w:line="360" w:lineRule="auto"/>
        <w:ind w:firstLine="560" w:firstLineChars="200"/>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.精神障碍（精神分裂症）发病期者；</w:t>
      </w:r>
    </w:p>
    <w:p w14:paraId="77D1949F">
      <w:pPr>
        <w:spacing w:before="156" w:beforeLines="50" w:after="156" w:afterLines="50" w:line="360" w:lineRule="auto"/>
        <w:ind w:firstLine="560" w:firstLineChars="200"/>
        <w:rPr>
          <w:rFonts w:ascii="仿宋" w:hAnsi="仿宋" w:eastAsia="仿宋"/>
          <w:sz w:val="28"/>
          <w:szCs w:val="28"/>
        </w:rPr>
      </w:pPr>
      <w:r>
        <w:rPr>
          <w:rFonts w:ascii="仿宋" w:hAnsi="仿宋" w:eastAsia="仿宋"/>
          <w:sz w:val="28"/>
          <w:szCs w:val="28"/>
        </w:rPr>
        <w:t>5</w:t>
      </w:r>
      <w:r>
        <w:rPr>
          <w:rFonts w:hint="eastAsia" w:ascii="仿宋" w:hAnsi="仿宋" w:eastAsia="仿宋"/>
          <w:sz w:val="28"/>
          <w:szCs w:val="28"/>
        </w:rPr>
        <w:t>.产后时间短于42天、流产后短于30天者。</w:t>
      </w:r>
    </w:p>
    <w:p w14:paraId="6FB5E108">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（五</w:t>
      </w:r>
      <w:r>
        <w:rPr>
          <w:rFonts w:ascii="仿宋" w:hAnsi="仿宋" w:eastAsia="仿宋"/>
          <w:sz w:val="28"/>
          <w:szCs w:val="28"/>
        </w:rPr>
        <w:t>）</w:t>
      </w:r>
      <w:r>
        <w:rPr>
          <w:rFonts w:hint="eastAsia" w:ascii="仿宋" w:hAnsi="仿宋" w:eastAsia="仿宋"/>
          <w:sz w:val="28"/>
          <w:szCs w:val="28"/>
        </w:rPr>
        <w:t>甲方应积极组织员工在约定的体检期限内完成体检,超出</w:t>
      </w:r>
      <w:r>
        <w:rPr>
          <w:rFonts w:ascii="仿宋" w:hAnsi="仿宋" w:eastAsia="仿宋"/>
          <w:sz w:val="28"/>
          <w:szCs w:val="28"/>
        </w:rPr>
        <w:t>体检期限乙方有权不予提供体检服务</w:t>
      </w:r>
      <w:r>
        <w:rPr>
          <w:rFonts w:hint="eastAsia" w:ascii="仿宋" w:hAnsi="仿宋" w:eastAsia="仿宋"/>
          <w:sz w:val="28"/>
          <w:szCs w:val="28"/>
        </w:rPr>
        <w:t>，由此所引起的纠纷由甲方自行处理</w:t>
      </w:r>
      <w:r>
        <w:rPr>
          <w:rFonts w:ascii="仿宋" w:hAnsi="仿宋" w:eastAsia="仿宋"/>
          <w:sz w:val="28"/>
          <w:szCs w:val="28"/>
        </w:rPr>
        <w:t>并</w:t>
      </w:r>
      <w:r>
        <w:rPr>
          <w:rFonts w:hint="eastAsia" w:ascii="仿宋" w:hAnsi="仿宋" w:eastAsia="仿宋"/>
          <w:sz w:val="28"/>
          <w:szCs w:val="28"/>
        </w:rPr>
        <w:t>承担相关责任。</w:t>
      </w:r>
    </w:p>
    <w:p w14:paraId="19703BF4">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hint="eastAsia" w:ascii="仿宋" w:hAnsi="仿宋" w:eastAsia="仿宋"/>
          <w:sz w:val="28"/>
          <w:szCs w:val="28"/>
          <w:lang w:eastAsia="zh-CN"/>
        </w:rPr>
        <w:t>六</w:t>
      </w:r>
      <w:r>
        <w:rPr>
          <w:rFonts w:ascii="仿宋" w:hAnsi="仿宋" w:eastAsia="仿宋"/>
          <w:sz w:val="28"/>
          <w:szCs w:val="28"/>
        </w:rPr>
        <w:t>）</w:t>
      </w:r>
      <w:r>
        <w:rPr>
          <w:rFonts w:hint="eastAsia" w:ascii="仿宋" w:hAnsi="仿宋" w:eastAsia="仿宋"/>
          <w:sz w:val="28"/>
          <w:szCs w:val="28"/>
        </w:rPr>
        <w:t>甲方员工因特殊原因而未检的项目，不能替换，应在体检当日后十个工作日内完成该体检项目。如果甲方参检员工未在上述期限内完成补检，以及因个人原因只参检部分体检项目的，均视为甲方自愿放弃，乙方不另行退补相关体检费。</w:t>
      </w:r>
    </w:p>
    <w:p w14:paraId="075BC07F">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hint="eastAsia" w:ascii="仿宋" w:hAnsi="仿宋" w:eastAsia="仿宋"/>
          <w:sz w:val="28"/>
          <w:szCs w:val="28"/>
          <w:lang w:eastAsia="zh-CN"/>
        </w:rPr>
        <w:t>七</w:t>
      </w:r>
      <w:r>
        <w:rPr>
          <w:rFonts w:ascii="仿宋" w:hAnsi="仿宋" w:eastAsia="仿宋"/>
          <w:sz w:val="28"/>
          <w:szCs w:val="28"/>
        </w:rPr>
        <w:t>）</w:t>
      </w:r>
      <w:r>
        <w:rPr>
          <w:rFonts w:hint="eastAsia" w:ascii="仿宋" w:hAnsi="仿宋" w:eastAsia="仿宋"/>
          <w:sz w:val="28"/>
          <w:szCs w:val="28"/>
        </w:rPr>
        <w:t>针对甲方</w:t>
      </w:r>
      <w:r>
        <w:rPr>
          <w:rFonts w:ascii="仿宋" w:hAnsi="仿宋" w:eastAsia="仿宋"/>
          <w:sz w:val="28"/>
          <w:szCs w:val="28"/>
        </w:rPr>
        <w:t>向乙方提供</w:t>
      </w:r>
      <w:r>
        <w:rPr>
          <w:rFonts w:hint="eastAsia" w:ascii="仿宋" w:hAnsi="仿宋" w:eastAsia="仿宋"/>
          <w:sz w:val="28"/>
          <w:szCs w:val="28"/>
        </w:rPr>
        <w:t>甲方参检员工的</w:t>
      </w:r>
      <w:r>
        <w:rPr>
          <w:rFonts w:ascii="仿宋" w:hAnsi="仿宋" w:eastAsia="仿宋"/>
          <w:sz w:val="28"/>
          <w:szCs w:val="28"/>
        </w:rPr>
        <w:t>相关个人信息</w:t>
      </w:r>
      <w:r>
        <w:rPr>
          <w:rFonts w:hint="eastAsia" w:ascii="仿宋" w:hAnsi="仿宋" w:eastAsia="仿宋"/>
          <w:sz w:val="28"/>
          <w:szCs w:val="28"/>
        </w:rPr>
        <w:t>数据，</w:t>
      </w:r>
      <w:r>
        <w:rPr>
          <w:rFonts w:ascii="仿宋" w:hAnsi="仿宋" w:eastAsia="仿宋"/>
          <w:sz w:val="28"/>
          <w:szCs w:val="28"/>
        </w:rPr>
        <w:t>甲方</w:t>
      </w:r>
      <w:r>
        <w:rPr>
          <w:rFonts w:hint="eastAsia" w:ascii="仿宋" w:hAnsi="仿宋" w:eastAsia="仿宋"/>
          <w:sz w:val="28"/>
          <w:szCs w:val="28"/>
        </w:rPr>
        <w:t>承诺</w:t>
      </w:r>
      <w:r>
        <w:rPr>
          <w:rFonts w:ascii="仿宋" w:hAnsi="仿宋" w:eastAsia="仿宋"/>
          <w:sz w:val="28"/>
          <w:szCs w:val="28"/>
        </w:rPr>
        <w:t>已获得了</w:t>
      </w:r>
      <w:r>
        <w:rPr>
          <w:rFonts w:hint="eastAsia" w:ascii="仿宋" w:hAnsi="仿宋" w:eastAsia="仿宋"/>
          <w:sz w:val="28"/>
          <w:szCs w:val="28"/>
        </w:rPr>
        <w:t>甲方参检员工</w:t>
      </w:r>
      <w:r>
        <w:rPr>
          <w:rFonts w:ascii="仿宋" w:hAnsi="仿宋" w:eastAsia="仿宋"/>
          <w:sz w:val="28"/>
          <w:szCs w:val="28"/>
        </w:rPr>
        <w:t>本人的授权同意</w:t>
      </w:r>
      <w:r>
        <w:rPr>
          <w:rFonts w:hint="eastAsia" w:ascii="仿宋" w:hAnsi="仿宋" w:eastAsia="仿宋"/>
          <w:sz w:val="28"/>
          <w:szCs w:val="28"/>
        </w:rPr>
        <w:t>。甲方</w:t>
      </w:r>
      <w:r>
        <w:rPr>
          <w:rFonts w:ascii="仿宋" w:hAnsi="仿宋" w:eastAsia="仿宋"/>
          <w:sz w:val="28"/>
          <w:szCs w:val="28"/>
        </w:rPr>
        <w:t>承诺</w:t>
      </w:r>
      <w:r>
        <w:rPr>
          <w:rFonts w:hint="eastAsia" w:ascii="仿宋" w:hAnsi="仿宋" w:eastAsia="仿宋"/>
          <w:sz w:val="28"/>
          <w:szCs w:val="28"/>
        </w:rPr>
        <w:t>已</w:t>
      </w:r>
      <w:r>
        <w:rPr>
          <w:rFonts w:ascii="仿宋" w:hAnsi="仿宋" w:eastAsia="仿宋"/>
          <w:sz w:val="28"/>
          <w:szCs w:val="28"/>
        </w:rPr>
        <w:t>告知并取得</w:t>
      </w:r>
      <w:r>
        <w:rPr>
          <w:rFonts w:hint="eastAsia" w:ascii="仿宋" w:hAnsi="仿宋" w:eastAsia="仿宋"/>
          <w:sz w:val="28"/>
          <w:szCs w:val="28"/>
        </w:rPr>
        <w:t>甲方参检员工</w:t>
      </w:r>
      <w:r>
        <w:rPr>
          <w:rFonts w:ascii="仿宋" w:hAnsi="仿宋" w:eastAsia="仿宋"/>
          <w:sz w:val="28"/>
          <w:szCs w:val="28"/>
        </w:rPr>
        <w:t>本人的授权同意</w:t>
      </w:r>
      <w:r>
        <w:rPr>
          <w:rFonts w:hint="eastAsia" w:ascii="仿宋" w:hAnsi="仿宋" w:eastAsia="仿宋"/>
          <w:sz w:val="28"/>
          <w:szCs w:val="28"/>
        </w:rPr>
        <w:t>：乙方可根据参检员工的体检结果，通过甲方提供的参检员工相关个人联系方式信息（如有）与参检人员沟通，为其</w:t>
      </w:r>
      <w:r>
        <w:rPr>
          <w:rFonts w:ascii="仿宋" w:hAnsi="仿宋" w:eastAsia="仿宋"/>
          <w:sz w:val="28"/>
          <w:szCs w:val="28"/>
        </w:rPr>
        <w:t>提供检后健康咨询服务</w:t>
      </w:r>
      <w:r>
        <w:rPr>
          <w:rFonts w:hint="eastAsia" w:ascii="仿宋" w:hAnsi="仿宋" w:eastAsia="仿宋"/>
          <w:sz w:val="28"/>
          <w:szCs w:val="28"/>
        </w:rPr>
        <w:t>。</w:t>
      </w:r>
    </w:p>
    <w:p w14:paraId="04AB1E43">
      <w:pPr>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八、乙方权利义务</w:t>
      </w:r>
    </w:p>
    <w:p w14:paraId="7615951D">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一）</w:t>
      </w:r>
      <w:r>
        <w:rPr>
          <w:rFonts w:hint="eastAsia" w:ascii="仿宋" w:hAnsi="仿宋" w:eastAsia="仿宋"/>
          <w:sz w:val="28"/>
          <w:szCs w:val="28"/>
        </w:rPr>
        <w:t>乙方应严格按照国家相关规定和规范开展体检工作。</w:t>
      </w:r>
    </w:p>
    <w:p w14:paraId="69A03E3D">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二）</w:t>
      </w:r>
      <w:r>
        <w:rPr>
          <w:rFonts w:hint="eastAsia" w:ascii="仿宋" w:hAnsi="仿宋" w:eastAsia="仿宋"/>
          <w:sz w:val="28"/>
          <w:szCs w:val="28"/>
        </w:rPr>
        <w:t>乙方应做好体检过程中医疗污物及一次性医疗废弃物的处理，不得违反相关法律、法规的规定。</w:t>
      </w:r>
    </w:p>
    <w:p w14:paraId="564CC1A7">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三）</w:t>
      </w:r>
      <w:r>
        <w:rPr>
          <w:rFonts w:hint="eastAsia" w:ascii="仿宋" w:hAnsi="仿宋" w:eastAsia="仿宋"/>
          <w:sz w:val="28"/>
          <w:szCs w:val="28"/>
        </w:rPr>
        <w:t>乙方</w:t>
      </w:r>
      <w:r>
        <w:rPr>
          <w:rFonts w:ascii="仿宋" w:hAnsi="仿宋" w:eastAsia="仿宋"/>
          <w:sz w:val="28"/>
          <w:szCs w:val="28"/>
        </w:rPr>
        <w:t>应保证体检设备处于良好的工作状态</w:t>
      </w:r>
      <w:r>
        <w:rPr>
          <w:rFonts w:hint="eastAsia" w:ascii="仿宋" w:hAnsi="仿宋" w:eastAsia="仿宋"/>
          <w:sz w:val="28"/>
          <w:szCs w:val="28"/>
        </w:rPr>
        <w:t>。</w:t>
      </w:r>
    </w:p>
    <w:p w14:paraId="45919B73">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四）</w:t>
      </w:r>
      <w:r>
        <w:rPr>
          <w:rFonts w:hint="eastAsia" w:ascii="仿宋" w:hAnsi="仿宋" w:eastAsia="仿宋"/>
          <w:sz w:val="28"/>
          <w:szCs w:val="28"/>
        </w:rPr>
        <w:t>乙方不得向本协议约定人员以外的其他人员提供员工健康体检报告及</w:t>
      </w:r>
      <w:r>
        <w:rPr>
          <w:rFonts w:ascii="仿宋" w:hAnsi="仿宋" w:eastAsia="仿宋"/>
          <w:sz w:val="28"/>
          <w:szCs w:val="28"/>
        </w:rPr>
        <w:t>相关体检材料</w:t>
      </w:r>
    </w:p>
    <w:p w14:paraId="00EBCA15">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（五</w:t>
      </w:r>
      <w:r>
        <w:rPr>
          <w:rFonts w:ascii="仿宋" w:hAnsi="仿宋" w:eastAsia="仿宋"/>
          <w:sz w:val="28"/>
          <w:szCs w:val="28"/>
        </w:rPr>
        <w:t>）</w:t>
      </w:r>
      <w:r>
        <w:rPr>
          <w:rFonts w:hint="eastAsia" w:ascii="仿宋" w:hAnsi="仿宋" w:eastAsia="仿宋"/>
          <w:sz w:val="28"/>
          <w:szCs w:val="28"/>
        </w:rPr>
        <w:t>乙方在实施甲方员工体检的过程中，发现员工患有疾病或存在疾病征兆及健康隐患（例：心血管急症、各种急性肝炎、急性肾功能损害、恶性肿瘤等）的，有义务在检查后的五个工作日内及时电话通知甲方或员工本人，以便及时就诊或进一步检查，同时，乙方应在体检报告中予以充分的说明。</w:t>
      </w:r>
    </w:p>
    <w:p w14:paraId="2EC8F851">
      <w:pPr>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九</w:t>
      </w:r>
      <w:r>
        <w:rPr>
          <w:rFonts w:ascii="仿宋" w:hAnsi="仿宋" w:eastAsia="仿宋"/>
          <w:b/>
          <w:sz w:val="28"/>
          <w:szCs w:val="28"/>
        </w:rPr>
        <w:t>、</w:t>
      </w:r>
      <w:r>
        <w:rPr>
          <w:rFonts w:hint="eastAsia" w:ascii="仿宋" w:hAnsi="仿宋" w:eastAsia="仿宋"/>
          <w:b/>
          <w:sz w:val="28"/>
          <w:szCs w:val="28"/>
        </w:rPr>
        <w:t xml:space="preserve">保密条款  </w:t>
      </w:r>
    </w:p>
    <w:p w14:paraId="57E2EE6A">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一）</w:t>
      </w:r>
      <w:r>
        <w:rPr>
          <w:rFonts w:hint="eastAsia" w:ascii="仿宋" w:hAnsi="仿宋" w:eastAsia="仿宋"/>
          <w:sz w:val="28"/>
          <w:szCs w:val="28"/>
        </w:rPr>
        <w:t>甲乙双方均应对因履行本协议而知悉的对方的商业秘密（包括但不限于协议内容、价格、客户名单等）及员工的个人信息承担保密义务，未经对方书面许可，不得向任何第三方泄露。此保密义务不因协议终止而失效。</w:t>
      </w:r>
    </w:p>
    <w:p w14:paraId="15E73AAD">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二）</w:t>
      </w:r>
      <w:r>
        <w:rPr>
          <w:rFonts w:hint="eastAsia" w:ascii="仿宋" w:hAnsi="仿宋" w:eastAsia="仿宋"/>
          <w:sz w:val="28"/>
          <w:szCs w:val="28"/>
        </w:rPr>
        <w:t>对于乙方在体检过程中知悉的员工资料（包括但不限于姓名、身份证号（工号）、年龄、体检指标、健康状况等），乙方负有充分的保密义务，此保密义务不因协议终止而失效。</w:t>
      </w:r>
    </w:p>
    <w:p w14:paraId="3C7F845F">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三）</w:t>
      </w:r>
      <w:r>
        <w:rPr>
          <w:rFonts w:hint="eastAsia" w:ascii="仿宋" w:hAnsi="仿宋" w:eastAsia="仿宋"/>
          <w:sz w:val="28"/>
          <w:szCs w:val="28"/>
        </w:rPr>
        <w:t>乙方如需将本次体检产生的、经去标识化处理的健康数据用于医学研究或统计分析，须事先向甲方提供详细的数据处理方案（包括研究目的、数据范围、安全措施、存储期限及到期处理方式等），并获得甲方的书面同意。乙方应确保该等处理完全符合《个人信息保护法》等法律法规的规定，并保证无法通过该等数据识别到特定个人。乙方不得将上述数据用于任何商业营销目的，亦不得将其提供给任何非关联的第三方。</w:t>
      </w:r>
    </w:p>
    <w:p w14:paraId="0C16B258">
      <w:pPr>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十、免责条款</w:t>
      </w:r>
    </w:p>
    <w:p w14:paraId="71578851">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一）</w:t>
      </w:r>
      <w:r>
        <w:rPr>
          <w:rFonts w:hint="eastAsia" w:ascii="仿宋" w:hAnsi="仿宋" w:eastAsia="仿宋"/>
          <w:sz w:val="28"/>
          <w:szCs w:val="28"/>
        </w:rPr>
        <w:t>员工的个人</w:t>
      </w:r>
      <w:r>
        <w:rPr>
          <w:rFonts w:ascii="仿宋" w:hAnsi="仿宋" w:eastAsia="仿宋"/>
          <w:sz w:val="28"/>
          <w:szCs w:val="28"/>
        </w:rPr>
        <w:t>及体检</w:t>
      </w:r>
      <w:r>
        <w:rPr>
          <w:rFonts w:hint="eastAsia" w:ascii="仿宋" w:hAnsi="仿宋" w:eastAsia="仿宋"/>
          <w:sz w:val="28"/>
          <w:szCs w:val="28"/>
        </w:rPr>
        <w:t>信息属个人隐私，密封的纸质体检报告及</w:t>
      </w:r>
      <w:r>
        <w:rPr>
          <w:rFonts w:ascii="仿宋" w:hAnsi="仿宋" w:eastAsia="仿宋"/>
          <w:sz w:val="28"/>
          <w:szCs w:val="28"/>
        </w:rPr>
        <w:t>电子体检报告</w:t>
      </w:r>
      <w:r>
        <w:rPr>
          <w:rFonts w:hint="eastAsia" w:ascii="仿宋" w:hAnsi="仿宋" w:eastAsia="仿宋"/>
          <w:sz w:val="28"/>
          <w:szCs w:val="28"/>
        </w:rPr>
        <w:t>等体检资料由本人开启。如甲方接收员工</w:t>
      </w:r>
      <w:r>
        <w:rPr>
          <w:rFonts w:ascii="仿宋" w:hAnsi="仿宋" w:eastAsia="仿宋"/>
          <w:sz w:val="28"/>
          <w:szCs w:val="28"/>
        </w:rPr>
        <w:t>纸质</w:t>
      </w:r>
      <w:r>
        <w:rPr>
          <w:rFonts w:hint="eastAsia" w:ascii="仿宋" w:hAnsi="仿宋" w:eastAsia="仿宋"/>
          <w:sz w:val="28"/>
          <w:szCs w:val="28"/>
        </w:rPr>
        <w:t>体检报告或</w:t>
      </w:r>
      <w:r>
        <w:rPr>
          <w:rFonts w:ascii="仿宋" w:hAnsi="仿宋" w:eastAsia="仿宋"/>
          <w:sz w:val="28"/>
          <w:szCs w:val="28"/>
        </w:rPr>
        <w:t>电子体检报告</w:t>
      </w:r>
      <w:r>
        <w:rPr>
          <w:rFonts w:hint="eastAsia" w:ascii="仿宋" w:hAnsi="仿宋" w:eastAsia="仿宋"/>
          <w:sz w:val="28"/>
          <w:szCs w:val="28"/>
        </w:rPr>
        <w:t>等体检资料，甲方应</w:t>
      </w:r>
      <w:r>
        <w:rPr>
          <w:rFonts w:ascii="仿宋" w:hAnsi="仿宋" w:eastAsia="仿宋"/>
          <w:sz w:val="28"/>
          <w:szCs w:val="28"/>
        </w:rPr>
        <w:t>获得员工的授权及许可，并</w:t>
      </w:r>
      <w:r>
        <w:rPr>
          <w:rFonts w:hint="eastAsia" w:ascii="仿宋" w:hAnsi="仿宋" w:eastAsia="仿宋"/>
          <w:sz w:val="28"/>
          <w:szCs w:val="28"/>
        </w:rPr>
        <w:t>承担保密义务；如甲方因故意或过失获取、泄露体检报告中员工个人及</w:t>
      </w:r>
      <w:r>
        <w:rPr>
          <w:rFonts w:ascii="仿宋" w:hAnsi="仿宋" w:eastAsia="仿宋"/>
          <w:sz w:val="28"/>
          <w:szCs w:val="28"/>
        </w:rPr>
        <w:t>体检</w:t>
      </w:r>
      <w:r>
        <w:rPr>
          <w:rFonts w:hint="eastAsia" w:ascii="仿宋" w:hAnsi="仿宋" w:eastAsia="仿宋"/>
          <w:sz w:val="28"/>
          <w:szCs w:val="28"/>
        </w:rPr>
        <w:t>信息的，乙方不承担任何责任。</w:t>
      </w:r>
    </w:p>
    <w:p w14:paraId="0316D7D4">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（二</w:t>
      </w:r>
      <w:r>
        <w:rPr>
          <w:rFonts w:ascii="仿宋" w:hAnsi="仿宋" w:eastAsia="仿宋"/>
          <w:sz w:val="28"/>
          <w:szCs w:val="28"/>
        </w:rPr>
        <w:t>）</w:t>
      </w:r>
      <w:r>
        <w:rPr>
          <w:rFonts w:hint="eastAsia" w:ascii="仿宋" w:hAnsi="仿宋" w:eastAsia="仿宋"/>
          <w:sz w:val="28"/>
          <w:szCs w:val="28"/>
        </w:rPr>
        <w:t>因员工自愿放弃体检项目而发生疾病漏诊并造成损害，乙方不负任何法律和经济责任。</w:t>
      </w:r>
    </w:p>
    <w:p w14:paraId="1E7C8395">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三）</w:t>
      </w:r>
      <w:r>
        <w:rPr>
          <w:rFonts w:hint="eastAsia" w:ascii="仿宋" w:hAnsi="仿宋" w:eastAsia="仿宋"/>
          <w:sz w:val="28"/>
          <w:szCs w:val="28"/>
        </w:rPr>
        <w:t>双方均有责任核实体检人员身份。甲方应提供准确名单，乙方在体检现场应核对体检者有效身份证件。因任何一方未履行前述核对义务导致冒名顶替的，由过错方承担相应责任。。</w:t>
      </w:r>
    </w:p>
    <w:p w14:paraId="78BAF590">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四）</w:t>
      </w:r>
      <w:r>
        <w:rPr>
          <w:rFonts w:hint="eastAsia" w:ascii="仿宋" w:hAnsi="仿宋" w:eastAsia="仿宋"/>
          <w:sz w:val="28"/>
          <w:szCs w:val="28"/>
        </w:rPr>
        <w:t>乙方应在体检场所的显著位置及体检指引单上明确公示，并对参检人员给予必要的口头提示。甲方应配合乙方督促员工阅读并遵守相关须知。</w:t>
      </w:r>
    </w:p>
    <w:p w14:paraId="1ADD0699">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五）</w:t>
      </w:r>
      <w:r>
        <w:rPr>
          <w:rFonts w:hint="eastAsia" w:ascii="仿宋" w:hAnsi="仿宋" w:eastAsia="仿宋"/>
          <w:sz w:val="28"/>
          <w:szCs w:val="28"/>
        </w:rPr>
        <w:t>乙方承诺会恪守法律法规和诊疗常规，提供业内优质的服务，切实保证乙方的检查质量。但由于健康体检属医疗行为，其结果有一定的不可预知性，而个体差异和疾病发展的窗口期以及医学技术本身的限制更增大了不可预知性。乙方的体检结果只针对体检当日甲方参检员工的健康状况，乙方不对体检日以后甲方参检员工的健康状况及病情变化承担法律责任。甲方应将</w:t>
      </w:r>
      <w:r>
        <w:rPr>
          <w:rFonts w:ascii="仿宋" w:hAnsi="仿宋" w:eastAsia="仿宋"/>
          <w:sz w:val="28"/>
          <w:szCs w:val="28"/>
        </w:rPr>
        <w:t>上述情况</w:t>
      </w:r>
      <w:r>
        <w:rPr>
          <w:rFonts w:hint="eastAsia" w:ascii="仿宋" w:hAnsi="仿宋" w:eastAsia="仿宋"/>
          <w:sz w:val="28"/>
          <w:szCs w:val="28"/>
        </w:rPr>
        <w:t>如实、清楚地</w:t>
      </w:r>
      <w:r>
        <w:rPr>
          <w:rFonts w:ascii="仿宋" w:hAnsi="仿宋" w:eastAsia="仿宋"/>
          <w:sz w:val="28"/>
          <w:szCs w:val="28"/>
        </w:rPr>
        <w:t>告知其</w:t>
      </w:r>
      <w:r>
        <w:rPr>
          <w:rFonts w:hint="eastAsia" w:ascii="仿宋" w:hAnsi="仿宋" w:eastAsia="仿宋"/>
          <w:sz w:val="28"/>
          <w:szCs w:val="28"/>
        </w:rPr>
        <w:t>员工</w:t>
      </w:r>
      <w:r>
        <w:rPr>
          <w:rFonts w:ascii="仿宋" w:hAnsi="仿宋" w:eastAsia="仿宋"/>
          <w:sz w:val="28"/>
          <w:szCs w:val="28"/>
        </w:rPr>
        <w:t>。</w:t>
      </w:r>
      <w:r>
        <w:rPr>
          <w:rFonts w:hint="eastAsia" w:ascii="仿宋" w:hAnsi="仿宋" w:eastAsia="仿宋"/>
          <w:sz w:val="28"/>
          <w:szCs w:val="28"/>
        </w:rPr>
        <w:t>但若因乙方在体检过程中的操作失误、诊断错误或报告遗漏等过错，直接导致参检员工未能及时发现本可通过该次体检发现的重大健康问题，并因此造成损害的，乙方应依法承担相应的法律责任。</w:t>
      </w:r>
    </w:p>
    <w:p w14:paraId="2D12A660">
      <w:pPr>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十一、违约责任</w:t>
      </w:r>
    </w:p>
    <w:p w14:paraId="7C657E40">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一）</w:t>
      </w:r>
      <w:r>
        <w:rPr>
          <w:rFonts w:hint="eastAsia" w:ascii="仿宋" w:hAnsi="仿宋" w:eastAsia="仿宋"/>
          <w:sz w:val="28"/>
          <w:szCs w:val="28"/>
        </w:rPr>
        <w:t>如任何一方违反本协议约定的义务，违约方在收到守约方要求纠正其违约行为的书面通知之日起，应立即停止其违约行为，并对其违约行为造成的损失承担赔偿责任。违约方的重大违约行为致使本协议目的不能实现的，守约方有权提前终止本协议。</w:t>
      </w:r>
    </w:p>
    <w:p w14:paraId="67A3A75D">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二）</w:t>
      </w:r>
      <w:r>
        <w:rPr>
          <w:rFonts w:hint="eastAsia" w:ascii="仿宋" w:hAnsi="仿宋" w:eastAsia="仿宋"/>
          <w:sz w:val="28"/>
          <w:szCs w:val="28"/>
        </w:rPr>
        <w:t>若甲方无正当理由逾期支付经双方确认的结算费用，每逾期</w:t>
      </w:r>
      <w:r>
        <w:rPr>
          <w:rFonts w:hint="eastAsia" w:ascii="仿宋" w:hAnsi="仿宋" w:eastAsia="仿宋"/>
          <w:sz w:val="28"/>
          <w:szCs w:val="28"/>
          <w:u w:val="single"/>
          <w:lang w:val="en-US" w:eastAsia="zh-CN"/>
        </w:rPr>
        <w:t xml:space="preserve">   </w:t>
      </w:r>
      <w:r>
        <w:rPr>
          <w:rFonts w:hint="eastAsia" w:ascii="仿宋" w:hAnsi="仿宋" w:eastAsia="仿宋"/>
          <w:sz w:val="28"/>
          <w:szCs w:val="28"/>
        </w:rPr>
        <w:t>日，应按当期应付未付款项的</w:t>
      </w:r>
      <w:r>
        <w:rPr>
          <w:rFonts w:hint="eastAsia" w:ascii="仿宋" w:hAnsi="仿宋" w:eastAsia="仿宋"/>
          <w:sz w:val="28"/>
          <w:szCs w:val="28"/>
          <w:u w:val="single"/>
          <w:lang w:val="en-US" w:eastAsia="zh-CN"/>
        </w:rPr>
        <w:t xml:space="preserve">     </w:t>
      </w:r>
      <w:r>
        <w:rPr>
          <w:rFonts w:hint="eastAsia" w:ascii="仿宋" w:hAnsi="仿宋" w:eastAsia="仿宋"/>
          <w:sz w:val="28"/>
          <w:szCs w:val="28"/>
        </w:rPr>
        <w:t>向乙方支付违约金，但违约金总额不超过逾期支付款项的</w:t>
      </w:r>
      <w:r>
        <w:rPr>
          <w:rFonts w:hint="eastAsia" w:ascii="仿宋" w:hAnsi="仿宋" w:eastAsia="仿宋"/>
          <w:sz w:val="28"/>
          <w:szCs w:val="28"/>
          <w:u w:val="single"/>
          <w:lang w:val="en-US" w:eastAsia="zh-CN"/>
        </w:rPr>
        <w:t xml:space="preserve">    </w:t>
      </w:r>
      <w:r>
        <w:rPr>
          <w:rFonts w:hint="eastAsia" w:ascii="仿宋" w:hAnsi="仿宋" w:eastAsia="仿宋"/>
          <w:sz w:val="28"/>
          <w:szCs w:val="28"/>
        </w:rPr>
        <w:t>。</w:t>
      </w:r>
    </w:p>
    <w:p w14:paraId="1E7E0179">
      <w:pPr>
        <w:spacing w:before="156" w:beforeLines="50" w:after="156" w:afterLines="50" w:line="360" w:lineRule="auto"/>
        <w:ind w:firstLine="562" w:firstLineChars="200"/>
        <w:rPr>
          <w:rFonts w:ascii="仿宋" w:hAnsi="仿宋" w:eastAsia="仿宋"/>
          <w:b/>
          <w:sz w:val="28"/>
          <w:szCs w:val="28"/>
        </w:rPr>
      </w:pPr>
      <w:r>
        <w:rPr>
          <w:rFonts w:hint="eastAsia" w:ascii="仿宋" w:hAnsi="仿宋" w:eastAsia="仿宋"/>
          <w:b/>
          <w:sz w:val="28"/>
          <w:szCs w:val="28"/>
        </w:rPr>
        <w:t>十二</w:t>
      </w:r>
      <w:r>
        <w:rPr>
          <w:rFonts w:ascii="仿宋" w:hAnsi="仿宋" w:eastAsia="仿宋"/>
          <w:b/>
          <w:sz w:val="28"/>
          <w:szCs w:val="28"/>
        </w:rPr>
        <w:t>、</w:t>
      </w:r>
      <w:r>
        <w:rPr>
          <w:rFonts w:hint="eastAsia" w:ascii="仿宋" w:hAnsi="仿宋" w:eastAsia="仿宋"/>
          <w:b/>
          <w:sz w:val="28"/>
          <w:szCs w:val="28"/>
        </w:rPr>
        <w:t>附则</w:t>
      </w:r>
    </w:p>
    <w:p w14:paraId="337887AE">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一）</w:t>
      </w:r>
      <w:r>
        <w:rPr>
          <w:rFonts w:hint="eastAsia" w:ascii="仿宋" w:hAnsi="仿宋" w:eastAsia="仿宋"/>
          <w:sz w:val="28"/>
          <w:szCs w:val="28"/>
        </w:rPr>
        <w:t>在本协议履行过程中，双方应及时沟通，以解决在体检服务提供过程中出现的问题，从而提高乙方为甲方员工所提供的体检服务的服务质量。</w:t>
      </w:r>
    </w:p>
    <w:p w14:paraId="6DE18278">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（二</w:t>
      </w:r>
      <w:r>
        <w:rPr>
          <w:rFonts w:ascii="仿宋" w:hAnsi="仿宋" w:eastAsia="仿宋"/>
          <w:sz w:val="28"/>
          <w:szCs w:val="28"/>
        </w:rPr>
        <w:t>）</w:t>
      </w:r>
      <w:r>
        <w:rPr>
          <w:rFonts w:hint="eastAsia" w:ascii="仿宋" w:hAnsi="仿宋" w:eastAsia="仿宋"/>
          <w:sz w:val="28"/>
          <w:szCs w:val="28"/>
        </w:rPr>
        <w:t>本协议自双方法定代表人（授权代表）签字</w:t>
      </w:r>
      <w:r>
        <w:rPr>
          <w:rFonts w:ascii="仿宋" w:hAnsi="仿宋" w:eastAsia="仿宋"/>
          <w:sz w:val="28"/>
          <w:szCs w:val="28"/>
        </w:rPr>
        <w:t>或</w:t>
      </w:r>
      <w:r>
        <w:rPr>
          <w:rFonts w:hint="eastAsia" w:ascii="仿宋" w:hAnsi="仿宋" w:eastAsia="仿宋"/>
          <w:sz w:val="28"/>
          <w:szCs w:val="28"/>
        </w:rPr>
        <w:t>盖章（包括</w:t>
      </w:r>
      <w:r>
        <w:rPr>
          <w:rFonts w:ascii="仿宋" w:hAnsi="仿宋" w:eastAsia="仿宋"/>
          <w:sz w:val="28"/>
          <w:szCs w:val="28"/>
        </w:rPr>
        <w:t>公章或合同</w:t>
      </w:r>
      <w:r>
        <w:rPr>
          <w:rFonts w:hint="eastAsia" w:ascii="仿宋" w:hAnsi="仿宋" w:eastAsia="仿宋"/>
          <w:sz w:val="28"/>
          <w:szCs w:val="28"/>
        </w:rPr>
        <w:t>专用</w:t>
      </w:r>
      <w:r>
        <w:rPr>
          <w:rFonts w:ascii="仿宋" w:hAnsi="仿宋" w:eastAsia="仿宋"/>
          <w:sz w:val="28"/>
          <w:szCs w:val="28"/>
        </w:rPr>
        <w:t>章</w:t>
      </w:r>
      <w:r>
        <w:rPr>
          <w:rFonts w:hint="eastAsia" w:ascii="仿宋" w:hAnsi="仿宋" w:eastAsia="仿宋"/>
          <w:sz w:val="28"/>
          <w:szCs w:val="28"/>
        </w:rPr>
        <w:t>）之日起生效。本协议未尽事宜，可由双方协商达成补充协议，补充协议经双方盖章后生效，与本协议具有同等法律效力。</w:t>
      </w:r>
    </w:p>
    <w:p w14:paraId="0C233B63">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三）</w:t>
      </w:r>
      <w:r>
        <w:rPr>
          <w:rFonts w:hint="eastAsia" w:ascii="仿宋" w:hAnsi="仿宋" w:eastAsia="仿宋"/>
          <w:sz w:val="28"/>
          <w:szCs w:val="28"/>
        </w:rPr>
        <w:t>发生争议时，应由双方平等协商解决，不能达成一致意见的，任一方可向甲方所在地</w:t>
      </w:r>
      <w:r>
        <w:rPr>
          <w:rFonts w:ascii="仿宋" w:hAnsi="仿宋" w:eastAsia="仿宋"/>
          <w:sz w:val="28"/>
          <w:szCs w:val="28"/>
        </w:rPr>
        <w:t>人民</w:t>
      </w:r>
      <w:r>
        <w:rPr>
          <w:rFonts w:hint="eastAsia" w:ascii="仿宋" w:hAnsi="仿宋" w:eastAsia="仿宋"/>
          <w:sz w:val="28"/>
          <w:szCs w:val="28"/>
        </w:rPr>
        <w:t>法院提起诉讼。</w:t>
      </w:r>
    </w:p>
    <w:p w14:paraId="145115BC">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四）</w:t>
      </w:r>
      <w:r>
        <w:rPr>
          <w:rFonts w:hint="eastAsia" w:ascii="仿宋" w:hAnsi="仿宋" w:eastAsia="仿宋"/>
          <w:sz w:val="28"/>
          <w:szCs w:val="28"/>
        </w:rPr>
        <w:t>本协议一式</w:t>
      </w:r>
      <w:r>
        <w:rPr>
          <w:rFonts w:hint="eastAsia" w:ascii="仿宋" w:hAnsi="仿宋" w:eastAsia="仿宋"/>
          <w:sz w:val="28"/>
          <w:szCs w:val="28"/>
          <w:lang w:val="en-US" w:eastAsia="zh-CN"/>
        </w:rPr>
        <w:t xml:space="preserve">  </w:t>
      </w:r>
      <w:r>
        <w:rPr>
          <w:rFonts w:hint="eastAsia" w:ascii="仿宋" w:hAnsi="仿宋" w:eastAsia="仿宋"/>
          <w:sz w:val="28"/>
          <w:szCs w:val="28"/>
        </w:rPr>
        <w:t>份，甲乙方各</w:t>
      </w:r>
      <w:r>
        <w:rPr>
          <w:rFonts w:hint="eastAsia" w:ascii="仿宋" w:hAnsi="仿宋" w:eastAsia="仿宋"/>
          <w:sz w:val="28"/>
          <w:szCs w:val="28"/>
          <w:lang w:val="en-US" w:eastAsia="zh-CN"/>
        </w:rPr>
        <w:t xml:space="preserve">  </w:t>
      </w:r>
      <w:r>
        <w:rPr>
          <w:rFonts w:hint="eastAsia" w:ascii="仿宋" w:hAnsi="仿宋" w:eastAsia="仿宋"/>
          <w:sz w:val="28"/>
          <w:szCs w:val="28"/>
        </w:rPr>
        <w:t>份，</w:t>
      </w:r>
      <w:r>
        <w:rPr>
          <w:rFonts w:ascii="仿宋" w:hAnsi="仿宋" w:eastAsia="仿宋"/>
          <w:sz w:val="28"/>
          <w:szCs w:val="28"/>
        </w:rPr>
        <w:t>具有同等法律效力</w:t>
      </w:r>
      <w:r>
        <w:rPr>
          <w:rFonts w:hint="eastAsia" w:ascii="仿宋" w:hAnsi="仿宋" w:eastAsia="仿宋"/>
          <w:sz w:val="28"/>
          <w:szCs w:val="28"/>
        </w:rPr>
        <w:t>。</w:t>
      </w:r>
    </w:p>
    <w:p w14:paraId="5ABABDE1">
      <w:pPr>
        <w:spacing w:before="156" w:beforeLines="50" w:after="156" w:afterLines="50" w:line="360" w:lineRule="auto"/>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五）</w:t>
      </w:r>
      <w:r>
        <w:rPr>
          <w:rFonts w:hint="eastAsia" w:ascii="仿宋" w:hAnsi="仿宋" w:eastAsia="仿宋"/>
          <w:sz w:val="28"/>
          <w:szCs w:val="28"/>
        </w:rPr>
        <w:t>本协议附件与本协议具有相同效力。</w:t>
      </w:r>
    </w:p>
    <w:p w14:paraId="60C534D7">
      <w:pPr>
        <w:adjustRightInd w:val="0"/>
        <w:spacing w:before="156" w:beforeLines="50" w:after="156" w:afterLines="50" w:line="360" w:lineRule="auto"/>
        <w:textAlignment w:val="baseline"/>
        <w:rPr>
          <w:rFonts w:ascii="仿宋" w:hAnsi="仿宋" w:eastAsia="仿宋"/>
          <w:b/>
          <w:kern w:val="0"/>
          <w:sz w:val="28"/>
          <w:szCs w:val="28"/>
        </w:rPr>
      </w:pPr>
    </w:p>
    <w:p w14:paraId="3F5C707F">
      <w:pPr>
        <w:adjustRightInd w:val="0"/>
        <w:spacing w:before="156" w:beforeLines="50" w:after="156" w:afterLines="50" w:line="360" w:lineRule="auto"/>
        <w:textAlignment w:val="baseline"/>
        <w:rPr>
          <w:rFonts w:ascii="仿宋" w:hAnsi="仿宋" w:eastAsia="仿宋"/>
          <w:b/>
          <w:kern w:val="0"/>
          <w:sz w:val="28"/>
          <w:szCs w:val="28"/>
        </w:rPr>
      </w:pPr>
    </w:p>
    <w:p w14:paraId="061970A8">
      <w:pPr>
        <w:adjustRightInd w:val="0"/>
        <w:spacing w:before="156" w:beforeLines="50" w:after="156" w:afterLines="50" w:line="360" w:lineRule="auto"/>
        <w:textAlignment w:val="baseline"/>
        <w:rPr>
          <w:rFonts w:ascii="仿宋" w:hAnsi="仿宋" w:eastAsia="仿宋"/>
          <w:b/>
          <w:kern w:val="0"/>
          <w:sz w:val="28"/>
          <w:szCs w:val="28"/>
        </w:rPr>
      </w:pPr>
    </w:p>
    <w:p w14:paraId="01B0FA56">
      <w:pPr>
        <w:rPr>
          <w:rFonts w:ascii="仿宋" w:hAnsi="仿宋" w:eastAsia="仿宋"/>
          <w:b/>
          <w:kern w:val="0"/>
          <w:sz w:val="28"/>
          <w:szCs w:val="28"/>
        </w:rPr>
      </w:pPr>
      <w:r>
        <w:rPr>
          <w:rFonts w:ascii="仿宋" w:hAnsi="仿宋" w:eastAsia="仿宋"/>
          <w:b/>
          <w:kern w:val="0"/>
          <w:sz w:val="28"/>
          <w:szCs w:val="28"/>
        </w:rPr>
        <w:br w:type="page"/>
      </w:r>
    </w:p>
    <w:p w14:paraId="75BBB4D8">
      <w:pPr>
        <w:adjustRightInd w:val="0"/>
        <w:spacing w:before="156" w:beforeLines="50" w:after="156" w:afterLines="50" w:line="360" w:lineRule="auto"/>
        <w:jc w:val="center"/>
        <w:textAlignment w:val="baseline"/>
        <w:rPr>
          <w:rFonts w:ascii="仿宋" w:hAnsi="仿宋" w:eastAsia="仿宋"/>
          <w:b/>
          <w:kern w:val="0"/>
          <w:sz w:val="28"/>
          <w:szCs w:val="28"/>
        </w:rPr>
      </w:pPr>
      <w:r>
        <w:rPr>
          <w:rFonts w:hint="eastAsia" w:ascii="仿宋" w:hAnsi="仿宋" w:eastAsia="仿宋"/>
          <w:b/>
          <w:kern w:val="0"/>
          <w:sz w:val="28"/>
          <w:szCs w:val="28"/>
        </w:rPr>
        <w:t>【本页无正文，为双方签字盖章页】</w:t>
      </w:r>
    </w:p>
    <w:p w14:paraId="143C3670">
      <w:pPr>
        <w:adjustRightInd w:val="0"/>
        <w:spacing w:before="156" w:beforeLines="50" w:after="156" w:afterLines="50" w:line="360" w:lineRule="auto"/>
        <w:textAlignment w:val="baseline"/>
        <w:rPr>
          <w:rFonts w:ascii="仿宋" w:hAnsi="仿宋" w:eastAsia="仿宋"/>
          <w:b/>
          <w:kern w:val="0"/>
          <w:sz w:val="28"/>
          <w:szCs w:val="28"/>
        </w:rPr>
      </w:pPr>
    </w:p>
    <w:p w14:paraId="73C7778C">
      <w:pPr>
        <w:adjustRightInd w:val="0"/>
        <w:spacing w:before="156" w:beforeLines="50" w:after="156" w:afterLines="50" w:line="360" w:lineRule="auto"/>
        <w:textAlignment w:val="baseline"/>
        <w:rPr>
          <w:rFonts w:ascii="仿宋" w:hAnsi="仿宋" w:eastAsia="仿宋"/>
          <w:b/>
          <w:kern w:val="0"/>
          <w:sz w:val="28"/>
          <w:szCs w:val="28"/>
        </w:rPr>
      </w:pPr>
    </w:p>
    <w:p w14:paraId="092D4C71">
      <w:pPr>
        <w:adjustRightInd w:val="0"/>
        <w:spacing w:before="156" w:beforeLines="50" w:after="156" w:afterLines="50" w:line="360" w:lineRule="auto"/>
        <w:textAlignment w:val="baseline"/>
        <w:rPr>
          <w:rFonts w:ascii="仿宋" w:hAnsi="仿宋" w:eastAsia="仿宋"/>
          <w:b/>
          <w:kern w:val="0"/>
          <w:sz w:val="28"/>
          <w:szCs w:val="28"/>
        </w:rPr>
      </w:pPr>
      <w:r>
        <w:rPr>
          <w:rFonts w:hint="eastAsia" w:ascii="仿宋" w:hAnsi="仿宋" w:eastAsia="仿宋"/>
          <w:b/>
          <w:kern w:val="0"/>
          <w:sz w:val="28"/>
          <w:szCs w:val="28"/>
        </w:rPr>
        <w:t>甲方(盖章)：</w:t>
      </w:r>
    </w:p>
    <w:p w14:paraId="4240C87D">
      <w:pPr>
        <w:adjustRightInd w:val="0"/>
        <w:spacing w:before="156" w:beforeLines="50" w:after="156" w:afterLines="50" w:line="360" w:lineRule="auto"/>
        <w:textAlignment w:val="baseline"/>
        <w:rPr>
          <w:rFonts w:ascii="仿宋" w:hAnsi="仿宋" w:eastAsia="仿宋"/>
          <w:b/>
          <w:kern w:val="0"/>
          <w:sz w:val="28"/>
          <w:szCs w:val="28"/>
        </w:rPr>
      </w:pPr>
      <w:r>
        <w:rPr>
          <w:rFonts w:hint="eastAsia" w:ascii="仿宋" w:hAnsi="仿宋" w:eastAsia="仿宋"/>
          <w:b/>
          <w:kern w:val="0"/>
          <w:sz w:val="28"/>
          <w:szCs w:val="28"/>
        </w:rPr>
        <w:t>联系人</w:t>
      </w:r>
      <w:r>
        <w:rPr>
          <w:rFonts w:ascii="仿宋" w:hAnsi="仿宋" w:eastAsia="仿宋"/>
          <w:b/>
          <w:kern w:val="0"/>
          <w:sz w:val="28"/>
          <w:szCs w:val="28"/>
        </w:rPr>
        <w:t>：</w:t>
      </w:r>
    </w:p>
    <w:p w14:paraId="6874E79C">
      <w:pPr>
        <w:adjustRightInd w:val="0"/>
        <w:spacing w:before="156" w:beforeLines="50" w:after="156" w:afterLines="50" w:line="360" w:lineRule="auto"/>
        <w:textAlignment w:val="baseline"/>
        <w:rPr>
          <w:rFonts w:ascii="仿宋" w:hAnsi="仿宋" w:eastAsia="仿宋"/>
          <w:b/>
          <w:kern w:val="0"/>
          <w:sz w:val="28"/>
          <w:szCs w:val="28"/>
        </w:rPr>
      </w:pPr>
      <w:r>
        <w:rPr>
          <w:rFonts w:hint="eastAsia" w:ascii="仿宋" w:hAnsi="仿宋" w:eastAsia="仿宋"/>
          <w:b/>
          <w:kern w:val="0"/>
          <w:sz w:val="28"/>
          <w:szCs w:val="28"/>
        </w:rPr>
        <w:t>联系电话：</w:t>
      </w:r>
    </w:p>
    <w:p w14:paraId="26A285AB">
      <w:pPr>
        <w:adjustRightInd w:val="0"/>
        <w:spacing w:before="156" w:beforeLines="50" w:after="156" w:afterLines="50" w:line="360" w:lineRule="auto"/>
        <w:textAlignment w:val="baseline"/>
        <w:rPr>
          <w:rFonts w:ascii="仿宋" w:hAnsi="仿宋" w:eastAsia="仿宋"/>
          <w:b/>
          <w:kern w:val="0"/>
          <w:sz w:val="28"/>
          <w:szCs w:val="28"/>
        </w:rPr>
      </w:pPr>
      <w:r>
        <w:rPr>
          <w:rFonts w:hint="eastAsia" w:ascii="仿宋" w:hAnsi="仿宋" w:eastAsia="仿宋"/>
          <w:b/>
          <w:kern w:val="0"/>
          <w:sz w:val="28"/>
          <w:szCs w:val="28"/>
        </w:rPr>
        <w:t>电子邮箱：</w:t>
      </w:r>
    </w:p>
    <w:p w14:paraId="4EBBDEDC">
      <w:pPr>
        <w:adjustRightInd w:val="0"/>
        <w:spacing w:before="156" w:beforeLines="50" w:after="156" w:afterLines="50" w:line="360" w:lineRule="auto"/>
        <w:textAlignment w:val="baseline"/>
        <w:rPr>
          <w:rFonts w:ascii="仿宋" w:hAnsi="仿宋" w:eastAsia="仿宋"/>
          <w:b/>
          <w:kern w:val="0"/>
          <w:sz w:val="28"/>
          <w:szCs w:val="28"/>
        </w:rPr>
      </w:pPr>
    </w:p>
    <w:p w14:paraId="6CDAA46D">
      <w:pPr>
        <w:adjustRightInd w:val="0"/>
        <w:spacing w:before="156" w:beforeLines="50" w:after="156" w:afterLines="50" w:line="360" w:lineRule="auto"/>
        <w:textAlignment w:val="baseline"/>
        <w:rPr>
          <w:rFonts w:ascii="仿宋" w:hAnsi="仿宋" w:eastAsia="仿宋"/>
          <w:b/>
          <w:kern w:val="0"/>
          <w:sz w:val="28"/>
          <w:szCs w:val="28"/>
        </w:rPr>
      </w:pPr>
    </w:p>
    <w:p w14:paraId="6D159A84">
      <w:pPr>
        <w:adjustRightInd w:val="0"/>
        <w:spacing w:before="156" w:beforeLines="50" w:after="156" w:afterLines="50" w:line="360" w:lineRule="auto"/>
        <w:textAlignment w:val="baseline"/>
        <w:rPr>
          <w:rFonts w:ascii="仿宋" w:hAnsi="仿宋" w:eastAsia="仿宋"/>
          <w:b/>
          <w:kern w:val="0"/>
          <w:sz w:val="28"/>
          <w:szCs w:val="28"/>
        </w:rPr>
      </w:pPr>
      <w:r>
        <w:rPr>
          <w:rFonts w:hint="eastAsia" w:ascii="仿宋" w:hAnsi="仿宋" w:eastAsia="仿宋"/>
          <w:b/>
          <w:kern w:val="0"/>
          <w:sz w:val="28"/>
          <w:szCs w:val="28"/>
        </w:rPr>
        <w:t>乙方（盖章）：</w:t>
      </w:r>
    </w:p>
    <w:p w14:paraId="4CF7A620">
      <w:pPr>
        <w:adjustRightInd w:val="0"/>
        <w:spacing w:before="156" w:beforeLines="50" w:after="156" w:afterLines="50" w:line="360" w:lineRule="auto"/>
        <w:textAlignment w:val="baseline"/>
        <w:rPr>
          <w:rFonts w:hint="eastAsia" w:ascii="仿宋" w:hAnsi="仿宋" w:eastAsia="仿宋"/>
          <w:b/>
          <w:kern w:val="0"/>
          <w:sz w:val="28"/>
          <w:szCs w:val="28"/>
          <w:lang w:val="en-US" w:eastAsia="zh-CN"/>
        </w:rPr>
      </w:pPr>
      <w:r>
        <w:rPr>
          <w:rFonts w:hint="eastAsia" w:ascii="仿宋" w:hAnsi="仿宋" w:eastAsia="仿宋"/>
          <w:b/>
          <w:kern w:val="0"/>
          <w:sz w:val="28"/>
          <w:szCs w:val="28"/>
        </w:rPr>
        <w:t>联系人</w:t>
      </w:r>
      <w:r>
        <w:rPr>
          <w:rFonts w:ascii="仿宋" w:hAnsi="仿宋" w:eastAsia="仿宋"/>
          <w:b/>
          <w:kern w:val="0"/>
          <w:sz w:val="28"/>
          <w:szCs w:val="28"/>
        </w:rPr>
        <w:t>：</w:t>
      </w:r>
    </w:p>
    <w:p w14:paraId="4CDFB7A9">
      <w:pPr>
        <w:adjustRightInd w:val="0"/>
        <w:spacing w:before="156" w:beforeLines="50" w:after="156" w:afterLines="50" w:line="360" w:lineRule="auto"/>
        <w:textAlignment w:val="baseline"/>
        <w:rPr>
          <w:rFonts w:ascii="仿宋" w:hAnsi="仿宋" w:eastAsia="仿宋"/>
          <w:b/>
          <w:kern w:val="0"/>
          <w:sz w:val="28"/>
          <w:szCs w:val="28"/>
        </w:rPr>
      </w:pPr>
      <w:r>
        <w:rPr>
          <w:rFonts w:hint="eastAsia" w:ascii="仿宋" w:hAnsi="仿宋" w:eastAsia="仿宋"/>
          <w:b/>
          <w:kern w:val="0"/>
          <w:sz w:val="28"/>
          <w:szCs w:val="28"/>
        </w:rPr>
        <w:t>联系电话：</w:t>
      </w:r>
    </w:p>
    <w:p w14:paraId="0CE6DCBD">
      <w:pPr>
        <w:adjustRightInd w:val="0"/>
        <w:spacing w:before="156" w:beforeLines="50" w:after="156" w:afterLines="50" w:line="360" w:lineRule="auto"/>
        <w:textAlignment w:val="baseline"/>
        <w:rPr>
          <w:rFonts w:ascii="仿宋" w:hAnsi="仿宋" w:eastAsia="仿宋"/>
          <w:kern w:val="0"/>
          <w:sz w:val="28"/>
          <w:szCs w:val="28"/>
        </w:rPr>
      </w:pPr>
      <w:r>
        <w:rPr>
          <w:rFonts w:hint="eastAsia" w:ascii="仿宋" w:hAnsi="仿宋" w:eastAsia="仿宋"/>
          <w:b/>
          <w:kern w:val="0"/>
          <w:sz w:val="28"/>
          <w:szCs w:val="28"/>
        </w:rPr>
        <w:t>电子邮箱：</w:t>
      </w:r>
    </w:p>
    <w:p w14:paraId="20831A87">
      <w:pPr>
        <w:spacing w:before="156" w:beforeLines="50" w:after="156" w:afterLines="50" w:line="360" w:lineRule="auto"/>
        <w:rPr>
          <w:rFonts w:ascii="仿宋" w:hAnsi="仿宋" w:eastAsia="仿宋"/>
          <w:sz w:val="28"/>
          <w:szCs w:val="28"/>
        </w:rPr>
      </w:pPr>
    </w:p>
    <w:p w14:paraId="5A98036C">
      <w:pPr>
        <w:rPr>
          <w:rFonts w:hint="eastAsia" w:ascii="仿宋" w:hAnsi="仿宋" w:eastAsia="仿宋"/>
          <w:sz w:val="28"/>
          <w:szCs w:val="28"/>
        </w:rPr>
      </w:pPr>
      <w:r>
        <w:rPr>
          <w:rFonts w:hint="eastAsia" w:ascii="仿宋" w:hAnsi="仿宋" w:eastAsia="仿宋"/>
          <w:sz w:val="28"/>
          <w:szCs w:val="28"/>
        </w:rPr>
        <w:t>。</w:t>
      </w:r>
    </w:p>
    <w:p w14:paraId="67146CF8">
      <w:pPr>
        <w:rPr>
          <w:rFonts w:hint="eastAsia" w:ascii="仿宋" w:hAnsi="仿宋" w:eastAsia="仿宋"/>
          <w:sz w:val="28"/>
          <w:szCs w:val="28"/>
        </w:rPr>
      </w:pPr>
    </w:p>
    <w:p w14:paraId="3E239AA2">
      <w:pPr>
        <w:rPr>
          <w:rFonts w:hint="eastAsia" w:ascii="仿宋" w:hAnsi="仿宋" w:eastAsia="仿宋"/>
          <w:sz w:val="28"/>
          <w:szCs w:val="28"/>
        </w:rPr>
      </w:pPr>
    </w:p>
    <w:p w14:paraId="78132B58">
      <w:pPr>
        <w:rPr>
          <w:rFonts w:hint="eastAsia" w:ascii="仿宋" w:hAnsi="仿宋" w:eastAsia="仿宋"/>
          <w:sz w:val="28"/>
          <w:szCs w:val="28"/>
        </w:rPr>
      </w:pPr>
    </w:p>
    <w:p w14:paraId="11CE06CB">
      <w:pPr>
        <w:rPr>
          <w:rFonts w:hint="eastAsia" w:ascii="仿宋" w:hAnsi="仿宋" w:eastAsia="仿宋"/>
          <w:sz w:val="28"/>
          <w:szCs w:val="28"/>
        </w:rPr>
      </w:pPr>
    </w:p>
    <w:p w14:paraId="600838DA">
      <w:pPr>
        <w:rPr>
          <w:rFonts w:hint="eastAsia" w:ascii="仿宋" w:hAnsi="仿宋" w:eastAsia="仿宋"/>
          <w:sz w:val="28"/>
          <w:szCs w:val="28"/>
          <w:lang w:eastAsia="zh-CN"/>
        </w:rPr>
      </w:pPr>
      <w:r>
        <w:rPr>
          <w:rFonts w:hint="eastAsia" w:ascii="仿宋" w:hAnsi="仿宋" w:eastAsia="仿宋"/>
          <w:sz w:val="28"/>
          <w:szCs w:val="28"/>
          <w:lang w:eastAsia="zh-CN"/>
        </w:rPr>
        <w:t>附件：</w:t>
      </w:r>
    </w:p>
    <w:p w14:paraId="2CDC4B43">
      <w:pPr>
        <w:widowControl w:val="0"/>
        <w:numPr>
          <w:ilvl w:val="0"/>
          <w:numId w:val="0"/>
        </w:numPr>
        <w:spacing w:line="400" w:lineRule="exact"/>
        <w:jc w:val="center"/>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表一：≤40岁男性</w:t>
      </w:r>
    </w:p>
    <w:tbl>
      <w:tblPr>
        <w:tblStyle w:val="5"/>
        <w:tblW w:w="930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2"/>
        <w:gridCol w:w="2160"/>
        <w:gridCol w:w="6351"/>
      </w:tblGrid>
      <w:tr w14:paraId="545AF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51E9B81B">
            <w:pPr>
              <w:keepNext w:val="0"/>
              <w:keepLines w:val="0"/>
              <w:widowControl/>
              <w:suppressLineNumbers w:val="0"/>
              <w:spacing w:line="36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序号</w:t>
            </w:r>
          </w:p>
        </w:tc>
        <w:tc>
          <w:tcPr>
            <w:tcW w:w="2160" w:type="dxa"/>
            <w:tcBorders>
              <w:top w:val="single" w:color="auto" w:sz="4" w:space="0"/>
              <w:left w:val="single" w:color="auto" w:sz="4" w:space="0"/>
              <w:bottom w:val="single" w:color="auto" w:sz="4" w:space="0"/>
              <w:right w:val="single" w:color="auto" w:sz="4" w:space="0"/>
            </w:tcBorders>
            <w:noWrap/>
            <w:vAlign w:val="center"/>
          </w:tcPr>
          <w:p w14:paraId="68080D75">
            <w:pPr>
              <w:keepNext w:val="0"/>
              <w:keepLines w:val="0"/>
              <w:widowControl/>
              <w:suppressLineNumbers w:val="0"/>
              <w:spacing w:line="36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项目</w:t>
            </w:r>
          </w:p>
        </w:tc>
        <w:tc>
          <w:tcPr>
            <w:tcW w:w="6351" w:type="dxa"/>
            <w:tcBorders>
              <w:top w:val="single" w:color="auto" w:sz="4" w:space="0"/>
              <w:left w:val="single" w:color="auto" w:sz="4" w:space="0"/>
              <w:bottom w:val="single" w:color="auto" w:sz="4" w:space="0"/>
              <w:right w:val="single" w:color="auto" w:sz="4" w:space="0"/>
            </w:tcBorders>
            <w:noWrap/>
            <w:vAlign w:val="center"/>
          </w:tcPr>
          <w:p w14:paraId="4211A612">
            <w:pPr>
              <w:keepNext w:val="0"/>
              <w:keepLines w:val="0"/>
              <w:widowControl/>
              <w:suppressLineNumbers w:val="0"/>
              <w:spacing w:line="36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临床意义</w:t>
            </w:r>
          </w:p>
        </w:tc>
      </w:tr>
      <w:tr w14:paraId="2EFA2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AE119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w:t>
            </w:r>
          </w:p>
        </w:tc>
        <w:tc>
          <w:tcPr>
            <w:tcW w:w="216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00A12D4B">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调查问卷</w:t>
            </w:r>
          </w:p>
        </w:tc>
        <w:tc>
          <w:tcPr>
            <w:tcW w:w="6351" w:type="dxa"/>
            <w:tcBorders>
              <w:top w:val="single" w:color="auto" w:sz="4" w:space="0"/>
              <w:left w:val="single" w:color="auto" w:sz="4" w:space="0"/>
              <w:bottom w:val="single" w:color="auto" w:sz="4" w:space="0"/>
              <w:right w:val="single" w:color="auto" w:sz="4" w:space="0"/>
            </w:tcBorders>
            <w:noWrap w:val="0"/>
            <w:vAlign w:val="center"/>
          </w:tcPr>
          <w:p w14:paraId="18D28DF6">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为医生提供全面的个人健康信息，实现个性化精准化的健康管理</w:t>
            </w:r>
          </w:p>
        </w:tc>
      </w:tr>
      <w:tr w14:paraId="2EFAC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8"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FC587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w:t>
            </w:r>
          </w:p>
        </w:tc>
        <w:tc>
          <w:tcPr>
            <w:tcW w:w="216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3FA502F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身高、体重、血压</w:t>
            </w:r>
          </w:p>
        </w:tc>
        <w:tc>
          <w:tcPr>
            <w:tcW w:w="6351" w:type="dxa"/>
            <w:tcBorders>
              <w:top w:val="single" w:color="auto" w:sz="4" w:space="0"/>
              <w:left w:val="single" w:color="auto" w:sz="4" w:space="0"/>
              <w:bottom w:val="single" w:color="auto" w:sz="4" w:space="0"/>
              <w:right w:val="single" w:color="auto" w:sz="4" w:space="0"/>
            </w:tcBorders>
            <w:noWrap w:val="0"/>
            <w:vAlign w:val="center"/>
          </w:tcPr>
          <w:p w14:paraId="49698A0E">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诊断高血压、超重、肥胖、消瘦并为相关科室的诊断提供重要的依据</w:t>
            </w:r>
          </w:p>
        </w:tc>
      </w:tr>
      <w:tr w14:paraId="4155B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8"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CE9E7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w:t>
            </w:r>
          </w:p>
        </w:tc>
        <w:tc>
          <w:tcPr>
            <w:tcW w:w="216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6218BE8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内科</w:t>
            </w:r>
          </w:p>
        </w:tc>
        <w:tc>
          <w:tcPr>
            <w:tcW w:w="6351" w:type="dxa"/>
            <w:tcBorders>
              <w:top w:val="single" w:color="auto" w:sz="4" w:space="0"/>
              <w:left w:val="single" w:color="auto" w:sz="4" w:space="0"/>
              <w:bottom w:val="single" w:color="auto" w:sz="4" w:space="0"/>
              <w:right w:val="single" w:color="auto" w:sz="4" w:space="0"/>
            </w:tcBorders>
            <w:noWrap w:val="0"/>
            <w:vAlign w:val="center"/>
          </w:tcPr>
          <w:p w14:paraId="462230A8">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询问既往病史，通过视、触、叩、听检查方法，评估心、肺、肝、脾等基本状况</w:t>
            </w:r>
          </w:p>
        </w:tc>
      </w:tr>
      <w:tr w14:paraId="480CC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D57D3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4</w:t>
            </w:r>
          </w:p>
        </w:tc>
        <w:tc>
          <w:tcPr>
            <w:tcW w:w="216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0F3D9EA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外科</w:t>
            </w:r>
          </w:p>
        </w:tc>
        <w:tc>
          <w:tcPr>
            <w:tcW w:w="6351" w:type="dxa"/>
            <w:tcBorders>
              <w:top w:val="single" w:color="auto" w:sz="4" w:space="0"/>
              <w:left w:val="single" w:color="auto" w:sz="4" w:space="0"/>
              <w:bottom w:val="single" w:color="auto" w:sz="4" w:space="0"/>
              <w:right w:val="single" w:color="auto" w:sz="4" w:space="0"/>
            </w:tcBorders>
            <w:noWrap w:val="0"/>
            <w:vAlign w:val="center"/>
          </w:tcPr>
          <w:p w14:paraId="10820D52">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检查淋巴结有无肿大，甲状腺、四肢脊柱有无畸形等</w:t>
            </w:r>
          </w:p>
        </w:tc>
      </w:tr>
      <w:tr w14:paraId="7FCFA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7E77A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5</w:t>
            </w:r>
          </w:p>
        </w:tc>
        <w:tc>
          <w:tcPr>
            <w:tcW w:w="216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45E0800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血细胞分析+五分类</w:t>
            </w:r>
          </w:p>
        </w:tc>
        <w:tc>
          <w:tcPr>
            <w:tcW w:w="6351" w:type="dxa"/>
            <w:tcBorders>
              <w:top w:val="single" w:color="auto" w:sz="4" w:space="0"/>
              <w:left w:val="single" w:color="auto" w:sz="4" w:space="0"/>
              <w:bottom w:val="single" w:color="auto" w:sz="4" w:space="0"/>
              <w:right w:val="single" w:color="auto" w:sz="4" w:space="0"/>
            </w:tcBorders>
            <w:noWrap w:val="0"/>
            <w:vAlign w:val="center"/>
          </w:tcPr>
          <w:p w14:paraId="591DD6D2">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有无感染、贫血、凝血功能障碍、血液病等</w:t>
            </w:r>
          </w:p>
        </w:tc>
      </w:tr>
      <w:tr w14:paraId="39684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A2273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6</w:t>
            </w:r>
          </w:p>
        </w:tc>
        <w:tc>
          <w:tcPr>
            <w:tcW w:w="216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1569B61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尿液分析+沉渣镜检</w:t>
            </w:r>
          </w:p>
        </w:tc>
        <w:tc>
          <w:tcPr>
            <w:tcW w:w="635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C15B87F">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泌尿系统感染、肾病、肝胆疾患、结石、糖尿病等多种疾病检查</w:t>
            </w:r>
          </w:p>
        </w:tc>
      </w:tr>
      <w:tr w14:paraId="58C12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F308C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7</w:t>
            </w:r>
          </w:p>
        </w:tc>
        <w:tc>
          <w:tcPr>
            <w:tcW w:w="216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FD668F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粪便常规+隐血试验</w:t>
            </w:r>
          </w:p>
        </w:tc>
        <w:tc>
          <w:tcPr>
            <w:tcW w:w="635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950AB98">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检测各种原因所致的消化道出血，消化道恶性肿瘤早期诊断的重要筛查指标</w:t>
            </w:r>
          </w:p>
        </w:tc>
      </w:tr>
      <w:tr w14:paraId="0A131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DF0E0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8</w:t>
            </w:r>
          </w:p>
        </w:tc>
        <w:tc>
          <w:tcPr>
            <w:tcW w:w="216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DECC8E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肝功九项</w:t>
            </w:r>
          </w:p>
        </w:tc>
        <w:tc>
          <w:tcPr>
            <w:tcW w:w="6351" w:type="dxa"/>
            <w:tcBorders>
              <w:top w:val="single" w:color="auto" w:sz="4" w:space="0"/>
              <w:left w:val="single" w:color="auto" w:sz="4" w:space="0"/>
              <w:bottom w:val="single" w:color="auto" w:sz="4" w:space="0"/>
              <w:right w:val="single" w:color="auto" w:sz="4" w:space="0"/>
            </w:tcBorders>
            <w:noWrap w:val="0"/>
            <w:vAlign w:val="center"/>
          </w:tcPr>
          <w:p w14:paraId="6DEFADE1">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Style w:val="9"/>
                <w:rFonts w:hint="eastAsia" w:ascii="楷体_GB2312" w:hAnsi="楷体_GB2312" w:eastAsia="楷体_GB2312" w:cs="楷体_GB2312"/>
                <w:sz w:val="24"/>
                <w:szCs w:val="24"/>
                <w:lang w:val="en-US" w:eastAsia="zh-CN" w:bidi="ar"/>
              </w:rPr>
              <w:t>反映肝脏功能，包括谷丙</w:t>
            </w:r>
            <w:r>
              <w:rPr>
                <w:rStyle w:val="10"/>
                <w:rFonts w:hint="eastAsia" w:ascii="楷体_GB2312" w:hAnsi="楷体_GB2312" w:eastAsia="楷体_GB2312" w:cs="楷体_GB2312"/>
                <w:sz w:val="24"/>
                <w:szCs w:val="24"/>
                <w:lang w:val="en-US" w:eastAsia="zh-CN" w:bidi="ar"/>
              </w:rPr>
              <w:t>/谷草转氨酶、胆红素等多项指标，与肝炎、肝硬化、黄疸等疾病有关</w:t>
            </w:r>
          </w:p>
        </w:tc>
      </w:tr>
      <w:tr w14:paraId="6D414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C287D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9</w:t>
            </w:r>
          </w:p>
        </w:tc>
        <w:tc>
          <w:tcPr>
            <w:tcW w:w="216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0405D56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肾功四项</w:t>
            </w:r>
          </w:p>
        </w:tc>
        <w:tc>
          <w:tcPr>
            <w:tcW w:w="6351" w:type="dxa"/>
            <w:tcBorders>
              <w:top w:val="single" w:color="auto" w:sz="4" w:space="0"/>
              <w:left w:val="single" w:color="auto" w:sz="4" w:space="0"/>
              <w:bottom w:val="single" w:color="auto" w:sz="4" w:space="0"/>
              <w:right w:val="single" w:color="auto" w:sz="4" w:space="0"/>
            </w:tcBorders>
            <w:noWrap w:val="0"/>
            <w:vAlign w:val="center"/>
          </w:tcPr>
          <w:p w14:paraId="3F61D3D5">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反应肾功能不全、痛风等疾病</w:t>
            </w:r>
          </w:p>
        </w:tc>
      </w:tr>
      <w:tr w14:paraId="5CE46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9E593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10</w:t>
            </w:r>
          </w:p>
        </w:tc>
        <w:tc>
          <w:tcPr>
            <w:tcW w:w="216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43C18E3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血脂四项</w:t>
            </w:r>
          </w:p>
        </w:tc>
        <w:tc>
          <w:tcPr>
            <w:tcW w:w="6351" w:type="dxa"/>
            <w:tcBorders>
              <w:top w:val="single" w:color="auto" w:sz="4" w:space="0"/>
              <w:left w:val="single" w:color="auto" w:sz="4" w:space="0"/>
              <w:bottom w:val="single" w:color="auto" w:sz="4" w:space="0"/>
              <w:right w:val="single" w:color="auto" w:sz="4" w:space="0"/>
            </w:tcBorders>
            <w:noWrap w:val="0"/>
            <w:vAlign w:val="center"/>
          </w:tcPr>
          <w:p w14:paraId="3B05F623">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反映甘油三酯、总胆固醇等有无异常、对心脑血管疾病诊断及治疗有重要意义</w:t>
            </w:r>
          </w:p>
        </w:tc>
      </w:tr>
      <w:tr w14:paraId="6C2C7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6AA6F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11</w:t>
            </w:r>
          </w:p>
        </w:tc>
        <w:tc>
          <w:tcPr>
            <w:tcW w:w="216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416563A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葡萄糖测定 空腹</w:t>
            </w:r>
          </w:p>
        </w:tc>
        <w:tc>
          <w:tcPr>
            <w:tcW w:w="6351" w:type="dxa"/>
            <w:tcBorders>
              <w:top w:val="single" w:color="auto" w:sz="4" w:space="0"/>
              <w:left w:val="single" w:color="auto" w:sz="4" w:space="0"/>
              <w:bottom w:val="single" w:color="auto" w:sz="4" w:space="0"/>
              <w:right w:val="single" w:color="auto" w:sz="4" w:space="0"/>
            </w:tcBorders>
            <w:noWrap w:val="0"/>
            <w:vAlign w:val="center"/>
          </w:tcPr>
          <w:p w14:paraId="333D7BA4">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了解血糖情况，空腹血糖是诊断糖代谢紊乱的重要指标</w:t>
            </w:r>
          </w:p>
        </w:tc>
      </w:tr>
      <w:tr w14:paraId="0F661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7EEF3B">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12</w:t>
            </w:r>
          </w:p>
        </w:tc>
        <w:tc>
          <w:tcPr>
            <w:tcW w:w="216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734A826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甲功五项</w:t>
            </w:r>
          </w:p>
        </w:tc>
        <w:tc>
          <w:tcPr>
            <w:tcW w:w="6351" w:type="dxa"/>
            <w:tcBorders>
              <w:top w:val="single" w:color="auto" w:sz="4" w:space="0"/>
              <w:left w:val="single" w:color="auto" w:sz="4" w:space="0"/>
              <w:bottom w:val="single" w:color="auto" w:sz="4" w:space="0"/>
              <w:right w:val="single" w:color="auto" w:sz="4" w:space="0"/>
            </w:tcBorders>
            <w:noWrap w:val="0"/>
            <w:vAlign w:val="center"/>
          </w:tcPr>
          <w:p w14:paraId="0B21CEBA">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诊断甲状腺功能亢进症或甲状腺功能低下的灵敏指标与疗效检测，甲状腺疾病与非甲状腺疾病的鉴别依据</w:t>
            </w:r>
          </w:p>
        </w:tc>
      </w:tr>
      <w:tr w14:paraId="052E0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6BC43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13</w:t>
            </w:r>
          </w:p>
        </w:tc>
        <w:tc>
          <w:tcPr>
            <w:tcW w:w="216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6D8F816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糖化血红蛋白</w:t>
            </w:r>
          </w:p>
        </w:tc>
        <w:tc>
          <w:tcPr>
            <w:tcW w:w="6351" w:type="dxa"/>
            <w:tcBorders>
              <w:top w:val="single" w:color="auto" w:sz="4" w:space="0"/>
              <w:left w:val="single" w:color="auto" w:sz="4" w:space="0"/>
              <w:bottom w:val="single" w:color="auto" w:sz="4" w:space="0"/>
              <w:right w:val="single" w:color="auto" w:sz="4" w:space="0"/>
            </w:tcBorders>
            <w:noWrap w:val="0"/>
            <w:vAlign w:val="center"/>
          </w:tcPr>
          <w:p w14:paraId="1F003A8B">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反映采血前2-3个月之内的平均血糖水平，是糖尿病筛查和了解糖尿病控制情况的一个重要指标</w:t>
            </w:r>
          </w:p>
        </w:tc>
      </w:tr>
      <w:tr w14:paraId="30557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94DDC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14</w:t>
            </w:r>
          </w:p>
        </w:tc>
        <w:tc>
          <w:tcPr>
            <w:tcW w:w="216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FF9B8F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心肌酶谱</w:t>
            </w:r>
          </w:p>
        </w:tc>
        <w:tc>
          <w:tcPr>
            <w:tcW w:w="6351" w:type="dxa"/>
            <w:tcBorders>
              <w:top w:val="single" w:color="auto" w:sz="4" w:space="0"/>
              <w:left w:val="single" w:color="auto" w:sz="4" w:space="0"/>
              <w:bottom w:val="single" w:color="auto" w:sz="4" w:space="0"/>
              <w:right w:val="single" w:color="auto" w:sz="4" w:space="0"/>
            </w:tcBorders>
            <w:noWrap w:val="0"/>
            <w:vAlign w:val="center"/>
          </w:tcPr>
          <w:p w14:paraId="478CAFB7">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反应急性或慢性心肌损伤</w:t>
            </w:r>
          </w:p>
        </w:tc>
      </w:tr>
      <w:tr w14:paraId="41676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A6D53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15</w:t>
            </w:r>
          </w:p>
        </w:tc>
        <w:tc>
          <w:tcPr>
            <w:tcW w:w="216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431466C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血同型半胱氨酸测定</w:t>
            </w:r>
          </w:p>
        </w:tc>
        <w:tc>
          <w:tcPr>
            <w:tcW w:w="6351" w:type="dxa"/>
            <w:tcBorders>
              <w:top w:val="single" w:color="auto" w:sz="4" w:space="0"/>
              <w:left w:val="single" w:color="auto" w:sz="4" w:space="0"/>
              <w:bottom w:val="single" w:color="auto" w:sz="4" w:space="0"/>
              <w:right w:val="single" w:color="auto" w:sz="4" w:space="0"/>
            </w:tcBorders>
            <w:noWrap w:val="0"/>
            <w:vAlign w:val="center"/>
          </w:tcPr>
          <w:p w14:paraId="35A9A58A">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预测急性心脑血管事件的独立危险因素</w:t>
            </w:r>
          </w:p>
        </w:tc>
      </w:tr>
      <w:tr w14:paraId="1751D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0A89C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16</w:t>
            </w:r>
          </w:p>
        </w:tc>
        <w:tc>
          <w:tcPr>
            <w:tcW w:w="216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62267AE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甲胎蛋白AFP定量</w:t>
            </w:r>
          </w:p>
        </w:tc>
        <w:tc>
          <w:tcPr>
            <w:tcW w:w="635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FFC3CC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用于肝脏等炎症或肿瘤的辅助诊断，及治疗前后的对比监测</w:t>
            </w:r>
          </w:p>
        </w:tc>
      </w:tr>
      <w:tr w14:paraId="1A718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29503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17</w:t>
            </w:r>
          </w:p>
        </w:tc>
        <w:tc>
          <w:tcPr>
            <w:tcW w:w="216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1356557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癌胚抗原CEA定量</w:t>
            </w:r>
          </w:p>
        </w:tc>
        <w:tc>
          <w:tcPr>
            <w:tcW w:w="635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B06C825">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用于结直肠、乳腺、肺等炎症或肿瘤的辅助诊断，及治疗前后的对比监测</w:t>
            </w:r>
          </w:p>
        </w:tc>
      </w:tr>
      <w:tr w14:paraId="278B2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0552C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18</w:t>
            </w:r>
          </w:p>
        </w:tc>
        <w:tc>
          <w:tcPr>
            <w:tcW w:w="216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78CC20D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糖类抗原CA-199（胰腺）</w:t>
            </w:r>
          </w:p>
        </w:tc>
        <w:tc>
          <w:tcPr>
            <w:tcW w:w="635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BE04968">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用于胰腺、结直肠、肝胆、胃等炎症或肿瘤的辅助诊断，及治疗前后的对比监测</w:t>
            </w:r>
          </w:p>
        </w:tc>
      </w:tr>
      <w:tr w14:paraId="404CA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A6ADD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19</w:t>
            </w:r>
          </w:p>
        </w:tc>
        <w:tc>
          <w:tcPr>
            <w:tcW w:w="216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49EC745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糖类抗原CA72-4（消化道）</w:t>
            </w:r>
          </w:p>
        </w:tc>
        <w:tc>
          <w:tcPr>
            <w:tcW w:w="635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C254332">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用于胃、肠道、卵巢等炎症或肿瘤的辅助诊断，及治疗前后的对比监测</w:t>
            </w:r>
          </w:p>
        </w:tc>
      </w:tr>
      <w:tr w14:paraId="5E9BD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E0D50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20</w:t>
            </w:r>
          </w:p>
        </w:tc>
        <w:tc>
          <w:tcPr>
            <w:tcW w:w="216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2904B4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总前列腺特异性抗原</w:t>
            </w:r>
          </w:p>
        </w:tc>
        <w:tc>
          <w:tcPr>
            <w:tcW w:w="635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8A82619">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用于前列腺炎症或肿瘤的辅助诊断，及治疗前后的对比监测</w:t>
            </w:r>
          </w:p>
        </w:tc>
      </w:tr>
      <w:tr w14:paraId="0A882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616DA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21</w:t>
            </w:r>
          </w:p>
        </w:tc>
        <w:tc>
          <w:tcPr>
            <w:tcW w:w="216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537DFC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游离前列腺特异性抗原</w:t>
            </w:r>
          </w:p>
        </w:tc>
        <w:tc>
          <w:tcPr>
            <w:tcW w:w="635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1358CDB">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用于前列腺炎症或肿瘤的辅助诊断，及治疗前后的对比监测</w:t>
            </w:r>
          </w:p>
        </w:tc>
      </w:tr>
      <w:tr w14:paraId="7B000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55BDF64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22</w:t>
            </w:r>
          </w:p>
        </w:tc>
        <w:tc>
          <w:tcPr>
            <w:tcW w:w="2160" w:type="dxa"/>
            <w:tcBorders>
              <w:top w:val="single" w:color="auto" w:sz="4" w:space="0"/>
              <w:left w:val="single" w:color="auto" w:sz="4" w:space="0"/>
              <w:bottom w:val="single" w:color="auto" w:sz="4" w:space="0"/>
              <w:right w:val="single" w:color="auto" w:sz="4" w:space="0"/>
            </w:tcBorders>
            <w:noWrap/>
            <w:vAlign w:val="center"/>
          </w:tcPr>
          <w:p w14:paraId="30AF892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肝、胆、胰、脾</w:t>
            </w:r>
          </w:p>
        </w:tc>
        <w:tc>
          <w:tcPr>
            <w:tcW w:w="6351" w:type="dxa"/>
            <w:tcBorders>
              <w:top w:val="single" w:color="auto" w:sz="4" w:space="0"/>
              <w:left w:val="single" w:color="auto" w:sz="4" w:space="0"/>
              <w:bottom w:val="single" w:color="auto" w:sz="4" w:space="0"/>
              <w:right w:val="single" w:color="auto" w:sz="4" w:space="0"/>
            </w:tcBorders>
            <w:noWrap w:val="0"/>
            <w:vAlign w:val="center"/>
          </w:tcPr>
          <w:p w14:paraId="5C543EF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通过彩色超声检查肝脏、胆囊、胰腺、脾脏器官的形态及病理改变（如肿瘤、结石、脂肪肝、肝硬化等）</w:t>
            </w:r>
          </w:p>
        </w:tc>
      </w:tr>
      <w:tr w14:paraId="7618B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3"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5160F930">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23</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580FE10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男性泌尿系</w:t>
            </w:r>
            <w:r>
              <w:rPr>
                <w:rFonts w:hint="eastAsia" w:ascii="楷体_GB2312" w:hAnsi="楷体_GB2312" w:eastAsia="楷体_GB2312" w:cs="楷体_GB2312"/>
                <w:i w:val="0"/>
                <w:iCs w:val="0"/>
                <w:color w:val="000000"/>
                <w:kern w:val="0"/>
                <w:sz w:val="24"/>
                <w:szCs w:val="24"/>
                <w:u w:val="none"/>
                <w:lang w:val="en-US" w:eastAsia="zh-CN" w:bidi="ar"/>
              </w:rPr>
              <w:br w:type="textWrapping"/>
            </w:r>
            <w:r>
              <w:rPr>
                <w:rFonts w:hint="eastAsia" w:ascii="楷体_GB2312" w:hAnsi="楷体_GB2312" w:eastAsia="楷体_GB2312" w:cs="楷体_GB2312"/>
                <w:i w:val="0"/>
                <w:iCs w:val="0"/>
                <w:color w:val="000000"/>
                <w:kern w:val="0"/>
                <w:sz w:val="24"/>
                <w:szCs w:val="24"/>
                <w:u w:val="none"/>
                <w:lang w:val="en-US" w:eastAsia="zh-CN" w:bidi="ar"/>
              </w:rPr>
              <w:t>（双肾、输尿管、膀胱、前列腺）</w:t>
            </w:r>
          </w:p>
        </w:tc>
        <w:tc>
          <w:tcPr>
            <w:tcW w:w="6351" w:type="dxa"/>
            <w:tcBorders>
              <w:top w:val="single" w:color="auto" w:sz="4" w:space="0"/>
              <w:left w:val="single" w:color="auto" w:sz="4" w:space="0"/>
              <w:bottom w:val="single" w:color="auto" w:sz="4" w:space="0"/>
              <w:right w:val="single" w:color="auto" w:sz="4" w:space="0"/>
            </w:tcBorders>
            <w:noWrap w:val="0"/>
            <w:vAlign w:val="center"/>
          </w:tcPr>
          <w:p w14:paraId="3F19FBD8">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通过彩色超声检查肾脏、前列腺、膀胱内脏器官的形态及病理改变（如肿瘤、结石、前列腺增生及肥大等）</w:t>
            </w:r>
          </w:p>
        </w:tc>
      </w:tr>
      <w:tr w14:paraId="2C543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1EBC1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24</w:t>
            </w:r>
          </w:p>
        </w:tc>
        <w:tc>
          <w:tcPr>
            <w:tcW w:w="21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49515B">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甲状腺</w:t>
            </w:r>
          </w:p>
        </w:tc>
        <w:tc>
          <w:tcPr>
            <w:tcW w:w="635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6566D09">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通过彩色超声检查甲状腺器官的形态及病理改变（如肿瘤、结节等病变）</w:t>
            </w:r>
          </w:p>
        </w:tc>
      </w:tr>
      <w:tr w14:paraId="6EE35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8"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57B3B5E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25</w:t>
            </w:r>
          </w:p>
        </w:tc>
        <w:tc>
          <w:tcPr>
            <w:tcW w:w="2160" w:type="dxa"/>
            <w:tcBorders>
              <w:top w:val="single" w:color="auto" w:sz="4" w:space="0"/>
              <w:left w:val="single" w:color="auto" w:sz="4" w:space="0"/>
              <w:bottom w:val="single" w:color="auto" w:sz="4" w:space="0"/>
              <w:right w:val="single" w:color="auto" w:sz="4" w:space="0"/>
            </w:tcBorders>
            <w:noWrap/>
            <w:vAlign w:val="center"/>
          </w:tcPr>
          <w:p w14:paraId="51704450">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颈部血管</w:t>
            </w:r>
          </w:p>
        </w:tc>
        <w:tc>
          <w:tcPr>
            <w:tcW w:w="6351" w:type="dxa"/>
            <w:tcBorders>
              <w:top w:val="single" w:color="auto" w:sz="4" w:space="0"/>
              <w:left w:val="single" w:color="auto" w:sz="4" w:space="0"/>
              <w:bottom w:val="single" w:color="auto" w:sz="4" w:space="0"/>
              <w:right w:val="single" w:color="auto" w:sz="4" w:space="0"/>
            </w:tcBorders>
            <w:noWrap w:val="0"/>
            <w:vAlign w:val="center"/>
          </w:tcPr>
          <w:p w14:paraId="053B4F18">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检查颈动脉有无硬化有无斑块形成及斑块的性质，动脉狭窄的程度等</w:t>
            </w:r>
          </w:p>
        </w:tc>
      </w:tr>
      <w:tr w14:paraId="39534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4B6DF6E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26</w:t>
            </w:r>
          </w:p>
        </w:tc>
        <w:tc>
          <w:tcPr>
            <w:tcW w:w="2160" w:type="dxa"/>
            <w:tcBorders>
              <w:top w:val="single" w:color="auto" w:sz="4" w:space="0"/>
              <w:left w:val="single" w:color="auto" w:sz="4" w:space="0"/>
              <w:bottom w:val="single" w:color="auto" w:sz="4" w:space="0"/>
              <w:right w:val="single" w:color="auto" w:sz="4" w:space="0"/>
            </w:tcBorders>
            <w:noWrap/>
            <w:vAlign w:val="center"/>
          </w:tcPr>
          <w:p w14:paraId="33B0B04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心脏彩超</w:t>
            </w:r>
          </w:p>
        </w:tc>
        <w:tc>
          <w:tcPr>
            <w:tcW w:w="6351" w:type="dxa"/>
            <w:tcBorders>
              <w:top w:val="single" w:color="auto" w:sz="4" w:space="0"/>
              <w:left w:val="single" w:color="auto" w:sz="4" w:space="0"/>
              <w:bottom w:val="single" w:color="auto" w:sz="4" w:space="0"/>
              <w:right w:val="single" w:color="auto" w:sz="4" w:space="0"/>
            </w:tcBorders>
            <w:noWrap w:val="0"/>
            <w:vAlign w:val="center"/>
          </w:tcPr>
          <w:p w14:paraId="4944B240">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了解心脏各腔室、心肌厚度、瓣膜形态和活动及心脏的功能，为心脏瓣膜病、心肌病、高血压性心脏病、管状动脉粥样硬化性心脏病、心包疾病、先天性心脏病的诊断与治疗追踪提供依据</w:t>
            </w:r>
          </w:p>
        </w:tc>
      </w:tr>
      <w:tr w14:paraId="285E9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07AD9F2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27</w:t>
            </w:r>
          </w:p>
        </w:tc>
        <w:tc>
          <w:tcPr>
            <w:tcW w:w="2160" w:type="dxa"/>
            <w:tcBorders>
              <w:top w:val="single" w:color="auto" w:sz="4" w:space="0"/>
              <w:left w:val="single" w:color="auto" w:sz="4" w:space="0"/>
              <w:bottom w:val="single" w:color="auto" w:sz="4" w:space="0"/>
              <w:right w:val="single" w:color="auto" w:sz="4" w:space="0"/>
            </w:tcBorders>
            <w:noWrap/>
            <w:vAlign w:val="center"/>
          </w:tcPr>
          <w:p w14:paraId="6AC0D88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常规心电图检查</w:t>
            </w:r>
          </w:p>
        </w:tc>
        <w:tc>
          <w:tcPr>
            <w:tcW w:w="6351" w:type="dxa"/>
            <w:tcBorders>
              <w:top w:val="single" w:color="auto" w:sz="4" w:space="0"/>
              <w:left w:val="single" w:color="auto" w:sz="4" w:space="0"/>
              <w:bottom w:val="single" w:color="auto" w:sz="4" w:space="0"/>
              <w:right w:val="single" w:color="auto" w:sz="4" w:space="0"/>
            </w:tcBorders>
            <w:noWrap w:val="0"/>
            <w:vAlign w:val="center"/>
          </w:tcPr>
          <w:p w14:paraId="06A432B0">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辅助诊断心律失常、心肌缺血、心肌梗死等</w:t>
            </w:r>
          </w:p>
        </w:tc>
      </w:tr>
      <w:tr w14:paraId="0633E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79007A1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28</w:t>
            </w:r>
          </w:p>
        </w:tc>
        <w:tc>
          <w:tcPr>
            <w:tcW w:w="2160" w:type="dxa"/>
            <w:tcBorders>
              <w:top w:val="single" w:color="auto" w:sz="4" w:space="0"/>
              <w:left w:val="single" w:color="auto" w:sz="4" w:space="0"/>
              <w:bottom w:val="single" w:color="auto" w:sz="4" w:space="0"/>
              <w:right w:val="single" w:color="auto" w:sz="4" w:space="0"/>
            </w:tcBorders>
            <w:noWrap/>
            <w:vAlign w:val="center"/>
          </w:tcPr>
          <w:p w14:paraId="6AE132E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碳13尿素呼气试验</w:t>
            </w:r>
          </w:p>
        </w:tc>
        <w:tc>
          <w:tcPr>
            <w:tcW w:w="6351" w:type="dxa"/>
            <w:tcBorders>
              <w:top w:val="single" w:color="auto" w:sz="4" w:space="0"/>
              <w:left w:val="single" w:color="auto" w:sz="4" w:space="0"/>
              <w:bottom w:val="single" w:color="auto" w:sz="4" w:space="0"/>
              <w:right w:val="single" w:color="auto" w:sz="4" w:space="0"/>
            </w:tcBorders>
            <w:noWrap w:val="0"/>
            <w:vAlign w:val="center"/>
          </w:tcPr>
          <w:p w14:paraId="3662A95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检测是否感染幽门螺旋杆菌，对消化性溃疡、慢性活动性胃炎、胃癌等消化系统疾病有辅助诊断作用</w:t>
            </w:r>
          </w:p>
        </w:tc>
      </w:tr>
      <w:tr w14:paraId="1FB78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5" w:hRule="atLeast"/>
          <w:jc w:val="center"/>
        </w:trPr>
        <w:tc>
          <w:tcPr>
            <w:tcW w:w="792" w:type="dxa"/>
            <w:tcBorders>
              <w:top w:val="single" w:color="auto" w:sz="4" w:space="0"/>
              <w:left w:val="single" w:color="auto" w:sz="4" w:space="0"/>
              <w:bottom w:val="single" w:color="auto" w:sz="4" w:space="0"/>
              <w:right w:val="single" w:color="auto" w:sz="4" w:space="0"/>
            </w:tcBorders>
            <w:noWrap/>
            <w:vAlign w:val="center"/>
          </w:tcPr>
          <w:p w14:paraId="2C342A2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29</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6CE5A02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胸部CT（不含片）</w:t>
            </w:r>
          </w:p>
        </w:tc>
        <w:tc>
          <w:tcPr>
            <w:tcW w:w="6351" w:type="dxa"/>
            <w:tcBorders>
              <w:top w:val="single" w:color="auto" w:sz="4" w:space="0"/>
              <w:left w:val="single" w:color="auto" w:sz="4" w:space="0"/>
              <w:bottom w:val="single" w:color="auto" w:sz="4" w:space="0"/>
              <w:right w:val="single" w:color="auto" w:sz="4" w:space="0"/>
            </w:tcBorders>
            <w:noWrap w:val="0"/>
            <w:vAlign w:val="center"/>
          </w:tcPr>
          <w:p w14:paraId="4FE1889F">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通过断层成像技术，快速精准地显示人体内部结构，帮助医生明确病变位置、范围、性质、为疾病诊断、治疗计划及疗效评估提供关键依据。（如肿瘤、外伤、血管病变等）</w:t>
            </w:r>
          </w:p>
        </w:tc>
      </w:tr>
    </w:tbl>
    <w:p w14:paraId="48AFE6B7">
      <w:pPr>
        <w:spacing w:line="360" w:lineRule="auto"/>
        <w:jc w:val="center"/>
        <w:rPr>
          <w:rFonts w:hint="eastAsia" w:ascii="仿宋" w:hAnsi="仿宋" w:eastAsia="仿宋"/>
          <w:b/>
          <w:bCs/>
          <w:sz w:val="32"/>
          <w:szCs w:val="32"/>
          <w:lang w:val="en-US" w:eastAsia="zh-CN"/>
        </w:rPr>
      </w:pPr>
    </w:p>
    <w:p w14:paraId="4127C8CD">
      <w:pPr>
        <w:spacing w:line="360" w:lineRule="auto"/>
        <w:jc w:val="center"/>
        <w:rPr>
          <w:rFonts w:hint="eastAsia" w:ascii="楷体_GB2312" w:hAnsi="楷体_GB2312" w:eastAsia="楷体_GB2312" w:cs="楷体_GB2312"/>
          <w:sz w:val="24"/>
          <w:szCs w:val="24"/>
        </w:rPr>
      </w:pPr>
      <w:r>
        <w:rPr>
          <w:rFonts w:hint="eastAsia" w:ascii="仿宋" w:hAnsi="仿宋" w:eastAsia="仿宋"/>
          <w:b/>
          <w:bCs/>
          <w:sz w:val="32"/>
          <w:szCs w:val="32"/>
          <w:lang w:val="en-US" w:eastAsia="zh-CN"/>
        </w:rPr>
        <w:t>表二：＞40岁男性</w:t>
      </w:r>
    </w:p>
    <w:tbl>
      <w:tblPr>
        <w:tblStyle w:val="5"/>
        <w:tblW w:w="947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05"/>
        <w:gridCol w:w="2626"/>
        <w:gridCol w:w="6142"/>
      </w:tblGrid>
      <w:tr w14:paraId="5A9F0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auto" w:sz="4" w:space="0"/>
              <w:left w:val="single" w:color="auto" w:sz="4" w:space="0"/>
              <w:bottom w:val="single" w:color="auto" w:sz="4" w:space="0"/>
              <w:right w:val="single" w:color="auto" w:sz="4" w:space="0"/>
            </w:tcBorders>
            <w:noWrap/>
            <w:vAlign w:val="center"/>
          </w:tcPr>
          <w:p w14:paraId="657F5EB8">
            <w:pPr>
              <w:keepNext w:val="0"/>
              <w:keepLines w:val="0"/>
              <w:widowControl/>
              <w:suppressLineNumbers w:val="0"/>
              <w:spacing w:line="24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序号</w:t>
            </w:r>
          </w:p>
        </w:tc>
        <w:tc>
          <w:tcPr>
            <w:tcW w:w="2626" w:type="dxa"/>
            <w:tcBorders>
              <w:top w:val="single" w:color="auto" w:sz="4" w:space="0"/>
              <w:left w:val="single" w:color="auto" w:sz="4" w:space="0"/>
              <w:bottom w:val="single" w:color="auto" w:sz="4" w:space="0"/>
              <w:right w:val="single" w:color="auto" w:sz="4" w:space="0"/>
            </w:tcBorders>
            <w:noWrap/>
            <w:vAlign w:val="center"/>
          </w:tcPr>
          <w:p w14:paraId="32F79226">
            <w:pPr>
              <w:keepNext w:val="0"/>
              <w:keepLines w:val="0"/>
              <w:widowControl/>
              <w:suppressLineNumbers w:val="0"/>
              <w:spacing w:line="24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项目</w:t>
            </w:r>
          </w:p>
        </w:tc>
        <w:tc>
          <w:tcPr>
            <w:tcW w:w="6142" w:type="dxa"/>
            <w:tcBorders>
              <w:top w:val="single" w:color="auto" w:sz="4" w:space="0"/>
              <w:left w:val="single" w:color="auto" w:sz="4" w:space="0"/>
              <w:bottom w:val="single" w:color="auto" w:sz="4" w:space="0"/>
              <w:right w:val="single" w:color="auto" w:sz="4" w:space="0"/>
            </w:tcBorders>
            <w:noWrap/>
            <w:vAlign w:val="center"/>
          </w:tcPr>
          <w:p w14:paraId="0412E550">
            <w:pPr>
              <w:keepNext w:val="0"/>
              <w:keepLines w:val="0"/>
              <w:widowControl/>
              <w:suppressLineNumbers w:val="0"/>
              <w:spacing w:line="24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临床意义</w:t>
            </w:r>
          </w:p>
        </w:tc>
      </w:tr>
      <w:tr w14:paraId="03A9B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 w:hRule="atLeast"/>
          <w:jc w:val="center"/>
        </w:trPr>
        <w:tc>
          <w:tcPr>
            <w:tcW w:w="70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C54B5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w:t>
            </w:r>
          </w:p>
        </w:tc>
        <w:tc>
          <w:tcPr>
            <w:tcW w:w="2626"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7157B40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调查问卷</w:t>
            </w:r>
          </w:p>
        </w:tc>
        <w:tc>
          <w:tcPr>
            <w:tcW w:w="6142" w:type="dxa"/>
            <w:tcBorders>
              <w:top w:val="single" w:color="auto" w:sz="4" w:space="0"/>
              <w:left w:val="single" w:color="auto" w:sz="4" w:space="0"/>
              <w:bottom w:val="single" w:color="auto" w:sz="4" w:space="0"/>
              <w:right w:val="single" w:color="auto" w:sz="4" w:space="0"/>
            </w:tcBorders>
            <w:noWrap w:val="0"/>
            <w:vAlign w:val="center"/>
          </w:tcPr>
          <w:p w14:paraId="73A8DB7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为医生提供全面的个人健康信息，实现个性化精准化的健康管理</w:t>
            </w:r>
          </w:p>
        </w:tc>
      </w:tr>
      <w:tr w14:paraId="4E51E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 w:hRule="atLeast"/>
          <w:jc w:val="center"/>
        </w:trPr>
        <w:tc>
          <w:tcPr>
            <w:tcW w:w="705"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549853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w:t>
            </w:r>
          </w:p>
        </w:tc>
        <w:tc>
          <w:tcPr>
            <w:tcW w:w="2626" w:type="dxa"/>
            <w:tcBorders>
              <w:top w:val="single" w:color="auto" w:sz="4" w:space="0"/>
              <w:left w:val="single" w:color="000000" w:sz="4" w:space="0"/>
              <w:bottom w:val="single" w:color="000000" w:sz="4" w:space="0"/>
              <w:right w:val="single" w:color="000000" w:sz="4" w:space="0"/>
            </w:tcBorders>
            <w:shd w:val="clear" w:color="auto" w:fill="FFFFFF"/>
            <w:noWrap/>
            <w:vAlign w:val="center"/>
          </w:tcPr>
          <w:p w14:paraId="16B0AA8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身高、体重、血压</w:t>
            </w:r>
          </w:p>
        </w:tc>
        <w:tc>
          <w:tcPr>
            <w:tcW w:w="6142" w:type="dxa"/>
            <w:tcBorders>
              <w:top w:val="single" w:color="auto" w:sz="4" w:space="0"/>
              <w:left w:val="single" w:color="000000" w:sz="4" w:space="0"/>
              <w:bottom w:val="single" w:color="000000" w:sz="4" w:space="0"/>
              <w:right w:val="single" w:color="auto" w:sz="4" w:space="0"/>
            </w:tcBorders>
            <w:noWrap w:val="0"/>
            <w:vAlign w:val="center"/>
          </w:tcPr>
          <w:p w14:paraId="322A5FCA">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诊断高血压、超重、肥胖、消瘦并为相关科室的诊断提供重要的依据</w:t>
            </w:r>
          </w:p>
        </w:tc>
      </w:tr>
      <w:tr w14:paraId="45671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 w:hRule="atLeast"/>
          <w:jc w:val="center"/>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F4E2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w:t>
            </w:r>
          </w:p>
        </w:tc>
        <w:tc>
          <w:tcPr>
            <w:tcW w:w="26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E8093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内科</w:t>
            </w:r>
          </w:p>
        </w:tc>
        <w:tc>
          <w:tcPr>
            <w:tcW w:w="6142" w:type="dxa"/>
            <w:tcBorders>
              <w:top w:val="single" w:color="000000" w:sz="4" w:space="0"/>
              <w:left w:val="single" w:color="000000" w:sz="4" w:space="0"/>
              <w:bottom w:val="single" w:color="000000" w:sz="4" w:space="0"/>
              <w:right w:val="single" w:color="auto" w:sz="4" w:space="0"/>
            </w:tcBorders>
            <w:noWrap w:val="0"/>
            <w:vAlign w:val="center"/>
          </w:tcPr>
          <w:p w14:paraId="47C39CF2">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询问既往病史，通过视、触、叩、听检查方法，评估心、肺、肝、脾等基本状况</w:t>
            </w:r>
          </w:p>
        </w:tc>
      </w:tr>
      <w:tr w14:paraId="26FBB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414F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4</w:t>
            </w:r>
          </w:p>
        </w:tc>
        <w:tc>
          <w:tcPr>
            <w:tcW w:w="26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B37B1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外科</w:t>
            </w:r>
          </w:p>
        </w:tc>
        <w:tc>
          <w:tcPr>
            <w:tcW w:w="6142" w:type="dxa"/>
            <w:tcBorders>
              <w:top w:val="single" w:color="000000" w:sz="4" w:space="0"/>
              <w:left w:val="single" w:color="000000" w:sz="4" w:space="0"/>
              <w:bottom w:val="single" w:color="000000" w:sz="4" w:space="0"/>
              <w:right w:val="single" w:color="auto" w:sz="4" w:space="0"/>
            </w:tcBorders>
            <w:noWrap w:val="0"/>
            <w:vAlign w:val="center"/>
          </w:tcPr>
          <w:p w14:paraId="40DB713F">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检查淋巴结有无肿大，甲状腺、四肢脊柱有无畸形等</w:t>
            </w:r>
          </w:p>
        </w:tc>
      </w:tr>
      <w:tr w14:paraId="5A509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21F3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5</w:t>
            </w:r>
          </w:p>
        </w:tc>
        <w:tc>
          <w:tcPr>
            <w:tcW w:w="26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0FAB1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血细胞分析+五分类</w:t>
            </w:r>
          </w:p>
        </w:tc>
        <w:tc>
          <w:tcPr>
            <w:tcW w:w="6142" w:type="dxa"/>
            <w:tcBorders>
              <w:top w:val="single" w:color="000000" w:sz="4" w:space="0"/>
              <w:left w:val="single" w:color="000000" w:sz="4" w:space="0"/>
              <w:bottom w:val="single" w:color="000000" w:sz="4" w:space="0"/>
              <w:right w:val="single" w:color="auto" w:sz="4" w:space="0"/>
            </w:tcBorders>
            <w:noWrap w:val="0"/>
            <w:vAlign w:val="center"/>
          </w:tcPr>
          <w:p w14:paraId="11C4AD09">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有无感染、贫血、凝血功能障碍、血液病等</w:t>
            </w:r>
          </w:p>
        </w:tc>
      </w:tr>
      <w:tr w14:paraId="6E078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 w:hRule="atLeast"/>
          <w:jc w:val="center"/>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09CA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6</w:t>
            </w:r>
          </w:p>
        </w:tc>
        <w:tc>
          <w:tcPr>
            <w:tcW w:w="26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169C5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尿液分析+沉渣镜检</w:t>
            </w:r>
          </w:p>
        </w:tc>
        <w:tc>
          <w:tcPr>
            <w:tcW w:w="614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47CB3057">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泌尿系统感染、肾病、肝胆疾患、结石、糖尿病等多种疾病检查</w:t>
            </w:r>
          </w:p>
        </w:tc>
      </w:tr>
      <w:tr w14:paraId="39FEE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 w:hRule="atLeast"/>
          <w:jc w:val="center"/>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B38D0">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7</w:t>
            </w:r>
          </w:p>
        </w:tc>
        <w:tc>
          <w:tcPr>
            <w:tcW w:w="26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2F91F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粪便常规+隐血试验</w:t>
            </w:r>
          </w:p>
        </w:tc>
        <w:tc>
          <w:tcPr>
            <w:tcW w:w="614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7E8C2938">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检测各种原因所致的消化道出血，消化道恶性肿瘤早期诊断的重要筛查指标</w:t>
            </w:r>
          </w:p>
        </w:tc>
      </w:tr>
      <w:tr w14:paraId="1937E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 w:hRule="atLeast"/>
          <w:jc w:val="center"/>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F59E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8</w:t>
            </w:r>
          </w:p>
        </w:tc>
        <w:tc>
          <w:tcPr>
            <w:tcW w:w="26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06E92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肝功九项</w:t>
            </w:r>
          </w:p>
        </w:tc>
        <w:tc>
          <w:tcPr>
            <w:tcW w:w="6142" w:type="dxa"/>
            <w:tcBorders>
              <w:top w:val="single" w:color="000000" w:sz="4" w:space="0"/>
              <w:left w:val="single" w:color="000000" w:sz="4" w:space="0"/>
              <w:bottom w:val="single" w:color="000000" w:sz="4" w:space="0"/>
              <w:right w:val="single" w:color="auto" w:sz="4" w:space="0"/>
            </w:tcBorders>
            <w:noWrap w:val="0"/>
            <w:vAlign w:val="center"/>
          </w:tcPr>
          <w:p w14:paraId="1B19DD68">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反映肝脏功能，包括谷丙</w:t>
            </w:r>
            <w:r>
              <w:rPr>
                <w:rFonts w:hint="eastAsia" w:ascii="楷体_GB2312" w:hAnsi="楷体_GB2312" w:eastAsia="楷体_GB2312" w:cs="楷体_GB2312"/>
                <w:i w:val="0"/>
                <w:iCs w:val="0"/>
                <w:color w:val="333333"/>
                <w:kern w:val="0"/>
                <w:sz w:val="24"/>
                <w:szCs w:val="24"/>
                <w:u w:val="none"/>
                <w:lang w:val="en-US" w:eastAsia="zh-CN" w:bidi="ar"/>
              </w:rPr>
              <w:t>/谷草转氨酶、胆红素等多项指标，与肝炎、肝硬化、黄疸等疾病有关</w:t>
            </w:r>
          </w:p>
        </w:tc>
      </w:tr>
      <w:tr w14:paraId="4B541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F4F3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9</w:t>
            </w:r>
          </w:p>
        </w:tc>
        <w:tc>
          <w:tcPr>
            <w:tcW w:w="26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710DC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肾功四项</w:t>
            </w:r>
          </w:p>
        </w:tc>
        <w:tc>
          <w:tcPr>
            <w:tcW w:w="6142" w:type="dxa"/>
            <w:tcBorders>
              <w:top w:val="single" w:color="000000" w:sz="4" w:space="0"/>
              <w:left w:val="single" w:color="000000" w:sz="4" w:space="0"/>
              <w:bottom w:val="single" w:color="000000" w:sz="4" w:space="0"/>
              <w:right w:val="single" w:color="auto" w:sz="4" w:space="0"/>
            </w:tcBorders>
            <w:noWrap w:val="0"/>
            <w:vAlign w:val="center"/>
          </w:tcPr>
          <w:p w14:paraId="6B396257">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反应肾功能不全、痛风等疾病</w:t>
            </w:r>
          </w:p>
        </w:tc>
      </w:tr>
      <w:tr w14:paraId="2D68C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 w:hRule="atLeast"/>
          <w:jc w:val="center"/>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B0DC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10</w:t>
            </w:r>
          </w:p>
        </w:tc>
        <w:tc>
          <w:tcPr>
            <w:tcW w:w="26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AA3B1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血脂四项</w:t>
            </w:r>
          </w:p>
        </w:tc>
        <w:tc>
          <w:tcPr>
            <w:tcW w:w="6142" w:type="dxa"/>
            <w:tcBorders>
              <w:top w:val="single" w:color="000000" w:sz="4" w:space="0"/>
              <w:left w:val="single" w:color="000000" w:sz="4" w:space="0"/>
              <w:bottom w:val="single" w:color="000000" w:sz="4" w:space="0"/>
              <w:right w:val="single" w:color="auto" w:sz="4" w:space="0"/>
            </w:tcBorders>
            <w:noWrap w:val="0"/>
            <w:vAlign w:val="center"/>
          </w:tcPr>
          <w:p w14:paraId="118D24B4">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反映甘油三酯、总胆固醇等有无异常、对心脑血管疾病诊断及治疗有重要意义</w:t>
            </w:r>
          </w:p>
        </w:tc>
      </w:tr>
      <w:tr w14:paraId="52226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851C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11</w:t>
            </w:r>
          </w:p>
        </w:tc>
        <w:tc>
          <w:tcPr>
            <w:tcW w:w="26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24B9B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葡萄糖测定 空腹</w:t>
            </w:r>
          </w:p>
        </w:tc>
        <w:tc>
          <w:tcPr>
            <w:tcW w:w="6142" w:type="dxa"/>
            <w:tcBorders>
              <w:top w:val="single" w:color="000000" w:sz="4" w:space="0"/>
              <w:left w:val="single" w:color="000000" w:sz="4" w:space="0"/>
              <w:bottom w:val="single" w:color="000000" w:sz="4" w:space="0"/>
              <w:right w:val="single" w:color="auto" w:sz="4" w:space="0"/>
            </w:tcBorders>
            <w:noWrap w:val="0"/>
            <w:vAlign w:val="center"/>
          </w:tcPr>
          <w:p w14:paraId="55229642">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了解血糖情况，空腹血糖是诊断糖代谢紊乱的重要指标</w:t>
            </w:r>
          </w:p>
        </w:tc>
      </w:tr>
      <w:tr w14:paraId="75736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 w:hRule="atLeast"/>
          <w:jc w:val="center"/>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5350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12</w:t>
            </w:r>
          </w:p>
        </w:tc>
        <w:tc>
          <w:tcPr>
            <w:tcW w:w="26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A5215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甲功五项</w:t>
            </w:r>
          </w:p>
        </w:tc>
        <w:tc>
          <w:tcPr>
            <w:tcW w:w="6142" w:type="dxa"/>
            <w:tcBorders>
              <w:top w:val="single" w:color="000000" w:sz="4" w:space="0"/>
              <w:left w:val="single" w:color="000000" w:sz="4" w:space="0"/>
              <w:bottom w:val="single" w:color="000000" w:sz="4" w:space="0"/>
              <w:right w:val="single" w:color="auto" w:sz="4" w:space="0"/>
            </w:tcBorders>
            <w:noWrap w:val="0"/>
            <w:vAlign w:val="center"/>
          </w:tcPr>
          <w:p w14:paraId="04858460">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诊断甲状腺功能亢进症或甲状腺功能低下的灵敏指标与疗效检测，甲状腺疾病与非甲状腺疾病的鉴别依据</w:t>
            </w:r>
          </w:p>
        </w:tc>
      </w:tr>
      <w:tr w14:paraId="7C877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 w:hRule="atLeast"/>
          <w:jc w:val="center"/>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4AB5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13</w:t>
            </w:r>
          </w:p>
        </w:tc>
        <w:tc>
          <w:tcPr>
            <w:tcW w:w="26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7ED34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糖化血红蛋白</w:t>
            </w:r>
          </w:p>
        </w:tc>
        <w:tc>
          <w:tcPr>
            <w:tcW w:w="6142" w:type="dxa"/>
            <w:tcBorders>
              <w:top w:val="single" w:color="000000" w:sz="4" w:space="0"/>
              <w:left w:val="single" w:color="000000" w:sz="4" w:space="0"/>
              <w:bottom w:val="single" w:color="000000" w:sz="4" w:space="0"/>
              <w:right w:val="single" w:color="auto" w:sz="4" w:space="0"/>
            </w:tcBorders>
            <w:noWrap w:val="0"/>
            <w:vAlign w:val="center"/>
          </w:tcPr>
          <w:p w14:paraId="33335D08">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反映采血前2-3个月之内的平均血糖水平，是糖尿病筛查和了解糖尿病控制情况的一个重要指标</w:t>
            </w:r>
          </w:p>
        </w:tc>
      </w:tr>
      <w:tr w14:paraId="42CB3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C6A7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14</w:t>
            </w:r>
          </w:p>
        </w:tc>
        <w:tc>
          <w:tcPr>
            <w:tcW w:w="26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688AD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心肌酶谱</w:t>
            </w:r>
          </w:p>
        </w:tc>
        <w:tc>
          <w:tcPr>
            <w:tcW w:w="6142" w:type="dxa"/>
            <w:tcBorders>
              <w:top w:val="single" w:color="000000" w:sz="4" w:space="0"/>
              <w:left w:val="single" w:color="000000" w:sz="4" w:space="0"/>
              <w:bottom w:val="single" w:color="000000" w:sz="4" w:space="0"/>
              <w:right w:val="single" w:color="auto" w:sz="4" w:space="0"/>
            </w:tcBorders>
            <w:noWrap w:val="0"/>
            <w:vAlign w:val="center"/>
          </w:tcPr>
          <w:p w14:paraId="67E6804E">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反应急性或慢性心肌损伤</w:t>
            </w:r>
          </w:p>
        </w:tc>
      </w:tr>
      <w:tr w14:paraId="73739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6EFD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15</w:t>
            </w:r>
          </w:p>
        </w:tc>
        <w:tc>
          <w:tcPr>
            <w:tcW w:w="26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B0EC4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血同型半胱氨酸测定</w:t>
            </w:r>
          </w:p>
        </w:tc>
        <w:tc>
          <w:tcPr>
            <w:tcW w:w="6142" w:type="dxa"/>
            <w:tcBorders>
              <w:top w:val="single" w:color="000000" w:sz="4" w:space="0"/>
              <w:left w:val="single" w:color="000000" w:sz="4" w:space="0"/>
              <w:bottom w:val="single" w:color="000000" w:sz="4" w:space="0"/>
              <w:right w:val="single" w:color="auto" w:sz="4" w:space="0"/>
            </w:tcBorders>
            <w:noWrap w:val="0"/>
            <w:vAlign w:val="center"/>
          </w:tcPr>
          <w:p w14:paraId="36E6A239">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预测急性心脑血管事件的独立危险因素</w:t>
            </w:r>
          </w:p>
        </w:tc>
      </w:tr>
      <w:tr w14:paraId="23FFF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5FAA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16</w:t>
            </w:r>
          </w:p>
        </w:tc>
        <w:tc>
          <w:tcPr>
            <w:tcW w:w="26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AA8BC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甲胎蛋白AFP定量</w:t>
            </w:r>
          </w:p>
        </w:tc>
        <w:tc>
          <w:tcPr>
            <w:tcW w:w="614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255D79E2">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用于肝脏等炎症或肿瘤的辅助诊断，及治疗前后的对比监测</w:t>
            </w:r>
          </w:p>
        </w:tc>
      </w:tr>
      <w:tr w14:paraId="1B846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 w:hRule="atLeast"/>
          <w:jc w:val="center"/>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B2EF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17</w:t>
            </w:r>
          </w:p>
        </w:tc>
        <w:tc>
          <w:tcPr>
            <w:tcW w:w="26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CED23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癌胚抗原CEA定量</w:t>
            </w:r>
          </w:p>
        </w:tc>
        <w:tc>
          <w:tcPr>
            <w:tcW w:w="614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4F14771A">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用于结直肠、乳腺、肺等炎症或肿瘤的辅助诊断，及治疗前后的对比监测</w:t>
            </w:r>
          </w:p>
        </w:tc>
      </w:tr>
      <w:tr w14:paraId="6B51F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 w:hRule="atLeast"/>
          <w:jc w:val="center"/>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D284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18</w:t>
            </w:r>
          </w:p>
        </w:tc>
        <w:tc>
          <w:tcPr>
            <w:tcW w:w="26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813DE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糖类抗原CA-199（胰腺）</w:t>
            </w:r>
          </w:p>
        </w:tc>
        <w:tc>
          <w:tcPr>
            <w:tcW w:w="614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34805D8B">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用于胰腺、结直肠、肝胆、胃等炎症或肿瘤的辅助诊断，及治疗前后的对比监测</w:t>
            </w:r>
          </w:p>
        </w:tc>
      </w:tr>
      <w:tr w14:paraId="286C8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 w:hRule="atLeast"/>
          <w:jc w:val="center"/>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9ECD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19</w:t>
            </w:r>
          </w:p>
        </w:tc>
        <w:tc>
          <w:tcPr>
            <w:tcW w:w="26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BDD25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糖类抗原CA72-4（消化道）</w:t>
            </w:r>
          </w:p>
        </w:tc>
        <w:tc>
          <w:tcPr>
            <w:tcW w:w="614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4BC3189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用于胃、肠道、卵巢等炎症或肿瘤的辅助诊断，及治疗前后的对比监测</w:t>
            </w:r>
          </w:p>
        </w:tc>
      </w:tr>
      <w:tr w14:paraId="3B8F6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458B0">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20</w:t>
            </w:r>
          </w:p>
        </w:tc>
        <w:tc>
          <w:tcPr>
            <w:tcW w:w="26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B59AF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总前列腺特异性抗原</w:t>
            </w:r>
          </w:p>
        </w:tc>
        <w:tc>
          <w:tcPr>
            <w:tcW w:w="614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11E2387A">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用于前列腺炎症或肿瘤的辅助诊断，及治疗前后的对比监测</w:t>
            </w:r>
          </w:p>
        </w:tc>
      </w:tr>
      <w:tr w14:paraId="381B7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49D1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21</w:t>
            </w:r>
          </w:p>
        </w:tc>
        <w:tc>
          <w:tcPr>
            <w:tcW w:w="26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A14A3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游离前列腺特异性抗原</w:t>
            </w:r>
          </w:p>
        </w:tc>
        <w:tc>
          <w:tcPr>
            <w:tcW w:w="614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7C1C29A3">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用于前列腺炎症或肿瘤的辅助诊断，及治疗前后的对比监测</w:t>
            </w:r>
          </w:p>
        </w:tc>
      </w:tr>
      <w:tr w14:paraId="1862F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 w:hRule="atLeast"/>
          <w:jc w:val="center"/>
        </w:trPr>
        <w:tc>
          <w:tcPr>
            <w:tcW w:w="705" w:type="dxa"/>
            <w:tcBorders>
              <w:top w:val="single" w:color="000000" w:sz="4" w:space="0"/>
              <w:left w:val="single" w:color="000000" w:sz="4" w:space="0"/>
              <w:bottom w:val="single" w:color="000000" w:sz="4" w:space="0"/>
              <w:right w:val="single" w:color="000000" w:sz="4" w:space="0"/>
            </w:tcBorders>
            <w:noWrap/>
            <w:vAlign w:val="center"/>
          </w:tcPr>
          <w:p w14:paraId="422FC7EB">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22</w:t>
            </w:r>
          </w:p>
        </w:tc>
        <w:tc>
          <w:tcPr>
            <w:tcW w:w="2626" w:type="dxa"/>
            <w:tcBorders>
              <w:top w:val="single" w:color="000000" w:sz="4" w:space="0"/>
              <w:left w:val="single" w:color="000000" w:sz="4" w:space="0"/>
              <w:bottom w:val="single" w:color="000000" w:sz="4" w:space="0"/>
              <w:right w:val="single" w:color="000000" w:sz="4" w:space="0"/>
            </w:tcBorders>
            <w:noWrap/>
            <w:vAlign w:val="center"/>
          </w:tcPr>
          <w:p w14:paraId="6994AFD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肝、胆、胰、脾</w:t>
            </w:r>
          </w:p>
        </w:tc>
        <w:tc>
          <w:tcPr>
            <w:tcW w:w="6142" w:type="dxa"/>
            <w:tcBorders>
              <w:top w:val="single" w:color="000000" w:sz="4" w:space="0"/>
              <w:left w:val="single" w:color="000000" w:sz="4" w:space="0"/>
              <w:bottom w:val="single" w:color="000000" w:sz="4" w:space="0"/>
              <w:right w:val="single" w:color="auto" w:sz="4" w:space="0"/>
            </w:tcBorders>
            <w:noWrap w:val="0"/>
            <w:vAlign w:val="center"/>
          </w:tcPr>
          <w:p w14:paraId="1CB53539">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通过彩色超声检查肝脏、胆囊、胰腺、脾脏器官的形态及病理改变（如肿瘤、结石、脂肪肝、肝硬化等）</w:t>
            </w:r>
          </w:p>
        </w:tc>
      </w:tr>
      <w:tr w14:paraId="60733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3" w:hRule="atLeast"/>
          <w:jc w:val="center"/>
        </w:trPr>
        <w:tc>
          <w:tcPr>
            <w:tcW w:w="705" w:type="dxa"/>
            <w:tcBorders>
              <w:top w:val="single" w:color="000000" w:sz="4" w:space="0"/>
              <w:left w:val="single" w:color="000000" w:sz="4" w:space="0"/>
              <w:bottom w:val="single" w:color="000000" w:sz="4" w:space="0"/>
              <w:right w:val="single" w:color="000000" w:sz="4" w:space="0"/>
            </w:tcBorders>
            <w:noWrap/>
            <w:vAlign w:val="center"/>
          </w:tcPr>
          <w:p w14:paraId="13AED10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23</w:t>
            </w:r>
          </w:p>
        </w:tc>
        <w:tc>
          <w:tcPr>
            <w:tcW w:w="2626" w:type="dxa"/>
            <w:tcBorders>
              <w:top w:val="single" w:color="000000" w:sz="4" w:space="0"/>
              <w:left w:val="single" w:color="000000" w:sz="4" w:space="0"/>
              <w:bottom w:val="single" w:color="000000" w:sz="4" w:space="0"/>
              <w:right w:val="single" w:color="000000" w:sz="4" w:space="0"/>
            </w:tcBorders>
            <w:noWrap w:val="0"/>
            <w:vAlign w:val="center"/>
          </w:tcPr>
          <w:p w14:paraId="0798443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男性泌尿系</w:t>
            </w:r>
            <w:r>
              <w:rPr>
                <w:rFonts w:hint="eastAsia" w:ascii="楷体_GB2312" w:hAnsi="楷体_GB2312" w:eastAsia="楷体_GB2312" w:cs="楷体_GB2312"/>
                <w:i w:val="0"/>
                <w:iCs w:val="0"/>
                <w:color w:val="000000"/>
                <w:kern w:val="0"/>
                <w:sz w:val="24"/>
                <w:szCs w:val="24"/>
                <w:u w:val="none"/>
                <w:lang w:val="en-US" w:eastAsia="zh-CN" w:bidi="ar"/>
              </w:rPr>
              <w:br w:type="textWrapping"/>
            </w:r>
            <w:r>
              <w:rPr>
                <w:rFonts w:hint="eastAsia" w:ascii="楷体_GB2312" w:hAnsi="楷体_GB2312" w:eastAsia="楷体_GB2312" w:cs="楷体_GB2312"/>
                <w:i w:val="0"/>
                <w:iCs w:val="0"/>
                <w:color w:val="000000"/>
                <w:kern w:val="0"/>
                <w:sz w:val="24"/>
                <w:szCs w:val="24"/>
                <w:u w:val="none"/>
                <w:lang w:val="en-US" w:eastAsia="zh-CN" w:bidi="ar"/>
              </w:rPr>
              <w:t>（双肾、输尿管、膀胱、前列腺）</w:t>
            </w:r>
          </w:p>
        </w:tc>
        <w:tc>
          <w:tcPr>
            <w:tcW w:w="6142" w:type="dxa"/>
            <w:tcBorders>
              <w:top w:val="single" w:color="000000" w:sz="4" w:space="0"/>
              <w:left w:val="single" w:color="000000" w:sz="4" w:space="0"/>
              <w:bottom w:val="single" w:color="000000" w:sz="4" w:space="0"/>
              <w:right w:val="single" w:color="auto" w:sz="4" w:space="0"/>
            </w:tcBorders>
            <w:noWrap w:val="0"/>
            <w:vAlign w:val="center"/>
          </w:tcPr>
          <w:p w14:paraId="69BE2C5F">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通过彩色超声检查肾脏、前列腺、膀胱内脏器官的形态及病理改变（如肿瘤、结石、前列腺增生及肥大等）</w:t>
            </w:r>
          </w:p>
        </w:tc>
      </w:tr>
      <w:tr w14:paraId="1AFE5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 w:hRule="atLeast"/>
          <w:jc w:val="center"/>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FE6D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24</w:t>
            </w:r>
          </w:p>
        </w:tc>
        <w:tc>
          <w:tcPr>
            <w:tcW w:w="26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A42C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甲状腺</w:t>
            </w:r>
          </w:p>
        </w:tc>
        <w:tc>
          <w:tcPr>
            <w:tcW w:w="614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48B6D1C5">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通过彩色超声检查甲状腺器官的形态及病理改变（如肿瘤、结节等病变）</w:t>
            </w:r>
          </w:p>
        </w:tc>
      </w:tr>
      <w:tr w14:paraId="615DB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 w:hRule="atLeast"/>
          <w:jc w:val="center"/>
        </w:trPr>
        <w:tc>
          <w:tcPr>
            <w:tcW w:w="705" w:type="dxa"/>
            <w:tcBorders>
              <w:top w:val="single" w:color="000000" w:sz="4" w:space="0"/>
              <w:left w:val="single" w:color="000000" w:sz="4" w:space="0"/>
              <w:bottom w:val="single" w:color="000000" w:sz="4" w:space="0"/>
              <w:right w:val="single" w:color="000000" w:sz="4" w:space="0"/>
            </w:tcBorders>
            <w:noWrap/>
            <w:vAlign w:val="center"/>
          </w:tcPr>
          <w:p w14:paraId="7DBC9C60">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25</w:t>
            </w:r>
          </w:p>
        </w:tc>
        <w:tc>
          <w:tcPr>
            <w:tcW w:w="2626" w:type="dxa"/>
            <w:tcBorders>
              <w:top w:val="single" w:color="000000" w:sz="4" w:space="0"/>
              <w:left w:val="single" w:color="000000" w:sz="4" w:space="0"/>
              <w:bottom w:val="single" w:color="000000" w:sz="4" w:space="0"/>
              <w:right w:val="single" w:color="000000" w:sz="4" w:space="0"/>
            </w:tcBorders>
            <w:noWrap/>
            <w:vAlign w:val="center"/>
          </w:tcPr>
          <w:p w14:paraId="652CCB2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颈部血管</w:t>
            </w:r>
          </w:p>
        </w:tc>
        <w:tc>
          <w:tcPr>
            <w:tcW w:w="6142" w:type="dxa"/>
            <w:tcBorders>
              <w:top w:val="single" w:color="000000" w:sz="4" w:space="0"/>
              <w:left w:val="single" w:color="000000" w:sz="4" w:space="0"/>
              <w:bottom w:val="single" w:color="000000" w:sz="4" w:space="0"/>
              <w:right w:val="single" w:color="auto" w:sz="4" w:space="0"/>
            </w:tcBorders>
            <w:noWrap w:val="0"/>
            <w:vAlign w:val="center"/>
          </w:tcPr>
          <w:p w14:paraId="7187C91A">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检查颈动脉有无硬化有无斑块形成及斑块的性质，动脉狭窄的程度等</w:t>
            </w:r>
          </w:p>
        </w:tc>
      </w:tr>
      <w:tr w14:paraId="3F967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6" w:hRule="atLeast"/>
          <w:jc w:val="center"/>
        </w:trPr>
        <w:tc>
          <w:tcPr>
            <w:tcW w:w="705" w:type="dxa"/>
            <w:tcBorders>
              <w:top w:val="single" w:color="000000" w:sz="4" w:space="0"/>
              <w:left w:val="single" w:color="000000" w:sz="4" w:space="0"/>
              <w:bottom w:val="single" w:color="000000" w:sz="4" w:space="0"/>
              <w:right w:val="single" w:color="000000" w:sz="4" w:space="0"/>
            </w:tcBorders>
            <w:noWrap/>
            <w:vAlign w:val="center"/>
          </w:tcPr>
          <w:p w14:paraId="4651361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26</w:t>
            </w:r>
          </w:p>
        </w:tc>
        <w:tc>
          <w:tcPr>
            <w:tcW w:w="2626" w:type="dxa"/>
            <w:tcBorders>
              <w:top w:val="single" w:color="000000" w:sz="4" w:space="0"/>
              <w:left w:val="single" w:color="000000" w:sz="4" w:space="0"/>
              <w:bottom w:val="single" w:color="000000" w:sz="4" w:space="0"/>
              <w:right w:val="single" w:color="000000" w:sz="4" w:space="0"/>
            </w:tcBorders>
            <w:noWrap/>
            <w:vAlign w:val="center"/>
          </w:tcPr>
          <w:p w14:paraId="161B210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心脏彩超</w:t>
            </w:r>
          </w:p>
        </w:tc>
        <w:tc>
          <w:tcPr>
            <w:tcW w:w="6142" w:type="dxa"/>
            <w:tcBorders>
              <w:top w:val="single" w:color="000000" w:sz="4" w:space="0"/>
              <w:left w:val="single" w:color="000000" w:sz="4" w:space="0"/>
              <w:bottom w:val="single" w:color="000000" w:sz="4" w:space="0"/>
              <w:right w:val="single" w:color="auto" w:sz="4" w:space="0"/>
            </w:tcBorders>
            <w:noWrap w:val="0"/>
            <w:vAlign w:val="center"/>
          </w:tcPr>
          <w:p w14:paraId="3B324E66">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了解心脏各腔室、心肌厚度、瓣膜形态和活动及心脏的功能，为心脏瓣膜病、心肌病、高血压性心脏病、管状动脉粥样硬化性心脏病、心包疾病、先天性心脏病的诊断与治疗追踪提供依据</w:t>
            </w:r>
          </w:p>
        </w:tc>
      </w:tr>
      <w:tr w14:paraId="07175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noWrap/>
            <w:vAlign w:val="center"/>
          </w:tcPr>
          <w:p w14:paraId="4F2226F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27</w:t>
            </w:r>
          </w:p>
        </w:tc>
        <w:tc>
          <w:tcPr>
            <w:tcW w:w="2626" w:type="dxa"/>
            <w:tcBorders>
              <w:top w:val="single" w:color="000000" w:sz="4" w:space="0"/>
              <w:left w:val="single" w:color="000000" w:sz="4" w:space="0"/>
              <w:bottom w:val="single" w:color="000000" w:sz="4" w:space="0"/>
              <w:right w:val="single" w:color="000000" w:sz="4" w:space="0"/>
            </w:tcBorders>
            <w:noWrap/>
            <w:vAlign w:val="center"/>
          </w:tcPr>
          <w:p w14:paraId="677A408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常规心电图检查</w:t>
            </w:r>
          </w:p>
        </w:tc>
        <w:tc>
          <w:tcPr>
            <w:tcW w:w="6142" w:type="dxa"/>
            <w:tcBorders>
              <w:top w:val="single" w:color="000000" w:sz="4" w:space="0"/>
              <w:left w:val="single" w:color="000000" w:sz="4" w:space="0"/>
              <w:bottom w:val="single" w:color="000000" w:sz="4" w:space="0"/>
              <w:right w:val="single" w:color="auto" w:sz="4" w:space="0"/>
            </w:tcBorders>
            <w:noWrap w:val="0"/>
            <w:vAlign w:val="center"/>
          </w:tcPr>
          <w:p w14:paraId="030E33C9">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辅助诊断心律失常、心肌缺血、心肌梗死等</w:t>
            </w:r>
          </w:p>
        </w:tc>
      </w:tr>
      <w:tr w14:paraId="0C720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 w:hRule="atLeast"/>
          <w:jc w:val="center"/>
        </w:trPr>
        <w:tc>
          <w:tcPr>
            <w:tcW w:w="705" w:type="dxa"/>
            <w:tcBorders>
              <w:top w:val="single" w:color="000000" w:sz="4" w:space="0"/>
              <w:left w:val="single" w:color="000000" w:sz="4" w:space="0"/>
              <w:bottom w:val="single" w:color="000000" w:sz="4" w:space="0"/>
              <w:right w:val="single" w:color="000000" w:sz="4" w:space="0"/>
            </w:tcBorders>
            <w:noWrap/>
            <w:vAlign w:val="center"/>
          </w:tcPr>
          <w:p w14:paraId="26FA47BB">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28</w:t>
            </w:r>
          </w:p>
        </w:tc>
        <w:tc>
          <w:tcPr>
            <w:tcW w:w="2626" w:type="dxa"/>
            <w:tcBorders>
              <w:top w:val="single" w:color="000000" w:sz="4" w:space="0"/>
              <w:left w:val="single" w:color="000000" w:sz="4" w:space="0"/>
              <w:bottom w:val="single" w:color="000000" w:sz="4" w:space="0"/>
              <w:right w:val="single" w:color="000000" w:sz="4" w:space="0"/>
            </w:tcBorders>
            <w:noWrap/>
            <w:vAlign w:val="center"/>
          </w:tcPr>
          <w:p w14:paraId="66E79F1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碳13尿素呼气试验</w:t>
            </w:r>
          </w:p>
        </w:tc>
        <w:tc>
          <w:tcPr>
            <w:tcW w:w="6142" w:type="dxa"/>
            <w:tcBorders>
              <w:top w:val="single" w:color="000000" w:sz="4" w:space="0"/>
              <w:left w:val="single" w:color="000000" w:sz="4" w:space="0"/>
              <w:bottom w:val="single" w:color="000000" w:sz="4" w:space="0"/>
              <w:right w:val="single" w:color="auto" w:sz="4" w:space="0"/>
            </w:tcBorders>
            <w:noWrap w:val="0"/>
            <w:vAlign w:val="center"/>
          </w:tcPr>
          <w:p w14:paraId="67159304">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检测是否感染幽门螺旋杆菌，对消化性溃疡、慢性活动性胃炎、胃癌等消化系统疾病有辅助诊断作用</w:t>
            </w:r>
          </w:p>
        </w:tc>
      </w:tr>
      <w:tr w14:paraId="30A30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noWrap/>
            <w:vAlign w:val="center"/>
          </w:tcPr>
          <w:p w14:paraId="17C4BE8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29</w:t>
            </w:r>
          </w:p>
        </w:tc>
        <w:tc>
          <w:tcPr>
            <w:tcW w:w="2626" w:type="dxa"/>
            <w:tcBorders>
              <w:top w:val="single" w:color="000000" w:sz="4" w:space="0"/>
              <w:left w:val="single" w:color="000000" w:sz="4" w:space="0"/>
              <w:bottom w:val="single" w:color="000000" w:sz="4" w:space="0"/>
              <w:right w:val="single" w:color="000000" w:sz="4" w:space="0"/>
            </w:tcBorders>
            <w:noWrap w:val="0"/>
            <w:vAlign w:val="center"/>
          </w:tcPr>
          <w:p w14:paraId="1367657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胸部CT（不含片）</w:t>
            </w:r>
          </w:p>
        </w:tc>
        <w:tc>
          <w:tcPr>
            <w:tcW w:w="6142" w:type="dxa"/>
            <w:vMerge w:val="restart"/>
            <w:tcBorders>
              <w:top w:val="single" w:color="000000" w:sz="4" w:space="0"/>
              <w:left w:val="single" w:color="000000" w:sz="4" w:space="0"/>
              <w:bottom w:val="single" w:color="000000" w:sz="4" w:space="0"/>
              <w:right w:val="single" w:color="auto" w:sz="4" w:space="0"/>
            </w:tcBorders>
            <w:noWrap w:val="0"/>
            <w:vAlign w:val="center"/>
          </w:tcPr>
          <w:p w14:paraId="451E61C4">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通过断层成像技术，快速精准地显示人体内部结构，帮助医生明确病变位置、范围、性质、为疾病诊断、治疗计划及疗效评估提供关键依据。（如肿瘤、外伤、血管病变等）</w:t>
            </w:r>
          </w:p>
        </w:tc>
      </w:tr>
      <w:tr w14:paraId="40A91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3" w:hRule="atLeast"/>
          <w:jc w:val="center"/>
        </w:trPr>
        <w:tc>
          <w:tcPr>
            <w:tcW w:w="705" w:type="dxa"/>
            <w:tcBorders>
              <w:top w:val="single" w:color="000000" w:sz="4" w:space="0"/>
              <w:left w:val="single" w:color="000000" w:sz="4" w:space="0"/>
              <w:bottom w:val="single" w:color="000000" w:sz="4" w:space="0"/>
              <w:right w:val="single" w:color="000000" w:sz="4" w:space="0"/>
            </w:tcBorders>
            <w:noWrap/>
            <w:vAlign w:val="center"/>
          </w:tcPr>
          <w:p w14:paraId="367238F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30</w:t>
            </w:r>
          </w:p>
        </w:tc>
        <w:tc>
          <w:tcPr>
            <w:tcW w:w="2626" w:type="dxa"/>
            <w:tcBorders>
              <w:top w:val="single" w:color="000000" w:sz="4" w:space="0"/>
              <w:left w:val="single" w:color="000000" w:sz="4" w:space="0"/>
              <w:bottom w:val="single" w:color="000000" w:sz="4" w:space="0"/>
              <w:right w:val="single" w:color="000000" w:sz="4" w:space="0"/>
            </w:tcBorders>
            <w:noWrap w:val="0"/>
            <w:vAlign w:val="center"/>
          </w:tcPr>
          <w:p w14:paraId="14AC6BD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腰椎CT/颈椎CT/头颅CT（不含片）（三选一）</w:t>
            </w:r>
          </w:p>
        </w:tc>
        <w:tc>
          <w:tcPr>
            <w:tcW w:w="6142" w:type="dxa"/>
            <w:vMerge w:val="continue"/>
            <w:tcBorders>
              <w:top w:val="single" w:color="000000" w:sz="4" w:space="0"/>
              <w:left w:val="single" w:color="000000" w:sz="4" w:space="0"/>
              <w:bottom w:val="single" w:color="000000" w:sz="4" w:space="0"/>
              <w:right w:val="single" w:color="auto" w:sz="4" w:space="0"/>
            </w:tcBorders>
            <w:noWrap w:val="0"/>
            <w:vAlign w:val="center"/>
          </w:tcPr>
          <w:p w14:paraId="764F6945">
            <w:pPr>
              <w:spacing w:line="240" w:lineRule="auto"/>
              <w:jc w:val="left"/>
              <w:rPr>
                <w:rFonts w:hint="eastAsia" w:ascii="楷体_GB2312" w:hAnsi="楷体_GB2312" w:eastAsia="楷体_GB2312" w:cs="楷体_GB2312"/>
                <w:i w:val="0"/>
                <w:iCs w:val="0"/>
                <w:color w:val="000000"/>
                <w:sz w:val="24"/>
                <w:szCs w:val="24"/>
                <w:u w:val="none"/>
              </w:rPr>
            </w:pPr>
          </w:p>
        </w:tc>
      </w:tr>
    </w:tbl>
    <w:p w14:paraId="0A39BCE3">
      <w:pPr>
        <w:spacing w:line="360" w:lineRule="auto"/>
        <w:rPr>
          <w:rFonts w:hint="eastAsia" w:ascii="楷体_GB2312" w:hAnsi="楷体_GB2312" w:eastAsia="楷体_GB2312" w:cs="楷体_GB2312"/>
          <w:sz w:val="24"/>
          <w:szCs w:val="24"/>
        </w:rPr>
      </w:pPr>
    </w:p>
    <w:p w14:paraId="3F02D635">
      <w:pPr>
        <w:spacing w:line="360" w:lineRule="auto"/>
        <w:rPr>
          <w:rFonts w:hint="eastAsia" w:ascii="楷体_GB2312" w:hAnsi="楷体_GB2312" w:eastAsia="楷体_GB2312" w:cs="楷体_GB2312"/>
          <w:sz w:val="24"/>
          <w:szCs w:val="24"/>
        </w:rPr>
      </w:pPr>
    </w:p>
    <w:p w14:paraId="012F3051">
      <w:pPr>
        <w:spacing w:line="360" w:lineRule="auto"/>
        <w:rPr>
          <w:rFonts w:hint="eastAsia" w:ascii="楷体_GB2312" w:hAnsi="楷体_GB2312" w:eastAsia="楷体_GB2312" w:cs="楷体_GB2312"/>
          <w:sz w:val="24"/>
          <w:szCs w:val="24"/>
        </w:rPr>
      </w:pPr>
    </w:p>
    <w:p w14:paraId="5B6D1E72">
      <w:pPr>
        <w:spacing w:line="360" w:lineRule="auto"/>
        <w:jc w:val="center"/>
        <w:rPr>
          <w:rFonts w:hint="eastAsia" w:ascii="楷体_GB2312" w:hAnsi="楷体_GB2312" w:eastAsia="楷体_GB2312" w:cs="楷体_GB2312"/>
          <w:sz w:val="24"/>
          <w:szCs w:val="24"/>
          <w:lang w:eastAsia="zh-CN"/>
        </w:rPr>
      </w:pPr>
      <w:bookmarkStart w:id="0" w:name="_GoBack"/>
      <w:bookmarkEnd w:id="0"/>
      <w:r>
        <w:rPr>
          <w:rFonts w:hint="eastAsia" w:ascii="仿宋" w:hAnsi="仿宋" w:eastAsia="仿宋"/>
          <w:b/>
          <w:bCs/>
          <w:sz w:val="32"/>
          <w:szCs w:val="32"/>
          <w:lang w:val="en-US" w:eastAsia="zh-CN"/>
        </w:rPr>
        <w:t>表三：≤40岁⼥性已婚</w:t>
      </w:r>
    </w:p>
    <w:tbl>
      <w:tblPr>
        <w:tblStyle w:val="5"/>
        <w:tblW w:w="914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5"/>
        <w:gridCol w:w="2387"/>
        <w:gridCol w:w="5861"/>
      </w:tblGrid>
      <w:tr w14:paraId="2D51E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895" w:type="dxa"/>
            <w:tcBorders>
              <w:top w:val="single" w:color="auto" w:sz="4" w:space="0"/>
              <w:left w:val="single" w:color="auto" w:sz="4" w:space="0"/>
              <w:bottom w:val="single" w:color="auto" w:sz="4" w:space="0"/>
              <w:right w:val="single" w:color="auto" w:sz="4" w:space="0"/>
            </w:tcBorders>
            <w:noWrap/>
            <w:vAlign w:val="center"/>
          </w:tcPr>
          <w:p w14:paraId="5F9F34F4">
            <w:pPr>
              <w:keepNext w:val="0"/>
              <w:keepLines w:val="0"/>
              <w:widowControl/>
              <w:suppressLineNumbers w:val="0"/>
              <w:spacing w:line="24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序号</w:t>
            </w:r>
          </w:p>
        </w:tc>
        <w:tc>
          <w:tcPr>
            <w:tcW w:w="2387" w:type="dxa"/>
            <w:tcBorders>
              <w:top w:val="single" w:color="auto" w:sz="4" w:space="0"/>
              <w:left w:val="single" w:color="auto" w:sz="4" w:space="0"/>
              <w:bottom w:val="single" w:color="auto" w:sz="4" w:space="0"/>
              <w:right w:val="single" w:color="auto" w:sz="4" w:space="0"/>
            </w:tcBorders>
            <w:noWrap/>
            <w:vAlign w:val="center"/>
          </w:tcPr>
          <w:p w14:paraId="1B562E4C">
            <w:pPr>
              <w:keepNext w:val="0"/>
              <w:keepLines w:val="0"/>
              <w:widowControl/>
              <w:suppressLineNumbers w:val="0"/>
              <w:spacing w:line="24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项目</w:t>
            </w:r>
          </w:p>
        </w:tc>
        <w:tc>
          <w:tcPr>
            <w:tcW w:w="5861" w:type="dxa"/>
            <w:tcBorders>
              <w:top w:val="single" w:color="auto" w:sz="4" w:space="0"/>
              <w:left w:val="single" w:color="auto" w:sz="4" w:space="0"/>
              <w:bottom w:val="single" w:color="auto" w:sz="4" w:space="0"/>
              <w:right w:val="single" w:color="auto" w:sz="4" w:space="0"/>
            </w:tcBorders>
            <w:noWrap/>
            <w:vAlign w:val="center"/>
          </w:tcPr>
          <w:p w14:paraId="1D69793C">
            <w:pPr>
              <w:keepNext w:val="0"/>
              <w:keepLines w:val="0"/>
              <w:widowControl/>
              <w:suppressLineNumbers w:val="0"/>
              <w:spacing w:line="24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临床意义</w:t>
            </w:r>
          </w:p>
        </w:tc>
      </w:tr>
      <w:tr w14:paraId="28D1A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895"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43DCFF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w:t>
            </w:r>
          </w:p>
        </w:tc>
        <w:tc>
          <w:tcPr>
            <w:tcW w:w="2387" w:type="dxa"/>
            <w:tcBorders>
              <w:top w:val="single" w:color="auto" w:sz="4" w:space="0"/>
              <w:left w:val="single" w:color="000000" w:sz="4" w:space="0"/>
              <w:bottom w:val="single" w:color="000000" w:sz="4" w:space="0"/>
              <w:right w:val="single" w:color="000000" w:sz="4" w:space="0"/>
            </w:tcBorders>
            <w:shd w:val="clear" w:color="auto" w:fill="FFFFFF"/>
            <w:noWrap/>
            <w:vAlign w:val="center"/>
          </w:tcPr>
          <w:p w14:paraId="0B5092C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调查问卷</w:t>
            </w:r>
          </w:p>
        </w:tc>
        <w:tc>
          <w:tcPr>
            <w:tcW w:w="5861" w:type="dxa"/>
            <w:tcBorders>
              <w:top w:val="single" w:color="auto" w:sz="4" w:space="0"/>
              <w:left w:val="single" w:color="000000" w:sz="4" w:space="0"/>
              <w:bottom w:val="single" w:color="000000" w:sz="4" w:space="0"/>
              <w:right w:val="single" w:color="auto" w:sz="4" w:space="0"/>
            </w:tcBorders>
            <w:noWrap w:val="0"/>
            <w:vAlign w:val="center"/>
          </w:tcPr>
          <w:p w14:paraId="63D7E106">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为医生提供全面的个人健康信息，实现个性化精准化的健康管理</w:t>
            </w:r>
          </w:p>
        </w:tc>
      </w:tr>
      <w:tr w14:paraId="6F59E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9D4A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w:t>
            </w:r>
          </w:p>
        </w:tc>
        <w:tc>
          <w:tcPr>
            <w:tcW w:w="2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7B23A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身高、体重、血压</w:t>
            </w:r>
          </w:p>
        </w:tc>
        <w:tc>
          <w:tcPr>
            <w:tcW w:w="5861" w:type="dxa"/>
            <w:tcBorders>
              <w:top w:val="single" w:color="000000" w:sz="4" w:space="0"/>
              <w:left w:val="single" w:color="000000" w:sz="4" w:space="0"/>
              <w:bottom w:val="single" w:color="000000" w:sz="4" w:space="0"/>
              <w:right w:val="single" w:color="auto" w:sz="4" w:space="0"/>
            </w:tcBorders>
            <w:noWrap w:val="0"/>
            <w:vAlign w:val="center"/>
          </w:tcPr>
          <w:p w14:paraId="1204926A">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诊断高血压、超重、肥胖、消瘦并为相关科室的诊断提供重要的依据</w:t>
            </w:r>
          </w:p>
        </w:tc>
      </w:tr>
      <w:tr w14:paraId="2DF43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1"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2E76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w:t>
            </w:r>
          </w:p>
        </w:tc>
        <w:tc>
          <w:tcPr>
            <w:tcW w:w="2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740C1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内科</w:t>
            </w:r>
          </w:p>
        </w:tc>
        <w:tc>
          <w:tcPr>
            <w:tcW w:w="5861" w:type="dxa"/>
            <w:tcBorders>
              <w:top w:val="single" w:color="000000" w:sz="4" w:space="0"/>
              <w:left w:val="single" w:color="000000" w:sz="4" w:space="0"/>
              <w:bottom w:val="single" w:color="000000" w:sz="4" w:space="0"/>
              <w:right w:val="single" w:color="auto" w:sz="4" w:space="0"/>
            </w:tcBorders>
            <w:noWrap w:val="0"/>
            <w:vAlign w:val="center"/>
          </w:tcPr>
          <w:p w14:paraId="0BE079B2">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询问既往病史，通过视、触、叩、听检查方法，评估心、肺、肝、脾等基本状况</w:t>
            </w:r>
          </w:p>
        </w:tc>
      </w:tr>
      <w:tr w14:paraId="42AA4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EB3D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4</w:t>
            </w:r>
          </w:p>
        </w:tc>
        <w:tc>
          <w:tcPr>
            <w:tcW w:w="2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AC2B6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外科</w:t>
            </w:r>
          </w:p>
        </w:tc>
        <w:tc>
          <w:tcPr>
            <w:tcW w:w="5861" w:type="dxa"/>
            <w:tcBorders>
              <w:top w:val="single" w:color="000000" w:sz="4" w:space="0"/>
              <w:left w:val="single" w:color="000000" w:sz="4" w:space="0"/>
              <w:bottom w:val="single" w:color="000000" w:sz="4" w:space="0"/>
              <w:right w:val="single" w:color="auto" w:sz="4" w:space="0"/>
            </w:tcBorders>
            <w:noWrap w:val="0"/>
            <w:vAlign w:val="center"/>
          </w:tcPr>
          <w:p w14:paraId="059602D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检查淋巴结有无肿大，甲状腺、四肢脊柱有无畸形等</w:t>
            </w:r>
          </w:p>
        </w:tc>
      </w:tr>
      <w:tr w14:paraId="6D728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BC9F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5</w:t>
            </w:r>
          </w:p>
        </w:tc>
        <w:tc>
          <w:tcPr>
            <w:tcW w:w="2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0238A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血细胞分析+五分类</w:t>
            </w:r>
          </w:p>
        </w:tc>
        <w:tc>
          <w:tcPr>
            <w:tcW w:w="5861" w:type="dxa"/>
            <w:tcBorders>
              <w:top w:val="single" w:color="000000" w:sz="4" w:space="0"/>
              <w:left w:val="single" w:color="000000" w:sz="4" w:space="0"/>
              <w:bottom w:val="single" w:color="000000" w:sz="4" w:space="0"/>
              <w:right w:val="single" w:color="auto" w:sz="4" w:space="0"/>
            </w:tcBorders>
            <w:noWrap w:val="0"/>
            <w:vAlign w:val="center"/>
          </w:tcPr>
          <w:p w14:paraId="67FBA028">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有无感染、贫血、凝血功能障碍、血液病等</w:t>
            </w:r>
          </w:p>
        </w:tc>
      </w:tr>
      <w:tr w14:paraId="2296E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49A5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6</w:t>
            </w:r>
          </w:p>
        </w:tc>
        <w:tc>
          <w:tcPr>
            <w:tcW w:w="2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657AD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尿液分析+沉渣镜检</w:t>
            </w:r>
          </w:p>
        </w:tc>
        <w:tc>
          <w:tcPr>
            <w:tcW w:w="5861"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62ECB9AE">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泌尿系统感染、肾病、肝胆疾患、结石、糖尿病等多种疾病检查</w:t>
            </w:r>
          </w:p>
        </w:tc>
      </w:tr>
      <w:tr w14:paraId="5EE39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1"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B580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7</w:t>
            </w:r>
          </w:p>
        </w:tc>
        <w:tc>
          <w:tcPr>
            <w:tcW w:w="2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AB5D2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粪便常规+隐血试验</w:t>
            </w:r>
          </w:p>
        </w:tc>
        <w:tc>
          <w:tcPr>
            <w:tcW w:w="5861"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6DE1EC4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检测各种原因所致的消化道出血，消化道恶性肿瘤早期诊断的重要筛查指标</w:t>
            </w:r>
          </w:p>
        </w:tc>
      </w:tr>
      <w:tr w14:paraId="7A692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6"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7516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8</w:t>
            </w:r>
          </w:p>
        </w:tc>
        <w:tc>
          <w:tcPr>
            <w:tcW w:w="2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D1FDC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肝功九项</w:t>
            </w:r>
          </w:p>
        </w:tc>
        <w:tc>
          <w:tcPr>
            <w:tcW w:w="5861" w:type="dxa"/>
            <w:tcBorders>
              <w:top w:val="single" w:color="000000" w:sz="4" w:space="0"/>
              <w:left w:val="single" w:color="000000" w:sz="4" w:space="0"/>
              <w:bottom w:val="single" w:color="000000" w:sz="4" w:space="0"/>
              <w:right w:val="single" w:color="auto" w:sz="4" w:space="0"/>
            </w:tcBorders>
            <w:noWrap w:val="0"/>
            <w:vAlign w:val="center"/>
          </w:tcPr>
          <w:p w14:paraId="1779EC9F">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反映肝脏功能，包括谷丙</w:t>
            </w:r>
            <w:r>
              <w:rPr>
                <w:rFonts w:hint="eastAsia" w:ascii="楷体_GB2312" w:hAnsi="楷体_GB2312" w:eastAsia="楷体_GB2312" w:cs="楷体_GB2312"/>
                <w:i w:val="0"/>
                <w:iCs w:val="0"/>
                <w:color w:val="333333"/>
                <w:kern w:val="0"/>
                <w:sz w:val="24"/>
                <w:szCs w:val="24"/>
                <w:u w:val="none"/>
                <w:lang w:val="en-US" w:eastAsia="zh-CN" w:bidi="ar"/>
              </w:rPr>
              <w:t>/谷草转氨酶、胆红素等多项指标，与肝炎、肝硬化、黄疸等疾病有关</w:t>
            </w:r>
          </w:p>
        </w:tc>
      </w:tr>
      <w:tr w14:paraId="25D4F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65A0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9</w:t>
            </w:r>
          </w:p>
        </w:tc>
        <w:tc>
          <w:tcPr>
            <w:tcW w:w="2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CB4EB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肾功四项</w:t>
            </w:r>
          </w:p>
        </w:tc>
        <w:tc>
          <w:tcPr>
            <w:tcW w:w="5861" w:type="dxa"/>
            <w:tcBorders>
              <w:top w:val="single" w:color="000000" w:sz="4" w:space="0"/>
              <w:left w:val="single" w:color="000000" w:sz="4" w:space="0"/>
              <w:bottom w:val="single" w:color="000000" w:sz="4" w:space="0"/>
              <w:right w:val="single" w:color="auto" w:sz="4" w:space="0"/>
            </w:tcBorders>
            <w:noWrap w:val="0"/>
            <w:vAlign w:val="center"/>
          </w:tcPr>
          <w:p w14:paraId="119DCF7C">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反应肾功能不全、痛风等疾病</w:t>
            </w:r>
          </w:p>
        </w:tc>
      </w:tr>
      <w:tr w14:paraId="4D940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1"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6FC9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10</w:t>
            </w:r>
          </w:p>
        </w:tc>
        <w:tc>
          <w:tcPr>
            <w:tcW w:w="2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68EF1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血脂四项</w:t>
            </w:r>
          </w:p>
        </w:tc>
        <w:tc>
          <w:tcPr>
            <w:tcW w:w="5861" w:type="dxa"/>
            <w:tcBorders>
              <w:top w:val="single" w:color="000000" w:sz="4" w:space="0"/>
              <w:left w:val="single" w:color="000000" w:sz="4" w:space="0"/>
              <w:bottom w:val="single" w:color="000000" w:sz="4" w:space="0"/>
              <w:right w:val="single" w:color="auto" w:sz="4" w:space="0"/>
            </w:tcBorders>
            <w:noWrap w:val="0"/>
            <w:vAlign w:val="center"/>
          </w:tcPr>
          <w:p w14:paraId="14A8BF9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反映甘油三酯、总胆固醇等有无异常、对心脑血管疾病诊断及治疗有重要意义</w:t>
            </w:r>
          </w:p>
        </w:tc>
      </w:tr>
      <w:tr w14:paraId="371C9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84A9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11</w:t>
            </w:r>
          </w:p>
        </w:tc>
        <w:tc>
          <w:tcPr>
            <w:tcW w:w="2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9D2C7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葡萄糖测定 空腹</w:t>
            </w:r>
          </w:p>
        </w:tc>
        <w:tc>
          <w:tcPr>
            <w:tcW w:w="5861" w:type="dxa"/>
            <w:tcBorders>
              <w:top w:val="single" w:color="000000" w:sz="4" w:space="0"/>
              <w:left w:val="single" w:color="000000" w:sz="4" w:space="0"/>
              <w:bottom w:val="single" w:color="000000" w:sz="4" w:space="0"/>
              <w:right w:val="single" w:color="auto" w:sz="4" w:space="0"/>
            </w:tcBorders>
            <w:noWrap w:val="0"/>
            <w:vAlign w:val="center"/>
          </w:tcPr>
          <w:p w14:paraId="1CE31158">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了解血糖情况，空腹血糖是诊断糖代谢紊乱的重要指标</w:t>
            </w:r>
          </w:p>
        </w:tc>
      </w:tr>
      <w:tr w14:paraId="23B81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1"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57B0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12</w:t>
            </w:r>
          </w:p>
        </w:tc>
        <w:tc>
          <w:tcPr>
            <w:tcW w:w="2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6C048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甲功五项</w:t>
            </w:r>
          </w:p>
        </w:tc>
        <w:tc>
          <w:tcPr>
            <w:tcW w:w="5861" w:type="dxa"/>
            <w:tcBorders>
              <w:top w:val="single" w:color="000000" w:sz="4" w:space="0"/>
              <w:left w:val="single" w:color="000000" w:sz="4" w:space="0"/>
              <w:bottom w:val="single" w:color="000000" w:sz="4" w:space="0"/>
              <w:right w:val="single" w:color="auto" w:sz="4" w:space="0"/>
            </w:tcBorders>
            <w:noWrap w:val="0"/>
            <w:vAlign w:val="center"/>
          </w:tcPr>
          <w:p w14:paraId="5719A3E9">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诊断甲状腺功能亢进症或甲状腺功能低下的灵敏指标与疗效检测，甲状腺疾病与非甲状腺疾病的鉴别依据</w:t>
            </w:r>
          </w:p>
        </w:tc>
      </w:tr>
      <w:tr w14:paraId="7BDB6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0927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13</w:t>
            </w:r>
          </w:p>
        </w:tc>
        <w:tc>
          <w:tcPr>
            <w:tcW w:w="2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0FB250">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糖化血红蛋白</w:t>
            </w:r>
          </w:p>
        </w:tc>
        <w:tc>
          <w:tcPr>
            <w:tcW w:w="5861" w:type="dxa"/>
            <w:tcBorders>
              <w:top w:val="single" w:color="000000" w:sz="4" w:space="0"/>
              <w:left w:val="single" w:color="000000" w:sz="4" w:space="0"/>
              <w:bottom w:val="single" w:color="000000" w:sz="4" w:space="0"/>
              <w:right w:val="single" w:color="auto" w:sz="4" w:space="0"/>
            </w:tcBorders>
            <w:noWrap w:val="0"/>
            <w:vAlign w:val="center"/>
          </w:tcPr>
          <w:p w14:paraId="7B01F8AB">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反映采血前2-3个月之内的平均血糖水平，是糖尿病筛查和了解糖尿病控制情况的一个重要指标</w:t>
            </w:r>
          </w:p>
        </w:tc>
      </w:tr>
      <w:tr w14:paraId="25211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E697B">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14</w:t>
            </w:r>
          </w:p>
        </w:tc>
        <w:tc>
          <w:tcPr>
            <w:tcW w:w="2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B2A33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心肌酶谱</w:t>
            </w:r>
          </w:p>
        </w:tc>
        <w:tc>
          <w:tcPr>
            <w:tcW w:w="5861" w:type="dxa"/>
            <w:tcBorders>
              <w:top w:val="single" w:color="000000" w:sz="4" w:space="0"/>
              <w:left w:val="single" w:color="000000" w:sz="4" w:space="0"/>
              <w:bottom w:val="single" w:color="000000" w:sz="4" w:space="0"/>
              <w:right w:val="single" w:color="auto" w:sz="4" w:space="0"/>
            </w:tcBorders>
            <w:noWrap w:val="0"/>
            <w:vAlign w:val="center"/>
          </w:tcPr>
          <w:p w14:paraId="73C1DA08">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反应急性或慢性心肌损伤</w:t>
            </w:r>
          </w:p>
        </w:tc>
      </w:tr>
      <w:tr w14:paraId="1111D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8838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15</w:t>
            </w:r>
          </w:p>
        </w:tc>
        <w:tc>
          <w:tcPr>
            <w:tcW w:w="2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F6B0A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血同型半胱氨酸测定</w:t>
            </w:r>
          </w:p>
        </w:tc>
        <w:tc>
          <w:tcPr>
            <w:tcW w:w="5861" w:type="dxa"/>
            <w:tcBorders>
              <w:top w:val="single" w:color="000000" w:sz="4" w:space="0"/>
              <w:left w:val="single" w:color="000000" w:sz="4" w:space="0"/>
              <w:bottom w:val="single" w:color="000000" w:sz="4" w:space="0"/>
              <w:right w:val="single" w:color="auto" w:sz="4" w:space="0"/>
            </w:tcBorders>
            <w:noWrap w:val="0"/>
            <w:vAlign w:val="center"/>
          </w:tcPr>
          <w:p w14:paraId="696A91C2">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预测急性心脑血管事件的独立危险因素</w:t>
            </w:r>
          </w:p>
        </w:tc>
      </w:tr>
      <w:tr w14:paraId="45B58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5C50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16</w:t>
            </w:r>
          </w:p>
        </w:tc>
        <w:tc>
          <w:tcPr>
            <w:tcW w:w="2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6E410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甲胎蛋白AFP定量</w:t>
            </w:r>
          </w:p>
        </w:tc>
        <w:tc>
          <w:tcPr>
            <w:tcW w:w="5861"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7958945C">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用于肝脏等炎症或肿瘤的辅助诊断，及治疗前后的对比监测</w:t>
            </w:r>
          </w:p>
        </w:tc>
      </w:tr>
      <w:tr w14:paraId="65F8F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1"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B496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17</w:t>
            </w:r>
          </w:p>
        </w:tc>
        <w:tc>
          <w:tcPr>
            <w:tcW w:w="2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A3088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癌胚抗原CEA定量</w:t>
            </w:r>
          </w:p>
        </w:tc>
        <w:tc>
          <w:tcPr>
            <w:tcW w:w="5861"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11ED87D3">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用于结直肠、乳腺、肺等炎症或肿瘤的辅助诊断，及治疗前后的对比监测</w:t>
            </w:r>
          </w:p>
        </w:tc>
      </w:tr>
      <w:tr w14:paraId="3587D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1"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3A6B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18</w:t>
            </w:r>
          </w:p>
        </w:tc>
        <w:tc>
          <w:tcPr>
            <w:tcW w:w="2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1A0A70">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糖类抗原CA-199（胰腺）</w:t>
            </w:r>
          </w:p>
        </w:tc>
        <w:tc>
          <w:tcPr>
            <w:tcW w:w="5861"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387EE13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用于胰腺、结直肠、肝胆、胃等炎症或肿瘤的辅助诊断，及治疗前后的对比监测</w:t>
            </w:r>
          </w:p>
        </w:tc>
      </w:tr>
      <w:tr w14:paraId="0A0A3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1"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ED72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19</w:t>
            </w:r>
          </w:p>
        </w:tc>
        <w:tc>
          <w:tcPr>
            <w:tcW w:w="2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25160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糖类抗原CA72-4（消化道）</w:t>
            </w:r>
          </w:p>
        </w:tc>
        <w:tc>
          <w:tcPr>
            <w:tcW w:w="5861"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7355E7B7">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用于胃、肠道、卵巢等炎症或肿瘤的辅助诊断，及治疗前后的对比监测</w:t>
            </w:r>
          </w:p>
        </w:tc>
      </w:tr>
      <w:tr w14:paraId="4C049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17BE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20</w:t>
            </w:r>
          </w:p>
        </w:tc>
        <w:tc>
          <w:tcPr>
            <w:tcW w:w="2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B829C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糖类抗原CA-153（乳腺）</w:t>
            </w:r>
          </w:p>
        </w:tc>
        <w:tc>
          <w:tcPr>
            <w:tcW w:w="5861"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5578932C">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用于乳腺、肝脏、卵巢等炎症或肿瘤的辅助诊断，及治疗前后的对比监测</w:t>
            </w:r>
          </w:p>
        </w:tc>
      </w:tr>
      <w:tr w14:paraId="47E7B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1"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646EB">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21</w:t>
            </w:r>
          </w:p>
        </w:tc>
        <w:tc>
          <w:tcPr>
            <w:tcW w:w="2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205C4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糖类抗原CA-125(卵巢）</w:t>
            </w:r>
          </w:p>
        </w:tc>
        <w:tc>
          <w:tcPr>
            <w:tcW w:w="5861"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7E9BB4B1">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用于卵巢、子宫及输卵管、肺、胰腺、乳腺、胃肠道等炎症或肿瘤的辅助诊断，及治疗前后的对比监测</w:t>
            </w:r>
          </w:p>
        </w:tc>
      </w:tr>
      <w:tr w14:paraId="103D6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1" w:hRule="atLeast"/>
          <w:jc w:val="center"/>
        </w:trPr>
        <w:tc>
          <w:tcPr>
            <w:tcW w:w="895" w:type="dxa"/>
            <w:tcBorders>
              <w:top w:val="single" w:color="000000" w:sz="4" w:space="0"/>
              <w:left w:val="single" w:color="000000" w:sz="4" w:space="0"/>
              <w:bottom w:val="single" w:color="000000" w:sz="4" w:space="0"/>
              <w:right w:val="single" w:color="000000" w:sz="4" w:space="0"/>
            </w:tcBorders>
            <w:noWrap/>
            <w:vAlign w:val="center"/>
          </w:tcPr>
          <w:p w14:paraId="293001D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22</w:t>
            </w:r>
          </w:p>
        </w:tc>
        <w:tc>
          <w:tcPr>
            <w:tcW w:w="2387" w:type="dxa"/>
            <w:tcBorders>
              <w:top w:val="single" w:color="000000" w:sz="4" w:space="0"/>
              <w:left w:val="single" w:color="000000" w:sz="4" w:space="0"/>
              <w:bottom w:val="single" w:color="000000" w:sz="4" w:space="0"/>
              <w:right w:val="single" w:color="000000" w:sz="4" w:space="0"/>
            </w:tcBorders>
            <w:noWrap/>
            <w:vAlign w:val="center"/>
          </w:tcPr>
          <w:p w14:paraId="445FFD2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肝、胆、胰、脾</w:t>
            </w:r>
          </w:p>
        </w:tc>
        <w:tc>
          <w:tcPr>
            <w:tcW w:w="5861" w:type="dxa"/>
            <w:tcBorders>
              <w:top w:val="single" w:color="000000" w:sz="4" w:space="0"/>
              <w:left w:val="single" w:color="000000" w:sz="4" w:space="0"/>
              <w:bottom w:val="single" w:color="000000" w:sz="4" w:space="0"/>
              <w:right w:val="single" w:color="auto" w:sz="4" w:space="0"/>
            </w:tcBorders>
            <w:noWrap w:val="0"/>
            <w:vAlign w:val="center"/>
          </w:tcPr>
          <w:p w14:paraId="4E4475B1">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通过彩色超声检查肝脏、胆囊、胰腺、脾脏器官的形态及病理改变（如肿瘤、结石、脂肪肝、肝硬化等）</w:t>
            </w:r>
          </w:p>
        </w:tc>
      </w:tr>
      <w:tr w14:paraId="2C718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6" w:hRule="atLeast"/>
          <w:jc w:val="center"/>
        </w:trPr>
        <w:tc>
          <w:tcPr>
            <w:tcW w:w="895" w:type="dxa"/>
            <w:tcBorders>
              <w:top w:val="single" w:color="000000" w:sz="4" w:space="0"/>
              <w:left w:val="single" w:color="000000" w:sz="4" w:space="0"/>
              <w:bottom w:val="single" w:color="000000" w:sz="4" w:space="0"/>
              <w:right w:val="single" w:color="000000" w:sz="4" w:space="0"/>
            </w:tcBorders>
            <w:noWrap/>
            <w:vAlign w:val="center"/>
          </w:tcPr>
          <w:p w14:paraId="0F87AF4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23</w:t>
            </w:r>
          </w:p>
        </w:tc>
        <w:tc>
          <w:tcPr>
            <w:tcW w:w="2387" w:type="dxa"/>
            <w:tcBorders>
              <w:top w:val="single" w:color="000000" w:sz="4" w:space="0"/>
              <w:left w:val="single" w:color="000000" w:sz="4" w:space="0"/>
              <w:bottom w:val="single" w:color="000000" w:sz="4" w:space="0"/>
              <w:right w:val="single" w:color="000000" w:sz="4" w:space="0"/>
            </w:tcBorders>
            <w:noWrap/>
            <w:vAlign w:val="center"/>
          </w:tcPr>
          <w:p w14:paraId="0718277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子宫附件常规</w:t>
            </w:r>
          </w:p>
        </w:tc>
        <w:tc>
          <w:tcPr>
            <w:tcW w:w="5861" w:type="dxa"/>
            <w:tcBorders>
              <w:top w:val="single" w:color="000000" w:sz="4" w:space="0"/>
              <w:left w:val="single" w:color="000000" w:sz="4" w:space="0"/>
              <w:bottom w:val="single" w:color="000000" w:sz="4" w:space="0"/>
              <w:right w:val="single" w:color="auto" w:sz="4" w:space="0"/>
            </w:tcBorders>
            <w:noWrap w:val="0"/>
            <w:vAlign w:val="center"/>
          </w:tcPr>
          <w:p w14:paraId="69CB873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通过彩色超声检查子宫、附件等内脏器官的形态及病理改变（如肿瘤、子宫及附件等）</w:t>
            </w:r>
          </w:p>
        </w:tc>
      </w:tr>
      <w:tr w14:paraId="3B7DD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D7AE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24</w:t>
            </w:r>
          </w:p>
        </w:tc>
        <w:tc>
          <w:tcPr>
            <w:tcW w:w="23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DBD5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女性泌尿系（双肾、输尿管、膀胱）</w:t>
            </w:r>
          </w:p>
        </w:tc>
        <w:tc>
          <w:tcPr>
            <w:tcW w:w="5861" w:type="dxa"/>
            <w:tcBorders>
              <w:top w:val="nil"/>
              <w:left w:val="single" w:color="000000" w:sz="4" w:space="0"/>
              <w:bottom w:val="nil"/>
              <w:right w:val="single" w:color="auto" w:sz="4" w:space="0"/>
            </w:tcBorders>
            <w:shd w:val="clear" w:color="auto" w:fill="FFFFFF"/>
            <w:noWrap w:val="0"/>
            <w:vAlign w:val="center"/>
          </w:tcPr>
          <w:p w14:paraId="1E1445CE">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通过彩色超声检查肾脏、输尿管、膀胱内脏器官的形态及病理改变</w:t>
            </w:r>
          </w:p>
        </w:tc>
      </w:tr>
      <w:tr w14:paraId="37EF9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1C25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25</w:t>
            </w:r>
          </w:p>
        </w:tc>
        <w:tc>
          <w:tcPr>
            <w:tcW w:w="23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380E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甲状腺</w:t>
            </w:r>
          </w:p>
        </w:tc>
        <w:tc>
          <w:tcPr>
            <w:tcW w:w="5861"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7C057B56">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通过彩色超声检查甲状腺器官的形态及病理改变（如肿瘤、结节等病变）</w:t>
            </w:r>
          </w:p>
        </w:tc>
      </w:tr>
      <w:tr w14:paraId="462A9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895" w:type="dxa"/>
            <w:tcBorders>
              <w:top w:val="single" w:color="000000" w:sz="4" w:space="0"/>
              <w:left w:val="single" w:color="000000" w:sz="4" w:space="0"/>
              <w:bottom w:val="single" w:color="000000" w:sz="4" w:space="0"/>
              <w:right w:val="single" w:color="000000" w:sz="4" w:space="0"/>
            </w:tcBorders>
            <w:noWrap/>
            <w:vAlign w:val="center"/>
          </w:tcPr>
          <w:p w14:paraId="76B9AFB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26</w:t>
            </w:r>
          </w:p>
        </w:tc>
        <w:tc>
          <w:tcPr>
            <w:tcW w:w="2387" w:type="dxa"/>
            <w:tcBorders>
              <w:top w:val="single" w:color="000000" w:sz="4" w:space="0"/>
              <w:left w:val="single" w:color="000000" w:sz="4" w:space="0"/>
              <w:bottom w:val="single" w:color="000000" w:sz="4" w:space="0"/>
              <w:right w:val="single" w:color="000000" w:sz="4" w:space="0"/>
            </w:tcBorders>
            <w:noWrap/>
            <w:vAlign w:val="center"/>
          </w:tcPr>
          <w:p w14:paraId="50F4C380">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乳腺彩超</w:t>
            </w:r>
          </w:p>
        </w:tc>
        <w:tc>
          <w:tcPr>
            <w:tcW w:w="5861" w:type="dxa"/>
            <w:tcBorders>
              <w:top w:val="single" w:color="000000" w:sz="4" w:space="0"/>
              <w:left w:val="single" w:color="000000" w:sz="4" w:space="0"/>
              <w:bottom w:val="single" w:color="000000" w:sz="4" w:space="0"/>
              <w:right w:val="single" w:color="auto" w:sz="4" w:space="0"/>
            </w:tcBorders>
            <w:noWrap w:val="0"/>
            <w:vAlign w:val="center"/>
          </w:tcPr>
          <w:p w14:paraId="45B9B63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有无乳腺包块、增生、小结等</w:t>
            </w:r>
          </w:p>
        </w:tc>
      </w:tr>
      <w:tr w14:paraId="3E1BD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5" w:hRule="atLeast"/>
          <w:jc w:val="center"/>
        </w:trPr>
        <w:tc>
          <w:tcPr>
            <w:tcW w:w="895" w:type="dxa"/>
            <w:tcBorders>
              <w:top w:val="single" w:color="000000" w:sz="4" w:space="0"/>
              <w:left w:val="single" w:color="000000" w:sz="4" w:space="0"/>
              <w:bottom w:val="single" w:color="000000" w:sz="4" w:space="0"/>
              <w:right w:val="single" w:color="000000" w:sz="4" w:space="0"/>
            </w:tcBorders>
            <w:noWrap/>
            <w:vAlign w:val="center"/>
          </w:tcPr>
          <w:p w14:paraId="30F3923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27</w:t>
            </w:r>
          </w:p>
        </w:tc>
        <w:tc>
          <w:tcPr>
            <w:tcW w:w="2387" w:type="dxa"/>
            <w:tcBorders>
              <w:top w:val="single" w:color="000000" w:sz="4" w:space="0"/>
              <w:left w:val="single" w:color="000000" w:sz="4" w:space="0"/>
              <w:bottom w:val="single" w:color="000000" w:sz="4" w:space="0"/>
              <w:right w:val="single" w:color="000000" w:sz="4" w:space="0"/>
            </w:tcBorders>
            <w:noWrap/>
            <w:vAlign w:val="center"/>
          </w:tcPr>
          <w:p w14:paraId="6212206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心脏彩超</w:t>
            </w:r>
          </w:p>
        </w:tc>
        <w:tc>
          <w:tcPr>
            <w:tcW w:w="5861" w:type="dxa"/>
            <w:tcBorders>
              <w:top w:val="single" w:color="000000" w:sz="4" w:space="0"/>
              <w:left w:val="single" w:color="000000" w:sz="4" w:space="0"/>
              <w:bottom w:val="single" w:color="000000" w:sz="4" w:space="0"/>
              <w:right w:val="single" w:color="auto" w:sz="4" w:space="0"/>
            </w:tcBorders>
            <w:noWrap w:val="0"/>
            <w:vAlign w:val="center"/>
          </w:tcPr>
          <w:p w14:paraId="73EB2046">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了解心脏各腔室、心肌厚度、瓣膜形态和活动及心脏的功能，为心脏瓣膜病、心肌病、高血压性心脏病、管状动脉粥样硬化性心脏病、心包疾病、先天性心脏病的诊断与治疗追踪提供依据</w:t>
            </w:r>
          </w:p>
        </w:tc>
      </w:tr>
      <w:tr w14:paraId="402AE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895" w:type="dxa"/>
            <w:tcBorders>
              <w:top w:val="single" w:color="000000" w:sz="4" w:space="0"/>
              <w:left w:val="single" w:color="000000" w:sz="4" w:space="0"/>
              <w:bottom w:val="single" w:color="000000" w:sz="4" w:space="0"/>
              <w:right w:val="single" w:color="000000" w:sz="4" w:space="0"/>
            </w:tcBorders>
            <w:noWrap/>
            <w:vAlign w:val="center"/>
          </w:tcPr>
          <w:p w14:paraId="218316E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28</w:t>
            </w:r>
          </w:p>
        </w:tc>
        <w:tc>
          <w:tcPr>
            <w:tcW w:w="2387" w:type="dxa"/>
            <w:tcBorders>
              <w:top w:val="single" w:color="000000" w:sz="4" w:space="0"/>
              <w:left w:val="single" w:color="000000" w:sz="4" w:space="0"/>
              <w:bottom w:val="single" w:color="000000" w:sz="4" w:space="0"/>
              <w:right w:val="single" w:color="000000" w:sz="4" w:space="0"/>
            </w:tcBorders>
            <w:noWrap/>
            <w:vAlign w:val="center"/>
          </w:tcPr>
          <w:p w14:paraId="0C067910">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常规心电图检查</w:t>
            </w:r>
          </w:p>
        </w:tc>
        <w:tc>
          <w:tcPr>
            <w:tcW w:w="5861" w:type="dxa"/>
            <w:tcBorders>
              <w:top w:val="single" w:color="000000" w:sz="4" w:space="0"/>
              <w:left w:val="single" w:color="000000" w:sz="4" w:space="0"/>
              <w:bottom w:val="single" w:color="000000" w:sz="4" w:space="0"/>
              <w:right w:val="single" w:color="auto" w:sz="4" w:space="0"/>
            </w:tcBorders>
            <w:noWrap w:val="0"/>
            <w:vAlign w:val="center"/>
          </w:tcPr>
          <w:p w14:paraId="14CC2678">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辅助诊断心律失常、心肌缺血、心肌梗死等</w:t>
            </w:r>
          </w:p>
        </w:tc>
      </w:tr>
      <w:tr w14:paraId="04A68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1" w:hRule="atLeast"/>
          <w:jc w:val="center"/>
        </w:trPr>
        <w:tc>
          <w:tcPr>
            <w:tcW w:w="895" w:type="dxa"/>
            <w:tcBorders>
              <w:top w:val="single" w:color="000000" w:sz="4" w:space="0"/>
              <w:left w:val="single" w:color="000000" w:sz="4" w:space="0"/>
              <w:bottom w:val="single" w:color="000000" w:sz="4" w:space="0"/>
              <w:right w:val="single" w:color="000000" w:sz="4" w:space="0"/>
            </w:tcBorders>
            <w:noWrap/>
            <w:vAlign w:val="center"/>
          </w:tcPr>
          <w:p w14:paraId="05F8C74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29</w:t>
            </w:r>
          </w:p>
        </w:tc>
        <w:tc>
          <w:tcPr>
            <w:tcW w:w="2387" w:type="dxa"/>
            <w:tcBorders>
              <w:top w:val="single" w:color="000000" w:sz="4" w:space="0"/>
              <w:left w:val="single" w:color="000000" w:sz="4" w:space="0"/>
              <w:bottom w:val="single" w:color="000000" w:sz="4" w:space="0"/>
              <w:right w:val="single" w:color="000000" w:sz="4" w:space="0"/>
            </w:tcBorders>
            <w:noWrap/>
            <w:vAlign w:val="center"/>
          </w:tcPr>
          <w:p w14:paraId="2DB9D82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碳13尿素呼气试验</w:t>
            </w:r>
          </w:p>
        </w:tc>
        <w:tc>
          <w:tcPr>
            <w:tcW w:w="5861" w:type="dxa"/>
            <w:tcBorders>
              <w:top w:val="single" w:color="000000" w:sz="4" w:space="0"/>
              <w:left w:val="single" w:color="000000" w:sz="4" w:space="0"/>
              <w:bottom w:val="single" w:color="000000" w:sz="4" w:space="0"/>
              <w:right w:val="single" w:color="auto" w:sz="4" w:space="0"/>
            </w:tcBorders>
            <w:noWrap w:val="0"/>
            <w:vAlign w:val="center"/>
          </w:tcPr>
          <w:p w14:paraId="36FE3562">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检测是否感染幽门螺旋杆菌，对消化性溃疡、慢性活动性胃炎、胃癌等消化系统疾病有辅助诊断作用</w:t>
            </w:r>
          </w:p>
        </w:tc>
      </w:tr>
      <w:tr w14:paraId="0A4F2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7A2F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30</w:t>
            </w:r>
          </w:p>
        </w:tc>
        <w:tc>
          <w:tcPr>
            <w:tcW w:w="2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CE5C7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妇科常规检查</w:t>
            </w:r>
          </w:p>
        </w:tc>
        <w:tc>
          <w:tcPr>
            <w:tcW w:w="5861" w:type="dxa"/>
            <w:tcBorders>
              <w:top w:val="single" w:color="000000" w:sz="4" w:space="0"/>
              <w:left w:val="single" w:color="000000" w:sz="4" w:space="0"/>
              <w:bottom w:val="single" w:color="000000" w:sz="4" w:space="0"/>
              <w:right w:val="single" w:color="auto" w:sz="4" w:space="0"/>
            </w:tcBorders>
            <w:noWrap w:val="0"/>
            <w:vAlign w:val="center"/>
          </w:tcPr>
          <w:p w14:paraId="7F1743AB">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检查女性生殖器有无异常改变，有无宫颈及阴道异常病变</w:t>
            </w:r>
          </w:p>
        </w:tc>
      </w:tr>
      <w:tr w14:paraId="3C7DD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1" w:hRule="atLeast"/>
          <w:jc w:val="center"/>
        </w:trPr>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493D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31</w:t>
            </w:r>
          </w:p>
        </w:tc>
        <w:tc>
          <w:tcPr>
            <w:tcW w:w="23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2C35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阴道分泌物检查</w:t>
            </w:r>
          </w:p>
        </w:tc>
        <w:tc>
          <w:tcPr>
            <w:tcW w:w="5861"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19C0C6FB">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检测阴道分泌物清洁度，霉菌性、滴虫性阴道炎、细菌性阴道病等妇科疾病的筛查</w:t>
            </w:r>
          </w:p>
        </w:tc>
      </w:tr>
      <w:tr w14:paraId="687C2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895" w:type="dxa"/>
            <w:tcBorders>
              <w:top w:val="single" w:color="000000" w:sz="4" w:space="0"/>
              <w:left w:val="single" w:color="000000" w:sz="4" w:space="0"/>
              <w:bottom w:val="single" w:color="000000" w:sz="4" w:space="0"/>
              <w:right w:val="single" w:color="000000" w:sz="4" w:space="0"/>
            </w:tcBorders>
            <w:noWrap/>
            <w:vAlign w:val="center"/>
          </w:tcPr>
          <w:p w14:paraId="635BCA8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32</w:t>
            </w:r>
          </w:p>
        </w:tc>
        <w:tc>
          <w:tcPr>
            <w:tcW w:w="2387" w:type="dxa"/>
            <w:tcBorders>
              <w:top w:val="single" w:color="000000" w:sz="4" w:space="0"/>
              <w:left w:val="single" w:color="000000" w:sz="4" w:space="0"/>
              <w:bottom w:val="single" w:color="000000" w:sz="4" w:space="0"/>
              <w:right w:val="single" w:color="000000" w:sz="4" w:space="0"/>
            </w:tcBorders>
            <w:noWrap/>
            <w:vAlign w:val="center"/>
          </w:tcPr>
          <w:p w14:paraId="6362426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液基薄层细胞制片术</w:t>
            </w:r>
          </w:p>
        </w:tc>
        <w:tc>
          <w:tcPr>
            <w:tcW w:w="5861" w:type="dxa"/>
            <w:tcBorders>
              <w:top w:val="single" w:color="000000" w:sz="4" w:space="0"/>
              <w:left w:val="single" w:color="000000" w:sz="4" w:space="0"/>
              <w:bottom w:val="single" w:color="000000" w:sz="4" w:space="0"/>
              <w:right w:val="single" w:color="auto" w:sz="4" w:space="0"/>
            </w:tcBorders>
            <w:noWrap w:val="0"/>
            <w:vAlign w:val="center"/>
          </w:tcPr>
          <w:p w14:paraId="4D34FF5C">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早期宫颈癌的病因检测及其癌前病变较先进的筛查方法</w:t>
            </w:r>
          </w:p>
        </w:tc>
      </w:tr>
      <w:tr w14:paraId="149D5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895" w:type="dxa"/>
            <w:tcBorders>
              <w:top w:val="single" w:color="000000" w:sz="4" w:space="0"/>
              <w:left w:val="single" w:color="000000" w:sz="4" w:space="0"/>
              <w:bottom w:val="single" w:color="000000" w:sz="4" w:space="0"/>
              <w:right w:val="single" w:color="000000" w:sz="4" w:space="0"/>
            </w:tcBorders>
            <w:noWrap/>
            <w:vAlign w:val="center"/>
          </w:tcPr>
          <w:p w14:paraId="359AD0C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33</w:t>
            </w:r>
          </w:p>
        </w:tc>
        <w:tc>
          <w:tcPr>
            <w:tcW w:w="2387" w:type="dxa"/>
            <w:tcBorders>
              <w:top w:val="single" w:color="000000" w:sz="4" w:space="0"/>
              <w:left w:val="single" w:color="000000" w:sz="4" w:space="0"/>
              <w:bottom w:val="single" w:color="000000" w:sz="4" w:space="0"/>
              <w:right w:val="single" w:color="000000" w:sz="4" w:space="0"/>
            </w:tcBorders>
            <w:noWrap/>
            <w:vAlign w:val="center"/>
          </w:tcPr>
          <w:p w14:paraId="44A40AA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人乳头瘤病毒</w:t>
            </w:r>
          </w:p>
        </w:tc>
        <w:tc>
          <w:tcPr>
            <w:tcW w:w="5861" w:type="dxa"/>
            <w:tcBorders>
              <w:top w:val="single" w:color="000000" w:sz="4" w:space="0"/>
              <w:left w:val="single" w:color="000000" w:sz="4" w:space="0"/>
              <w:bottom w:val="single" w:color="000000" w:sz="4" w:space="0"/>
              <w:right w:val="single" w:color="auto" w:sz="4" w:space="0"/>
            </w:tcBorders>
            <w:noWrap w:val="0"/>
            <w:vAlign w:val="center"/>
          </w:tcPr>
          <w:p w14:paraId="69768B59">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高危高危人乳头瘤病毒感染与宫颈癌相关</w:t>
            </w:r>
          </w:p>
        </w:tc>
      </w:tr>
      <w:tr w14:paraId="69B90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0" w:hRule="atLeast"/>
          <w:jc w:val="center"/>
        </w:trPr>
        <w:tc>
          <w:tcPr>
            <w:tcW w:w="895" w:type="dxa"/>
            <w:tcBorders>
              <w:top w:val="single" w:color="000000" w:sz="4" w:space="0"/>
              <w:left w:val="single" w:color="000000" w:sz="4" w:space="0"/>
              <w:bottom w:val="single" w:color="000000" w:sz="4" w:space="0"/>
              <w:right w:val="single" w:color="000000" w:sz="4" w:space="0"/>
            </w:tcBorders>
            <w:noWrap/>
            <w:vAlign w:val="center"/>
          </w:tcPr>
          <w:p w14:paraId="36CE2F9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34</w:t>
            </w:r>
          </w:p>
        </w:tc>
        <w:tc>
          <w:tcPr>
            <w:tcW w:w="2387" w:type="dxa"/>
            <w:tcBorders>
              <w:top w:val="single" w:color="000000" w:sz="4" w:space="0"/>
              <w:left w:val="single" w:color="000000" w:sz="4" w:space="0"/>
              <w:bottom w:val="single" w:color="000000" w:sz="4" w:space="0"/>
              <w:right w:val="single" w:color="000000" w:sz="4" w:space="0"/>
            </w:tcBorders>
            <w:noWrap w:val="0"/>
            <w:vAlign w:val="center"/>
          </w:tcPr>
          <w:p w14:paraId="64C8385B">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胸部CT（不含片）</w:t>
            </w:r>
          </w:p>
        </w:tc>
        <w:tc>
          <w:tcPr>
            <w:tcW w:w="5861" w:type="dxa"/>
            <w:tcBorders>
              <w:top w:val="single" w:color="000000" w:sz="4" w:space="0"/>
              <w:left w:val="single" w:color="000000" w:sz="4" w:space="0"/>
              <w:bottom w:val="single" w:color="000000" w:sz="4" w:space="0"/>
              <w:right w:val="single" w:color="auto" w:sz="4" w:space="0"/>
            </w:tcBorders>
            <w:noWrap w:val="0"/>
            <w:vAlign w:val="center"/>
          </w:tcPr>
          <w:p w14:paraId="2A137891">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通过断层成像技术，快速精准地显示人体内部结构，帮助医生明确病变位置、范围、性质、为疾病诊断、治疗计划及疗效评估提供关键依据。（如肿瘤、外伤、血管病变等）</w:t>
            </w:r>
          </w:p>
        </w:tc>
      </w:tr>
    </w:tbl>
    <w:p w14:paraId="0B6EE4B5">
      <w:pPr>
        <w:spacing w:line="360" w:lineRule="auto"/>
        <w:rPr>
          <w:rFonts w:hint="eastAsia" w:ascii="楷体_GB2312" w:hAnsi="楷体_GB2312" w:eastAsia="楷体_GB2312" w:cs="楷体_GB2312"/>
          <w:sz w:val="24"/>
          <w:szCs w:val="24"/>
        </w:rPr>
      </w:pPr>
    </w:p>
    <w:p w14:paraId="4EDCFC12">
      <w:pPr>
        <w:spacing w:line="360" w:lineRule="auto"/>
        <w:rPr>
          <w:rFonts w:hint="eastAsia" w:ascii="楷体_GB2312" w:hAnsi="楷体_GB2312" w:eastAsia="楷体_GB2312" w:cs="楷体_GB2312"/>
          <w:sz w:val="24"/>
          <w:szCs w:val="24"/>
        </w:rPr>
      </w:pPr>
    </w:p>
    <w:p w14:paraId="3E0FCCBB">
      <w:pPr>
        <w:spacing w:line="360" w:lineRule="auto"/>
        <w:rPr>
          <w:rFonts w:hint="eastAsia" w:ascii="楷体_GB2312" w:hAnsi="楷体_GB2312" w:eastAsia="楷体_GB2312" w:cs="楷体_GB2312"/>
          <w:sz w:val="24"/>
          <w:szCs w:val="24"/>
        </w:rPr>
      </w:pPr>
    </w:p>
    <w:p w14:paraId="68DCF83A">
      <w:pPr>
        <w:spacing w:line="360" w:lineRule="auto"/>
        <w:rPr>
          <w:rFonts w:hint="eastAsia" w:ascii="楷体_GB2312" w:hAnsi="楷体_GB2312" w:eastAsia="楷体_GB2312" w:cs="楷体_GB2312"/>
          <w:sz w:val="24"/>
          <w:szCs w:val="24"/>
        </w:rPr>
      </w:pPr>
    </w:p>
    <w:p w14:paraId="1905ADB0">
      <w:pPr>
        <w:spacing w:line="360" w:lineRule="auto"/>
        <w:jc w:val="center"/>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表四：＞40岁⼥性已婚</w:t>
      </w:r>
    </w:p>
    <w:tbl>
      <w:tblPr>
        <w:tblStyle w:val="5"/>
        <w:tblW w:w="93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2"/>
        <w:gridCol w:w="2586"/>
        <w:gridCol w:w="5802"/>
      </w:tblGrid>
      <w:tr w14:paraId="2CC2C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942" w:type="dxa"/>
            <w:tcBorders>
              <w:top w:val="single" w:color="auto" w:sz="4" w:space="0"/>
              <w:left w:val="single" w:color="auto" w:sz="4" w:space="0"/>
              <w:bottom w:val="single" w:color="auto" w:sz="4" w:space="0"/>
              <w:right w:val="single" w:color="auto" w:sz="4" w:space="0"/>
            </w:tcBorders>
            <w:noWrap/>
            <w:vAlign w:val="center"/>
          </w:tcPr>
          <w:p w14:paraId="7E797571">
            <w:pPr>
              <w:keepNext w:val="0"/>
              <w:keepLines w:val="0"/>
              <w:widowControl/>
              <w:suppressLineNumbers w:val="0"/>
              <w:spacing w:line="24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序号</w:t>
            </w:r>
          </w:p>
        </w:tc>
        <w:tc>
          <w:tcPr>
            <w:tcW w:w="2586" w:type="dxa"/>
            <w:tcBorders>
              <w:top w:val="single" w:color="auto" w:sz="4" w:space="0"/>
              <w:left w:val="single" w:color="auto" w:sz="4" w:space="0"/>
              <w:bottom w:val="single" w:color="auto" w:sz="4" w:space="0"/>
              <w:right w:val="single" w:color="auto" w:sz="4" w:space="0"/>
            </w:tcBorders>
            <w:noWrap/>
            <w:vAlign w:val="center"/>
          </w:tcPr>
          <w:p w14:paraId="13C50418">
            <w:pPr>
              <w:keepNext w:val="0"/>
              <w:keepLines w:val="0"/>
              <w:widowControl/>
              <w:suppressLineNumbers w:val="0"/>
              <w:spacing w:line="24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项目</w:t>
            </w:r>
          </w:p>
        </w:tc>
        <w:tc>
          <w:tcPr>
            <w:tcW w:w="5802" w:type="dxa"/>
            <w:tcBorders>
              <w:top w:val="single" w:color="auto" w:sz="4" w:space="0"/>
              <w:left w:val="single" w:color="auto" w:sz="4" w:space="0"/>
              <w:bottom w:val="single" w:color="auto" w:sz="4" w:space="0"/>
              <w:right w:val="single" w:color="auto" w:sz="4" w:space="0"/>
            </w:tcBorders>
            <w:noWrap/>
            <w:vAlign w:val="center"/>
          </w:tcPr>
          <w:p w14:paraId="44834E4D">
            <w:pPr>
              <w:keepNext w:val="0"/>
              <w:keepLines w:val="0"/>
              <w:widowControl/>
              <w:suppressLineNumbers w:val="0"/>
              <w:spacing w:line="24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临床意义</w:t>
            </w:r>
          </w:p>
        </w:tc>
      </w:tr>
      <w:tr w14:paraId="58D6F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3" w:hRule="atLeast"/>
          <w:jc w:val="center"/>
        </w:trPr>
        <w:tc>
          <w:tcPr>
            <w:tcW w:w="942"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771762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w:t>
            </w:r>
          </w:p>
        </w:tc>
        <w:tc>
          <w:tcPr>
            <w:tcW w:w="2586" w:type="dxa"/>
            <w:tcBorders>
              <w:top w:val="single" w:color="auto" w:sz="4" w:space="0"/>
              <w:left w:val="single" w:color="000000" w:sz="4" w:space="0"/>
              <w:bottom w:val="single" w:color="000000" w:sz="4" w:space="0"/>
              <w:right w:val="single" w:color="000000" w:sz="4" w:space="0"/>
            </w:tcBorders>
            <w:shd w:val="clear" w:color="auto" w:fill="FFFFFF"/>
            <w:noWrap/>
            <w:vAlign w:val="center"/>
          </w:tcPr>
          <w:p w14:paraId="428342A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调查问卷</w:t>
            </w:r>
          </w:p>
        </w:tc>
        <w:tc>
          <w:tcPr>
            <w:tcW w:w="5802" w:type="dxa"/>
            <w:tcBorders>
              <w:top w:val="single" w:color="auto" w:sz="4" w:space="0"/>
              <w:left w:val="single" w:color="000000" w:sz="4" w:space="0"/>
              <w:bottom w:val="single" w:color="000000" w:sz="4" w:space="0"/>
              <w:right w:val="single" w:color="auto" w:sz="4" w:space="0"/>
            </w:tcBorders>
            <w:noWrap w:val="0"/>
            <w:vAlign w:val="center"/>
          </w:tcPr>
          <w:p w14:paraId="7FFC30A1">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为医生提供全面的个人健康信息，实现个性化精准化的健康管理</w:t>
            </w:r>
          </w:p>
        </w:tc>
      </w:tr>
      <w:tr w14:paraId="2499E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C990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w:t>
            </w:r>
          </w:p>
        </w:tc>
        <w:tc>
          <w:tcPr>
            <w:tcW w:w="2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4C112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身高、体重、血压</w:t>
            </w:r>
          </w:p>
        </w:tc>
        <w:tc>
          <w:tcPr>
            <w:tcW w:w="5802" w:type="dxa"/>
            <w:tcBorders>
              <w:top w:val="single" w:color="000000" w:sz="4" w:space="0"/>
              <w:left w:val="single" w:color="000000" w:sz="4" w:space="0"/>
              <w:bottom w:val="single" w:color="000000" w:sz="4" w:space="0"/>
              <w:right w:val="single" w:color="auto" w:sz="4" w:space="0"/>
            </w:tcBorders>
            <w:noWrap w:val="0"/>
            <w:vAlign w:val="center"/>
          </w:tcPr>
          <w:p w14:paraId="496764A7">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诊断高血压、超重、肥胖、消瘦并为相关科室的诊断提供重要的依据</w:t>
            </w:r>
          </w:p>
        </w:tc>
      </w:tr>
      <w:tr w14:paraId="1CD74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2A2E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w:t>
            </w:r>
          </w:p>
        </w:tc>
        <w:tc>
          <w:tcPr>
            <w:tcW w:w="2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DA52B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内科</w:t>
            </w:r>
          </w:p>
        </w:tc>
        <w:tc>
          <w:tcPr>
            <w:tcW w:w="5802" w:type="dxa"/>
            <w:tcBorders>
              <w:top w:val="single" w:color="000000" w:sz="4" w:space="0"/>
              <w:left w:val="single" w:color="000000" w:sz="4" w:space="0"/>
              <w:bottom w:val="single" w:color="000000" w:sz="4" w:space="0"/>
              <w:right w:val="single" w:color="auto" w:sz="4" w:space="0"/>
            </w:tcBorders>
            <w:noWrap w:val="0"/>
            <w:vAlign w:val="center"/>
          </w:tcPr>
          <w:p w14:paraId="0CB6F5B0">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询问既往病史，通过视、触、叩、听检查方法，评估心、肺、肝、脾等基本状况</w:t>
            </w:r>
          </w:p>
        </w:tc>
      </w:tr>
      <w:tr w14:paraId="1982A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2CFF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4</w:t>
            </w:r>
          </w:p>
        </w:tc>
        <w:tc>
          <w:tcPr>
            <w:tcW w:w="2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20798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外科</w:t>
            </w:r>
          </w:p>
        </w:tc>
        <w:tc>
          <w:tcPr>
            <w:tcW w:w="5802" w:type="dxa"/>
            <w:tcBorders>
              <w:top w:val="single" w:color="000000" w:sz="4" w:space="0"/>
              <w:left w:val="single" w:color="000000" w:sz="4" w:space="0"/>
              <w:bottom w:val="single" w:color="000000" w:sz="4" w:space="0"/>
              <w:right w:val="single" w:color="auto" w:sz="4" w:space="0"/>
            </w:tcBorders>
            <w:noWrap w:val="0"/>
            <w:vAlign w:val="center"/>
          </w:tcPr>
          <w:p w14:paraId="0421302C">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检查淋巴结有无肿大，甲状腺、四肢脊柱有无畸形等</w:t>
            </w:r>
          </w:p>
        </w:tc>
      </w:tr>
      <w:tr w14:paraId="60FA5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F262B">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5</w:t>
            </w:r>
          </w:p>
        </w:tc>
        <w:tc>
          <w:tcPr>
            <w:tcW w:w="2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B79A7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血细胞分析+五分类</w:t>
            </w:r>
          </w:p>
        </w:tc>
        <w:tc>
          <w:tcPr>
            <w:tcW w:w="5802" w:type="dxa"/>
            <w:tcBorders>
              <w:top w:val="single" w:color="000000" w:sz="4" w:space="0"/>
              <w:left w:val="single" w:color="000000" w:sz="4" w:space="0"/>
              <w:bottom w:val="single" w:color="000000" w:sz="4" w:space="0"/>
              <w:right w:val="single" w:color="auto" w:sz="4" w:space="0"/>
            </w:tcBorders>
            <w:noWrap w:val="0"/>
            <w:vAlign w:val="center"/>
          </w:tcPr>
          <w:p w14:paraId="72F703E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有无感染、贫血、凝血功能障碍、血液病等</w:t>
            </w:r>
          </w:p>
        </w:tc>
      </w:tr>
      <w:tr w14:paraId="7B611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6E29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6</w:t>
            </w:r>
          </w:p>
        </w:tc>
        <w:tc>
          <w:tcPr>
            <w:tcW w:w="2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93A8D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尿液分析+沉渣镜检</w:t>
            </w:r>
          </w:p>
        </w:tc>
        <w:tc>
          <w:tcPr>
            <w:tcW w:w="580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02ADCEB1">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泌尿系统感染、肾病、肝胆疾患、结石、糖尿病等多种疾病检查</w:t>
            </w:r>
          </w:p>
        </w:tc>
      </w:tr>
      <w:tr w14:paraId="278DD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AF12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7</w:t>
            </w:r>
          </w:p>
        </w:tc>
        <w:tc>
          <w:tcPr>
            <w:tcW w:w="2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C684E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粪便常规+隐血试验</w:t>
            </w:r>
          </w:p>
        </w:tc>
        <w:tc>
          <w:tcPr>
            <w:tcW w:w="580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678B4E4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检测各种原因所致的消化道出血，消化道恶性肿瘤早期诊断的重要筛查指标</w:t>
            </w:r>
          </w:p>
        </w:tc>
      </w:tr>
      <w:tr w14:paraId="7B619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7"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6439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8</w:t>
            </w:r>
          </w:p>
        </w:tc>
        <w:tc>
          <w:tcPr>
            <w:tcW w:w="2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81C0F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肝功九项</w:t>
            </w:r>
          </w:p>
        </w:tc>
        <w:tc>
          <w:tcPr>
            <w:tcW w:w="5802" w:type="dxa"/>
            <w:tcBorders>
              <w:top w:val="single" w:color="000000" w:sz="4" w:space="0"/>
              <w:left w:val="single" w:color="000000" w:sz="4" w:space="0"/>
              <w:bottom w:val="single" w:color="000000" w:sz="4" w:space="0"/>
              <w:right w:val="single" w:color="auto" w:sz="4" w:space="0"/>
            </w:tcBorders>
            <w:noWrap w:val="0"/>
            <w:vAlign w:val="center"/>
          </w:tcPr>
          <w:p w14:paraId="6A8785A6">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反映肝脏功能，包括谷丙</w:t>
            </w:r>
            <w:r>
              <w:rPr>
                <w:rFonts w:hint="eastAsia" w:ascii="楷体_GB2312" w:hAnsi="楷体_GB2312" w:eastAsia="楷体_GB2312" w:cs="楷体_GB2312"/>
                <w:i w:val="0"/>
                <w:iCs w:val="0"/>
                <w:color w:val="333333"/>
                <w:kern w:val="0"/>
                <w:sz w:val="24"/>
                <w:szCs w:val="24"/>
                <w:u w:val="none"/>
                <w:lang w:val="en-US" w:eastAsia="zh-CN" w:bidi="ar"/>
              </w:rPr>
              <w:t>/谷草转氨酶、胆红素等多项指标，与肝炎、肝硬化、黄疸等疾病有关</w:t>
            </w:r>
          </w:p>
        </w:tc>
      </w:tr>
      <w:tr w14:paraId="1EE57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8"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7071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9</w:t>
            </w:r>
          </w:p>
        </w:tc>
        <w:tc>
          <w:tcPr>
            <w:tcW w:w="2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84AE5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肾功四项</w:t>
            </w:r>
          </w:p>
        </w:tc>
        <w:tc>
          <w:tcPr>
            <w:tcW w:w="5802" w:type="dxa"/>
            <w:tcBorders>
              <w:top w:val="single" w:color="000000" w:sz="4" w:space="0"/>
              <w:left w:val="single" w:color="000000" w:sz="4" w:space="0"/>
              <w:bottom w:val="single" w:color="000000" w:sz="4" w:space="0"/>
              <w:right w:val="single" w:color="auto" w:sz="4" w:space="0"/>
            </w:tcBorders>
            <w:noWrap w:val="0"/>
            <w:vAlign w:val="center"/>
          </w:tcPr>
          <w:p w14:paraId="6A83A307">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反应肾功能不全、痛风等疾病</w:t>
            </w:r>
          </w:p>
        </w:tc>
      </w:tr>
      <w:tr w14:paraId="61443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2"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EC83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10</w:t>
            </w:r>
          </w:p>
        </w:tc>
        <w:tc>
          <w:tcPr>
            <w:tcW w:w="2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3F7EE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血脂四项</w:t>
            </w:r>
          </w:p>
        </w:tc>
        <w:tc>
          <w:tcPr>
            <w:tcW w:w="5802" w:type="dxa"/>
            <w:tcBorders>
              <w:top w:val="single" w:color="000000" w:sz="4" w:space="0"/>
              <w:left w:val="single" w:color="000000" w:sz="4" w:space="0"/>
              <w:bottom w:val="single" w:color="000000" w:sz="4" w:space="0"/>
              <w:right w:val="single" w:color="auto" w:sz="4" w:space="0"/>
            </w:tcBorders>
            <w:noWrap w:val="0"/>
            <w:vAlign w:val="center"/>
          </w:tcPr>
          <w:p w14:paraId="7E58CC94">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反映甘油三酯、总胆固醇等有无异常、对心脑血管疾病诊断及治疗有重要意义</w:t>
            </w:r>
          </w:p>
        </w:tc>
      </w:tr>
      <w:tr w14:paraId="11AFA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0BA2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11</w:t>
            </w:r>
          </w:p>
        </w:tc>
        <w:tc>
          <w:tcPr>
            <w:tcW w:w="2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13448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葡萄糖测定 空腹</w:t>
            </w:r>
          </w:p>
        </w:tc>
        <w:tc>
          <w:tcPr>
            <w:tcW w:w="5802" w:type="dxa"/>
            <w:tcBorders>
              <w:top w:val="single" w:color="000000" w:sz="4" w:space="0"/>
              <w:left w:val="single" w:color="000000" w:sz="4" w:space="0"/>
              <w:bottom w:val="single" w:color="000000" w:sz="4" w:space="0"/>
              <w:right w:val="single" w:color="auto" w:sz="4" w:space="0"/>
            </w:tcBorders>
            <w:noWrap w:val="0"/>
            <w:vAlign w:val="center"/>
          </w:tcPr>
          <w:p w14:paraId="41BEA99F">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了解血糖情况，空腹血糖是诊断糖代谢紊乱的重要指标</w:t>
            </w:r>
          </w:p>
        </w:tc>
      </w:tr>
      <w:tr w14:paraId="1ABF1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2"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B6FB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12</w:t>
            </w:r>
          </w:p>
        </w:tc>
        <w:tc>
          <w:tcPr>
            <w:tcW w:w="2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C4F02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甲功五项</w:t>
            </w:r>
          </w:p>
        </w:tc>
        <w:tc>
          <w:tcPr>
            <w:tcW w:w="5802" w:type="dxa"/>
            <w:tcBorders>
              <w:top w:val="single" w:color="000000" w:sz="4" w:space="0"/>
              <w:left w:val="single" w:color="000000" w:sz="4" w:space="0"/>
              <w:bottom w:val="single" w:color="000000" w:sz="4" w:space="0"/>
              <w:right w:val="single" w:color="auto" w:sz="4" w:space="0"/>
            </w:tcBorders>
            <w:noWrap w:val="0"/>
            <w:vAlign w:val="center"/>
          </w:tcPr>
          <w:p w14:paraId="5FC7E971">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诊断甲状腺功能亢进症或甲状腺功能低下的灵敏指标与疗效检测，甲状腺疾病与非甲状腺疾病的鉴别依据</w:t>
            </w:r>
          </w:p>
        </w:tc>
      </w:tr>
      <w:tr w14:paraId="1E991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86D6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13</w:t>
            </w:r>
          </w:p>
        </w:tc>
        <w:tc>
          <w:tcPr>
            <w:tcW w:w="2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A6E09B">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糖化血红蛋白</w:t>
            </w:r>
          </w:p>
        </w:tc>
        <w:tc>
          <w:tcPr>
            <w:tcW w:w="5802" w:type="dxa"/>
            <w:tcBorders>
              <w:top w:val="single" w:color="000000" w:sz="4" w:space="0"/>
              <w:left w:val="single" w:color="000000" w:sz="4" w:space="0"/>
              <w:bottom w:val="single" w:color="000000" w:sz="4" w:space="0"/>
              <w:right w:val="single" w:color="auto" w:sz="4" w:space="0"/>
            </w:tcBorders>
            <w:noWrap w:val="0"/>
            <w:vAlign w:val="center"/>
          </w:tcPr>
          <w:p w14:paraId="0957D3F3">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反映采血前2-3个月之内的平均血糖水平，是糖尿病筛查和了解糖尿病控制情况的一个重要指标</w:t>
            </w:r>
          </w:p>
        </w:tc>
      </w:tr>
      <w:tr w14:paraId="07502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2417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14</w:t>
            </w:r>
          </w:p>
        </w:tc>
        <w:tc>
          <w:tcPr>
            <w:tcW w:w="2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4E645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心肌酶谱</w:t>
            </w:r>
          </w:p>
        </w:tc>
        <w:tc>
          <w:tcPr>
            <w:tcW w:w="5802" w:type="dxa"/>
            <w:tcBorders>
              <w:top w:val="single" w:color="000000" w:sz="4" w:space="0"/>
              <w:left w:val="single" w:color="000000" w:sz="4" w:space="0"/>
              <w:bottom w:val="single" w:color="000000" w:sz="4" w:space="0"/>
              <w:right w:val="single" w:color="auto" w:sz="4" w:space="0"/>
            </w:tcBorders>
            <w:noWrap w:val="0"/>
            <w:vAlign w:val="center"/>
          </w:tcPr>
          <w:p w14:paraId="68F6BAA0">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反应急性或慢性心肌损伤</w:t>
            </w:r>
          </w:p>
        </w:tc>
      </w:tr>
      <w:tr w14:paraId="5F87D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676E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15</w:t>
            </w:r>
          </w:p>
        </w:tc>
        <w:tc>
          <w:tcPr>
            <w:tcW w:w="2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BEFE7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血同型半胱氨酸测定</w:t>
            </w:r>
          </w:p>
        </w:tc>
        <w:tc>
          <w:tcPr>
            <w:tcW w:w="5802" w:type="dxa"/>
            <w:tcBorders>
              <w:top w:val="single" w:color="000000" w:sz="4" w:space="0"/>
              <w:left w:val="single" w:color="000000" w:sz="4" w:space="0"/>
              <w:bottom w:val="single" w:color="000000" w:sz="4" w:space="0"/>
              <w:right w:val="single" w:color="auto" w:sz="4" w:space="0"/>
            </w:tcBorders>
            <w:noWrap w:val="0"/>
            <w:vAlign w:val="center"/>
          </w:tcPr>
          <w:p w14:paraId="1454CE3F">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预测急性心脑血管事件的独立危险因素</w:t>
            </w:r>
          </w:p>
        </w:tc>
      </w:tr>
      <w:tr w14:paraId="3C820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D39C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16</w:t>
            </w:r>
          </w:p>
        </w:tc>
        <w:tc>
          <w:tcPr>
            <w:tcW w:w="2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A47C1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甲胎蛋白AFP定量</w:t>
            </w:r>
          </w:p>
        </w:tc>
        <w:tc>
          <w:tcPr>
            <w:tcW w:w="580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04D4DCAA">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用于肝脏等炎症或肿瘤的辅助诊断，及治疗前后的对比监测</w:t>
            </w:r>
          </w:p>
        </w:tc>
      </w:tr>
      <w:tr w14:paraId="6B942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2"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D7BA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17</w:t>
            </w:r>
          </w:p>
        </w:tc>
        <w:tc>
          <w:tcPr>
            <w:tcW w:w="2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7941A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癌胚抗原CEA定量</w:t>
            </w:r>
          </w:p>
        </w:tc>
        <w:tc>
          <w:tcPr>
            <w:tcW w:w="580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29ECD8AB">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用于结直肠、乳腺、肺等炎症或肿瘤的辅助诊断，及治疗前后的对比监测</w:t>
            </w:r>
          </w:p>
        </w:tc>
      </w:tr>
      <w:tr w14:paraId="1A946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2"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1A90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18</w:t>
            </w:r>
          </w:p>
        </w:tc>
        <w:tc>
          <w:tcPr>
            <w:tcW w:w="2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43FD1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糖类抗原CA-199（胰腺）</w:t>
            </w:r>
          </w:p>
        </w:tc>
        <w:tc>
          <w:tcPr>
            <w:tcW w:w="580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6EACBBDC">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用于胰腺、结直肠、肝胆、胃等炎症或肿瘤的辅助诊断，及治疗前后的对比监测</w:t>
            </w:r>
          </w:p>
        </w:tc>
      </w:tr>
      <w:tr w14:paraId="6C2DD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2"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D391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19</w:t>
            </w:r>
          </w:p>
        </w:tc>
        <w:tc>
          <w:tcPr>
            <w:tcW w:w="2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936C4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糖类抗原CA72-4（消化道）</w:t>
            </w:r>
          </w:p>
        </w:tc>
        <w:tc>
          <w:tcPr>
            <w:tcW w:w="580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311376C2">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用于胃、肠道、卵巢等炎症或肿瘤的辅助诊断，及治疗前后的对比监测</w:t>
            </w:r>
          </w:p>
        </w:tc>
      </w:tr>
      <w:tr w14:paraId="4E675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29E40">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20</w:t>
            </w:r>
          </w:p>
        </w:tc>
        <w:tc>
          <w:tcPr>
            <w:tcW w:w="2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B168E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糖类抗原CA-153（乳腺）</w:t>
            </w:r>
          </w:p>
        </w:tc>
        <w:tc>
          <w:tcPr>
            <w:tcW w:w="580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4E747EA0">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用于乳腺、肝脏、卵巢等炎症或肿瘤的辅助诊断，及治疗前后的对比监测</w:t>
            </w:r>
          </w:p>
        </w:tc>
      </w:tr>
      <w:tr w14:paraId="7A7C1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4A43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21</w:t>
            </w:r>
          </w:p>
        </w:tc>
        <w:tc>
          <w:tcPr>
            <w:tcW w:w="2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3CDB2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糖类抗原CA-125(卵巢）</w:t>
            </w:r>
          </w:p>
        </w:tc>
        <w:tc>
          <w:tcPr>
            <w:tcW w:w="580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2836AE15">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用于卵巢、子宫及输卵管、肺、胰腺、乳腺、胃肠道等炎症或肿瘤的辅助诊断，及治疗前后的对比监测</w:t>
            </w:r>
          </w:p>
        </w:tc>
      </w:tr>
      <w:tr w14:paraId="5F179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2" w:hRule="atLeast"/>
          <w:jc w:val="center"/>
        </w:trPr>
        <w:tc>
          <w:tcPr>
            <w:tcW w:w="942" w:type="dxa"/>
            <w:tcBorders>
              <w:top w:val="single" w:color="000000" w:sz="4" w:space="0"/>
              <w:left w:val="single" w:color="000000" w:sz="4" w:space="0"/>
              <w:bottom w:val="single" w:color="000000" w:sz="4" w:space="0"/>
              <w:right w:val="single" w:color="000000" w:sz="4" w:space="0"/>
            </w:tcBorders>
            <w:noWrap/>
            <w:vAlign w:val="center"/>
          </w:tcPr>
          <w:p w14:paraId="659E5F2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24</w:t>
            </w:r>
          </w:p>
        </w:tc>
        <w:tc>
          <w:tcPr>
            <w:tcW w:w="2586" w:type="dxa"/>
            <w:tcBorders>
              <w:top w:val="single" w:color="000000" w:sz="4" w:space="0"/>
              <w:left w:val="single" w:color="000000" w:sz="4" w:space="0"/>
              <w:bottom w:val="single" w:color="000000" w:sz="4" w:space="0"/>
              <w:right w:val="single" w:color="000000" w:sz="4" w:space="0"/>
            </w:tcBorders>
            <w:noWrap/>
            <w:vAlign w:val="center"/>
          </w:tcPr>
          <w:p w14:paraId="75D97D8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肝、胆、胰、脾</w:t>
            </w:r>
          </w:p>
        </w:tc>
        <w:tc>
          <w:tcPr>
            <w:tcW w:w="5802" w:type="dxa"/>
            <w:tcBorders>
              <w:top w:val="single" w:color="000000" w:sz="4" w:space="0"/>
              <w:left w:val="single" w:color="000000" w:sz="4" w:space="0"/>
              <w:bottom w:val="single" w:color="000000" w:sz="4" w:space="0"/>
              <w:right w:val="single" w:color="auto" w:sz="4" w:space="0"/>
            </w:tcBorders>
            <w:noWrap w:val="0"/>
            <w:vAlign w:val="center"/>
          </w:tcPr>
          <w:p w14:paraId="3A22AB7E">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通过彩色超声检查肝脏、胆囊、胰腺、脾脏器官的形态及病理改变（如肿瘤、结石、脂肪肝、肝硬化等）</w:t>
            </w:r>
          </w:p>
        </w:tc>
      </w:tr>
      <w:tr w14:paraId="26782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2" w:hRule="atLeast"/>
          <w:jc w:val="center"/>
        </w:trPr>
        <w:tc>
          <w:tcPr>
            <w:tcW w:w="942" w:type="dxa"/>
            <w:tcBorders>
              <w:top w:val="single" w:color="000000" w:sz="4" w:space="0"/>
              <w:left w:val="single" w:color="000000" w:sz="4" w:space="0"/>
              <w:bottom w:val="single" w:color="000000" w:sz="4" w:space="0"/>
              <w:right w:val="single" w:color="000000" w:sz="4" w:space="0"/>
            </w:tcBorders>
            <w:noWrap/>
            <w:vAlign w:val="center"/>
          </w:tcPr>
          <w:p w14:paraId="2783605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25</w:t>
            </w:r>
          </w:p>
        </w:tc>
        <w:tc>
          <w:tcPr>
            <w:tcW w:w="2586" w:type="dxa"/>
            <w:tcBorders>
              <w:top w:val="single" w:color="000000" w:sz="4" w:space="0"/>
              <w:left w:val="single" w:color="000000" w:sz="4" w:space="0"/>
              <w:bottom w:val="single" w:color="000000" w:sz="4" w:space="0"/>
              <w:right w:val="single" w:color="000000" w:sz="4" w:space="0"/>
            </w:tcBorders>
            <w:noWrap/>
            <w:vAlign w:val="center"/>
          </w:tcPr>
          <w:p w14:paraId="4DC93E6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子宫附件常规</w:t>
            </w:r>
          </w:p>
        </w:tc>
        <w:tc>
          <w:tcPr>
            <w:tcW w:w="5802" w:type="dxa"/>
            <w:tcBorders>
              <w:top w:val="single" w:color="000000" w:sz="4" w:space="0"/>
              <w:left w:val="single" w:color="000000" w:sz="4" w:space="0"/>
              <w:bottom w:val="single" w:color="000000" w:sz="4" w:space="0"/>
              <w:right w:val="single" w:color="auto" w:sz="4" w:space="0"/>
            </w:tcBorders>
            <w:noWrap w:val="0"/>
            <w:vAlign w:val="center"/>
          </w:tcPr>
          <w:p w14:paraId="6B8DA329">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通过彩色超声检查子宫、附件等内脏器官的形态及病理改变（如肿瘤、子宫及附件等）</w:t>
            </w:r>
          </w:p>
        </w:tc>
      </w:tr>
      <w:tr w14:paraId="1A61C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2"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FF6C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26</w:t>
            </w:r>
          </w:p>
        </w:tc>
        <w:tc>
          <w:tcPr>
            <w:tcW w:w="2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ED0F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女性泌尿系（双肾、输尿管、膀胱）</w:t>
            </w:r>
          </w:p>
        </w:tc>
        <w:tc>
          <w:tcPr>
            <w:tcW w:w="5802" w:type="dxa"/>
            <w:tcBorders>
              <w:top w:val="nil"/>
              <w:left w:val="single" w:color="000000" w:sz="4" w:space="0"/>
              <w:bottom w:val="nil"/>
              <w:right w:val="single" w:color="auto" w:sz="4" w:space="0"/>
            </w:tcBorders>
            <w:shd w:val="clear" w:color="auto" w:fill="FFFFFF"/>
            <w:noWrap w:val="0"/>
            <w:vAlign w:val="center"/>
          </w:tcPr>
          <w:p w14:paraId="697D1444">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通过彩色超声检查肾脏、输尿管、膀胱内脏器官的形态及病理改变</w:t>
            </w:r>
          </w:p>
        </w:tc>
      </w:tr>
      <w:tr w14:paraId="6AECB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E71C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28</w:t>
            </w:r>
          </w:p>
        </w:tc>
        <w:tc>
          <w:tcPr>
            <w:tcW w:w="2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5BCFB">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甲状腺</w:t>
            </w:r>
          </w:p>
        </w:tc>
        <w:tc>
          <w:tcPr>
            <w:tcW w:w="580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4F6A56E9">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通过彩色超声检查甲状腺器官的形态及病理改变（如肿瘤、结节等病变）</w:t>
            </w:r>
          </w:p>
        </w:tc>
      </w:tr>
      <w:tr w14:paraId="57DF5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942" w:type="dxa"/>
            <w:tcBorders>
              <w:top w:val="single" w:color="000000" w:sz="4" w:space="0"/>
              <w:left w:val="single" w:color="000000" w:sz="4" w:space="0"/>
              <w:bottom w:val="single" w:color="000000" w:sz="4" w:space="0"/>
              <w:right w:val="single" w:color="000000" w:sz="4" w:space="0"/>
            </w:tcBorders>
            <w:noWrap/>
            <w:vAlign w:val="center"/>
          </w:tcPr>
          <w:p w14:paraId="6CA7A3C0">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29</w:t>
            </w:r>
          </w:p>
        </w:tc>
        <w:tc>
          <w:tcPr>
            <w:tcW w:w="2586" w:type="dxa"/>
            <w:tcBorders>
              <w:top w:val="single" w:color="000000" w:sz="4" w:space="0"/>
              <w:left w:val="single" w:color="000000" w:sz="4" w:space="0"/>
              <w:bottom w:val="single" w:color="000000" w:sz="4" w:space="0"/>
              <w:right w:val="single" w:color="000000" w:sz="4" w:space="0"/>
            </w:tcBorders>
            <w:noWrap/>
            <w:vAlign w:val="center"/>
          </w:tcPr>
          <w:p w14:paraId="530416A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乳腺彩超</w:t>
            </w:r>
          </w:p>
        </w:tc>
        <w:tc>
          <w:tcPr>
            <w:tcW w:w="5802" w:type="dxa"/>
            <w:tcBorders>
              <w:top w:val="single" w:color="000000" w:sz="4" w:space="0"/>
              <w:left w:val="single" w:color="000000" w:sz="4" w:space="0"/>
              <w:bottom w:val="single" w:color="000000" w:sz="4" w:space="0"/>
              <w:right w:val="single" w:color="auto" w:sz="4" w:space="0"/>
            </w:tcBorders>
            <w:noWrap w:val="0"/>
            <w:vAlign w:val="center"/>
          </w:tcPr>
          <w:p w14:paraId="1E5BFEDC">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有无乳腺包块、增生、小结等</w:t>
            </w:r>
          </w:p>
        </w:tc>
      </w:tr>
      <w:tr w14:paraId="3EDB6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942" w:type="dxa"/>
            <w:tcBorders>
              <w:top w:val="single" w:color="000000" w:sz="4" w:space="0"/>
              <w:left w:val="single" w:color="000000" w:sz="4" w:space="0"/>
              <w:bottom w:val="single" w:color="000000" w:sz="4" w:space="0"/>
              <w:right w:val="single" w:color="000000" w:sz="4" w:space="0"/>
            </w:tcBorders>
            <w:noWrap/>
            <w:vAlign w:val="center"/>
          </w:tcPr>
          <w:p w14:paraId="44D853AB">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30</w:t>
            </w:r>
          </w:p>
        </w:tc>
        <w:tc>
          <w:tcPr>
            <w:tcW w:w="2586" w:type="dxa"/>
            <w:tcBorders>
              <w:top w:val="single" w:color="000000" w:sz="4" w:space="0"/>
              <w:left w:val="single" w:color="000000" w:sz="4" w:space="0"/>
              <w:bottom w:val="single" w:color="000000" w:sz="4" w:space="0"/>
              <w:right w:val="single" w:color="000000" w:sz="4" w:space="0"/>
            </w:tcBorders>
            <w:noWrap/>
            <w:vAlign w:val="center"/>
          </w:tcPr>
          <w:p w14:paraId="5988A3C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颈部血管</w:t>
            </w:r>
          </w:p>
        </w:tc>
        <w:tc>
          <w:tcPr>
            <w:tcW w:w="5802" w:type="dxa"/>
            <w:tcBorders>
              <w:top w:val="single" w:color="000000" w:sz="4" w:space="0"/>
              <w:left w:val="single" w:color="000000" w:sz="4" w:space="0"/>
              <w:bottom w:val="single" w:color="000000" w:sz="4" w:space="0"/>
              <w:right w:val="single" w:color="auto" w:sz="4" w:space="0"/>
            </w:tcBorders>
            <w:noWrap w:val="0"/>
            <w:vAlign w:val="center"/>
          </w:tcPr>
          <w:p w14:paraId="63469E19">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检查颈动脉有无硬化有无斑块形成及斑块的性质，动脉狭窄的程度等</w:t>
            </w:r>
          </w:p>
        </w:tc>
      </w:tr>
      <w:tr w14:paraId="3BDD1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6" w:hRule="atLeast"/>
          <w:jc w:val="center"/>
        </w:trPr>
        <w:tc>
          <w:tcPr>
            <w:tcW w:w="942" w:type="dxa"/>
            <w:tcBorders>
              <w:top w:val="single" w:color="000000" w:sz="4" w:space="0"/>
              <w:left w:val="single" w:color="000000" w:sz="4" w:space="0"/>
              <w:bottom w:val="single" w:color="000000" w:sz="4" w:space="0"/>
              <w:right w:val="single" w:color="000000" w:sz="4" w:space="0"/>
            </w:tcBorders>
            <w:noWrap/>
            <w:vAlign w:val="center"/>
          </w:tcPr>
          <w:p w14:paraId="4A65B94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31</w:t>
            </w:r>
          </w:p>
        </w:tc>
        <w:tc>
          <w:tcPr>
            <w:tcW w:w="2586" w:type="dxa"/>
            <w:tcBorders>
              <w:top w:val="single" w:color="000000" w:sz="4" w:space="0"/>
              <w:left w:val="single" w:color="000000" w:sz="4" w:space="0"/>
              <w:bottom w:val="single" w:color="000000" w:sz="4" w:space="0"/>
              <w:right w:val="single" w:color="000000" w:sz="4" w:space="0"/>
            </w:tcBorders>
            <w:noWrap/>
            <w:vAlign w:val="center"/>
          </w:tcPr>
          <w:p w14:paraId="116CCD7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心脏彩超</w:t>
            </w:r>
          </w:p>
        </w:tc>
        <w:tc>
          <w:tcPr>
            <w:tcW w:w="5802" w:type="dxa"/>
            <w:tcBorders>
              <w:top w:val="single" w:color="000000" w:sz="4" w:space="0"/>
              <w:left w:val="single" w:color="000000" w:sz="4" w:space="0"/>
              <w:bottom w:val="single" w:color="000000" w:sz="4" w:space="0"/>
              <w:right w:val="single" w:color="auto" w:sz="4" w:space="0"/>
            </w:tcBorders>
            <w:noWrap w:val="0"/>
            <w:vAlign w:val="center"/>
          </w:tcPr>
          <w:p w14:paraId="7A0C4167">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了解心脏各腔室、心肌厚度、瓣膜形态和活动及心脏的功能，为心脏瓣膜病、心肌病、高血压性心脏病、管状动脉粥样硬化性心脏病、心包疾病、先天性心脏病的诊断与治疗追踪提供依据</w:t>
            </w:r>
          </w:p>
        </w:tc>
      </w:tr>
      <w:tr w14:paraId="47446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942" w:type="dxa"/>
            <w:tcBorders>
              <w:top w:val="single" w:color="000000" w:sz="4" w:space="0"/>
              <w:left w:val="single" w:color="000000" w:sz="4" w:space="0"/>
              <w:bottom w:val="single" w:color="000000" w:sz="4" w:space="0"/>
              <w:right w:val="single" w:color="000000" w:sz="4" w:space="0"/>
            </w:tcBorders>
            <w:noWrap/>
            <w:vAlign w:val="center"/>
          </w:tcPr>
          <w:p w14:paraId="1282AFB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32</w:t>
            </w:r>
          </w:p>
        </w:tc>
        <w:tc>
          <w:tcPr>
            <w:tcW w:w="2586" w:type="dxa"/>
            <w:tcBorders>
              <w:top w:val="single" w:color="000000" w:sz="4" w:space="0"/>
              <w:left w:val="single" w:color="000000" w:sz="4" w:space="0"/>
              <w:bottom w:val="single" w:color="000000" w:sz="4" w:space="0"/>
              <w:right w:val="single" w:color="000000" w:sz="4" w:space="0"/>
            </w:tcBorders>
            <w:noWrap/>
            <w:vAlign w:val="center"/>
          </w:tcPr>
          <w:p w14:paraId="4BF9DF0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常规心电图检查</w:t>
            </w:r>
          </w:p>
        </w:tc>
        <w:tc>
          <w:tcPr>
            <w:tcW w:w="5802" w:type="dxa"/>
            <w:tcBorders>
              <w:top w:val="single" w:color="000000" w:sz="4" w:space="0"/>
              <w:left w:val="single" w:color="000000" w:sz="4" w:space="0"/>
              <w:bottom w:val="single" w:color="000000" w:sz="4" w:space="0"/>
              <w:right w:val="single" w:color="auto" w:sz="4" w:space="0"/>
            </w:tcBorders>
            <w:noWrap w:val="0"/>
            <w:vAlign w:val="center"/>
          </w:tcPr>
          <w:p w14:paraId="09845573">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辅助诊断心律失常、心肌缺血、心肌梗死等</w:t>
            </w:r>
          </w:p>
        </w:tc>
      </w:tr>
      <w:tr w14:paraId="7616D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2" w:hRule="atLeast"/>
          <w:jc w:val="center"/>
        </w:trPr>
        <w:tc>
          <w:tcPr>
            <w:tcW w:w="942" w:type="dxa"/>
            <w:tcBorders>
              <w:top w:val="single" w:color="000000" w:sz="4" w:space="0"/>
              <w:left w:val="single" w:color="000000" w:sz="4" w:space="0"/>
              <w:bottom w:val="single" w:color="000000" w:sz="4" w:space="0"/>
              <w:right w:val="single" w:color="000000" w:sz="4" w:space="0"/>
            </w:tcBorders>
            <w:noWrap/>
            <w:vAlign w:val="center"/>
          </w:tcPr>
          <w:p w14:paraId="569BA0D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33</w:t>
            </w:r>
          </w:p>
        </w:tc>
        <w:tc>
          <w:tcPr>
            <w:tcW w:w="2586" w:type="dxa"/>
            <w:tcBorders>
              <w:top w:val="single" w:color="000000" w:sz="4" w:space="0"/>
              <w:left w:val="single" w:color="000000" w:sz="4" w:space="0"/>
              <w:bottom w:val="single" w:color="000000" w:sz="4" w:space="0"/>
              <w:right w:val="single" w:color="000000" w:sz="4" w:space="0"/>
            </w:tcBorders>
            <w:noWrap/>
            <w:vAlign w:val="center"/>
          </w:tcPr>
          <w:p w14:paraId="7304B2C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碳13尿素呼气试验</w:t>
            </w:r>
          </w:p>
        </w:tc>
        <w:tc>
          <w:tcPr>
            <w:tcW w:w="5802" w:type="dxa"/>
            <w:tcBorders>
              <w:top w:val="single" w:color="000000" w:sz="4" w:space="0"/>
              <w:left w:val="single" w:color="000000" w:sz="4" w:space="0"/>
              <w:bottom w:val="single" w:color="000000" w:sz="4" w:space="0"/>
              <w:right w:val="single" w:color="auto" w:sz="4" w:space="0"/>
            </w:tcBorders>
            <w:noWrap w:val="0"/>
            <w:vAlign w:val="center"/>
          </w:tcPr>
          <w:p w14:paraId="6D57690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检测是否感染幽门螺旋杆菌，对消化性溃疡、慢性活动性胃炎、胃癌等消化系统疾病有辅助诊断作用</w:t>
            </w:r>
          </w:p>
        </w:tc>
      </w:tr>
      <w:tr w14:paraId="61A0D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D7D5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34</w:t>
            </w:r>
          </w:p>
        </w:tc>
        <w:tc>
          <w:tcPr>
            <w:tcW w:w="25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BFF04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妇科常规检查</w:t>
            </w:r>
          </w:p>
        </w:tc>
        <w:tc>
          <w:tcPr>
            <w:tcW w:w="5802" w:type="dxa"/>
            <w:tcBorders>
              <w:top w:val="single" w:color="000000" w:sz="4" w:space="0"/>
              <w:left w:val="single" w:color="000000" w:sz="4" w:space="0"/>
              <w:bottom w:val="single" w:color="000000" w:sz="4" w:space="0"/>
              <w:right w:val="single" w:color="auto" w:sz="4" w:space="0"/>
            </w:tcBorders>
            <w:noWrap w:val="0"/>
            <w:vAlign w:val="center"/>
          </w:tcPr>
          <w:p w14:paraId="6BEAA1A8">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检查女性生殖器有无异常改变，有无宫颈及阴道异常病变</w:t>
            </w:r>
          </w:p>
        </w:tc>
      </w:tr>
      <w:tr w14:paraId="51845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2" w:hRule="atLeast"/>
          <w:jc w:val="center"/>
        </w:trPr>
        <w:tc>
          <w:tcPr>
            <w:tcW w:w="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2F7D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35</w:t>
            </w:r>
          </w:p>
        </w:tc>
        <w:tc>
          <w:tcPr>
            <w:tcW w:w="2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521FB">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阴道分泌物检查</w:t>
            </w:r>
          </w:p>
        </w:tc>
        <w:tc>
          <w:tcPr>
            <w:tcW w:w="580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02464E85">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检测阴道分泌物清洁度，霉菌性、滴虫性阴道炎、细菌性阴道病等妇科疾病的筛查</w:t>
            </w:r>
          </w:p>
        </w:tc>
      </w:tr>
      <w:tr w14:paraId="53FAC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942" w:type="dxa"/>
            <w:tcBorders>
              <w:top w:val="single" w:color="000000" w:sz="4" w:space="0"/>
              <w:left w:val="single" w:color="000000" w:sz="4" w:space="0"/>
              <w:bottom w:val="single" w:color="000000" w:sz="4" w:space="0"/>
              <w:right w:val="single" w:color="000000" w:sz="4" w:space="0"/>
            </w:tcBorders>
            <w:noWrap/>
            <w:vAlign w:val="center"/>
          </w:tcPr>
          <w:p w14:paraId="60D46DB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36</w:t>
            </w:r>
          </w:p>
        </w:tc>
        <w:tc>
          <w:tcPr>
            <w:tcW w:w="2586" w:type="dxa"/>
            <w:tcBorders>
              <w:top w:val="single" w:color="000000" w:sz="4" w:space="0"/>
              <w:left w:val="single" w:color="000000" w:sz="4" w:space="0"/>
              <w:bottom w:val="single" w:color="000000" w:sz="4" w:space="0"/>
              <w:right w:val="single" w:color="000000" w:sz="4" w:space="0"/>
            </w:tcBorders>
            <w:noWrap/>
            <w:vAlign w:val="center"/>
          </w:tcPr>
          <w:p w14:paraId="01FB3C10">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液基薄层细胞制片术</w:t>
            </w:r>
          </w:p>
        </w:tc>
        <w:tc>
          <w:tcPr>
            <w:tcW w:w="5802" w:type="dxa"/>
            <w:tcBorders>
              <w:top w:val="single" w:color="000000" w:sz="4" w:space="0"/>
              <w:left w:val="single" w:color="000000" w:sz="4" w:space="0"/>
              <w:bottom w:val="single" w:color="000000" w:sz="4" w:space="0"/>
              <w:right w:val="single" w:color="auto" w:sz="4" w:space="0"/>
            </w:tcBorders>
            <w:noWrap w:val="0"/>
            <w:vAlign w:val="center"/>
          </w:tcPr>
          <w:p w14:paraId="70080D29">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早期宫颈癌的病因检测及其癌前病变较先进的筛查方法</w:t>
            </w:r>
          </w:p>
        </w:tc>
      </w:tr>
      <w:tr w14:paraId="616C4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942" w:type="dxa"/>
            <w:tcBorders>
              <w:top w:val="single" w:color="000000" w:sz="4" w:space="0"/>
              <w:left w:val="single" w:color="000000" w:sz="4" w:space="0"/>
              <w:bottom w:val="single" w:color="000000" w:sz="4" w:space="0"/>
              <w:right w:val="single" w:color="000000" w:sz="4" w:space="0"/>
            </w:tcBorders>
            <w:noWrap/>
            <w:vAlign w:val="center"/>
          </w:tcPr>
          <w:p w14:paraId="7A0AC5C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37</w:t>
            </w:r>
          </w:p>
        </w:tc>
        <w:tc>
          <w:tcPr>
            <w:tcW w:w="2586" w:type="dxa"/>
            <w:tcBorders>
              <w:top w:val="single" w:color="000000" w:sz="4" w:space="0"/>
              <w:left w:val="single" w:color="000000" w:sz="4" w:space="0"/>
              <w:bottom w:val="single" w:color="000000" w:sz="4" w:space="0"/>
              <w:right w:val="single" w:color="000000" w:sz="4" w:space="0"/>
            </w:tcBorders>
            <w:noWrap/>
            <w:vAlign w:val="center"/>
          </w:tcPr>
          <w:p w14:paraId="5E3ED7B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人乳头瘤病毒</w:t>
            </w:r>
          </w:p>
        </w:tc>
        <w:tc>
          <w:tcPr>
            <w:tcW w:w="5802" w:type="dxa"/>
            <w:tcBorders>
              <w:top w:val="single" w:color="000000" w:sz="4" w:space="0"/>
              <w:left w:val="single" w:color="000000" w:sz="4" w:space="0"/>
              <w:bottom w:val="single" w:color="000000" w:sz="4" w:space="0"/>
              <w:right w:val="single" w:color="auto" w:sz="4" w:space="0"/>
            </w:tcBorders>
            <w:noWrap w:val="0"/>
            <w:vAlign w:val="center"/>
          </w:tcPr>
          <w:p w14:paraId="187355A6">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高危高危人乳头瘤病毒感染与宫颈癌相关</w:t>
            </w:r>
          </w:p>
        </w:tc>
      </w:tr>
      <w:tr w14:paraId="73D50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942" w:type="dxa"/>
            <w:tcBorders>
              <w:top w:val="single" w:color="000000" w:sz="4" w:space="0"/>
              <w:left w:val="single" w:color="000000" w:sz="4" w:space="0"/>
              <w:bottom w:val="single" w:color="000000" w:sz="4" w:space="0"/>
              <w:right w:val="single" w:color="000000" w:sz="4" w:space="0"/>
            </w:tcBorders>
            <w:noWrap/>
            <w:vAlign w:val="center"/>
          </w:tcPr>
          <w:p w14:paraId="1696CFF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38</w:t>
            </w:r>
          </w:p>
        </w:tc>
        <w:tc>
          <w:tcPr>
            <w:tcW w:w="2586" w:type="dxa"/>
            <w:tcBorders>
              <w:top w:val="single" w:color="000000" w:sz="4" w:space="0"/>
              <w:left w:val="single" w:color="000000" w:sz="4" w:space="0"/>
              <w:bottom w:val="single" w:color="000000" w:sz="4" w:space="0"/>
              <w:right w:val="single" w:color="000000" w:sz="4" w:space="0"/>
            </w:tcBorders>
            <w:noWrap w:val="0"/>
            <w:vAlign w:val="center"/>
          </w:tcPr>
          <w:p w14:paraId="65A9DD8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胸部CT（不含片）</w:t>
            </w:r>
          </w:p>
        </w:tc>
        <w:tc>
          <w:tcPr>
            <w:tcW w:w="5802" w:type="dxa"/>
            <w:vMerge w:val="restart"/>
            <w:tcBorders>
              <w:top w:val="single" w:color="000000" w:sz="4" w:space="0"/>
              <w:left w:val="single" w:color="000000" w:sz="4" w:space="0"/>
              <w:bottom w:val="single" w:color="000000" w:sz="4" w:space="0"/>
              <w:right w:val="single" w:color="auto" w:sz="4" w:space="0"/>
            </w:tcBorders>
            <w:noWrap w:val="0"/>
            <w:vAlign w:val="center"/>
          </w:tcPr>
          <w:p w14:paraId="3D8A45E9">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通过断层成像技术，快速精准地显示人体内部结构，帮助医生明确病变位置、范围、性质、为疾病诊断、治疗计划及疗效评估提供关键依据。（如肿瘤、外伤、血管病变等）</w:t>
            </w:r>
          </w:p>
        </w:tc>
      </w:tr>
      <w:tr w14:paraId="1074F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1" w:hRule="atLeast"/>
          <w:jc w:val="center"/>
        </w:trPr>
        <w:tc>
          <w:tcPr>
            <w:tcW w:w="942" w:type="dxa"/>
            <w:tcBorders>
              <w:top w:val="single" w:color="000000" w:sz="4" w:space="0"/>
              <w:left w:val="single" w:color="000000" w:sz="4" w:space="0"/>
              <w:bottom w:val="single" w:color="000000" w:sz="4" w:space="0"/>
              <w:right w:val="single" w:color="000000" w:sz="4" w:space="0"/>
            </w:tcBorders>
            <w:noWrap/>
            <w:vAlign w:val="center"/>
          </w:tcPr>
          <w:p w14:paraId="49954D0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39</w:t>
            </w:r>
          </w:p>
        </w:tc>
        <w:tc>
          <w:tcPr>
            <w:tcW w:w="2586" w:type="dxa"/>
            <w:tcBorders>
              <w:top w:val="single" w:color="000000" w:sz="4" w:space="0"/>
              <w:left w:val="single" w:color="000000" w:sz="4" w:space="0"/>
              <w:bottom w:val="single" w:color="000000" w:sz="4" w:space="0"/>
              <w:right w:val="single" w:color="000000" w:sz="4" w:space="0"/>
            </w:tcBorders>
            <w:noWrap w:val="0"/>
            <w:vAlign w:val="center"/>
          </w:tcPr>
          <w:p w14:paraId="126C2CB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腰椎CT/颈椎CT/头颅CT（不含片）</w:t>
            </w:r>
            <w:r>
              <w:rPr>
                <w:rFonts w:hint="eastAsia" w:ascii="楷体_GB2312" w:hAnsi="楷体_GB2312" w:eastAsia="楷体_GB2312" w:cs="楷体_GB2312"/>
                <w:i w:val="0"/>
                <w:iCs w:val="0"/>
                <w:color w:val="000000"/>
                <w:kern w:val="0"/>
                <w:sz w:val="24"/>
                <w:szCs w:val="24"/>
                <w:u w:val="none"/>
                <w:lang w:val="en-US" w:eastAsia="zh-CN" w:bidi="ar"/>
              </w:rPr>
              <w:br w:type="textWrapping"/>
            </w:r>
            <w:r>
              <w:rPr>
                <w:rFonts w:hint="eastAsia" w:ascii="楷体_GB2312" w:hAnsi="楷体_GB2312" w:eastAsia="楷体_GB2312" w:cs="楷体_GB2312"/>
                <w:i w:val="0"/>
                <w:iCs w:val="0"/>
                <w:color w:val="000000"/>
                <w:kern w:val="0"/>
                <w:sz w:val="24"/>
                <w:szCs w:val="24"/>
                <w:u w:val="none"/>
                <w:lang w:val="en-US" w:eastAsia="zh-CN" w:bidi="ar"/>
              </w:rPr>
              <w:t>（三选一）</w:t>
            </w:r>
          </w:p>
        </w:tc>
        <w:tc>
          <w:tcPr>
            <w:tcW w:w="5802" w:type="dxa"/>
            <w:vMerge w:val="continue"/>
            <w:tcBorders>
              <w:top w:val="single" w:color="000000" w:sz="4" w:space="0"/>
              <w:left w:val="single" w:color="000000" w:sz="4" w:space="0"/>
              <w:bottom w:val="single" w:color="000000" w:sz="4" w:space="0"/>
              <w:right w:val="single" w:color="auto" w:sz="4" w:space="0"/>
            </w:tcBorders>
            <w:noWrap w:val="0"/>
            <w:vAlign w:val="center"/>
          </w:tcPr>
          <w:p w14:paraId="366E3708">
            <w:pPr>
              <w:spacing w:line="240" w:lineRule="auto"/>
              <w:jc w:val="left"/>
              <w:rPr>
                <w:rFonts w:hint="eastAsia" w:ascii="楷体_GB2312" w:hAnsi="楷体_GB2312" w:eastAsia="楷体_GB2312" w:cs="楷体_GB2312"/>
                <w:i w:val="0"/>
                <w:iCs w:val="0"/>
                <w:color w:val="000000"/>
                <w:sz w:val="24"/>
                <w:szCs w:val="24"/>
                <w:u w:val="none"/>
              </w:rPr>
            </w:pPr>
          </w:p>
        </w:tc>
      </w:tr>
    </w:tbl>
    <w:p w14:paraId="26018C3B">
      <w:pPr>
        <w:spacing w:line="360" w:lineRule="auto"/>
        <w:rPr>
          <w:rFonts w:hint="eastAsia" w:ascii="楷体_GB2312" w:hAnsi="楷体_GB2312" w:eastAsia="楷体_GB2312" w:cs="楷体_GB2312"/>
          <w:sz w:val="24"/>
          <w:szCs w:val="24"/>
        </w:rPr>
      </w:pPr>
    </w:p>
    <w:p w14:paraId="749D964D">
      <w:pPr>
        <w:spacing w:line="360" w:lineRule="auto"/>
        <w:rPr>
          <w:rFonts w:hint="eastAsia" w:ascii="楷体_GB2312" w:hAnsi="楷体_GB2312" w:eastAsia="楷体_GB2312" w:cs="楷体_GB2312"/>
          <w:sz w:val="24"/>
          <w:szCs w:val="24"/>
        </w:rPr>
      </w:pPr>
    </w:p>
    <w:p w14:paraId="0B3A06EB">
      <w:pPr>
        <w:spacing w:line="360" w:lineRule="auto"/>
        <w:rPr>
          <w:rFonts w:hint="eastAsia" w:ascii="楷体_GB2312" w:hAnsi="楷体_GB2312" w:eastAsia="楷体_GB2312" w:cs="楷体_GB2312"/>
          <w:sz w:val="24"/>
          <w:szCs w:val="24"/>
        </w:rPr>
      </w:pPr>
    </w:p>
    <w:p w14:paraId="3D74498D">
      <w:pPr>
        <w:spacing w:line="360" w:lineRule="auto"/>
        <w:rPr>
          <w:rFonts w:hint="eastAsia" w:ascii="楷体_GB2312" w:hAnsi="楷体_GB2312" w:eastAsia="楷体_GB2312" w:cs="楷体_GB2312"/>
          <w:sz w:val="24"/>
          <w:szCs w:val="24"/>
        </w:rPr>
      </w:pPr>
    </w:p>
    <w:p w14:paraId="7B5B9ABC">
      <w:pPr>
        <w:spacing w:line="360" w:lineRule="auto"/>
        <w:rPr>
          <w:rFonts w:hint="eastAsia" w:ascii="楷体_GB2312" w:hAnsi="楷体_GB2312" w:eastAsia="楷体_GB2312" w:cs="楷体_GB2312"/>
          <w:sz w:val="24"/>
          <w:szCs w:val="24"/>
        </w:rPr>
      </w:pPr>
    </w:p>
    <w:p w14:paraId="2304FF0C">
      <w:pPr>
        <w:spacing w:line="360" w:lineRule="auto"/>
        <w:jc w:val="center"/>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表五：未婚⼥性</w:t>
      </w:r>
    </w:p>
    <w:tbl>
      <w:tblPr>
        <w:tblStyle w:val="5"/>
        <w:tblW w:w="914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40"/>
        <w:gridCol w:w="2369"/>
        <w:gridCol w:w="5940"/>
      </w:tblGrid>
      <w:tr w14:paraId="6B2B6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840" w:type="dxa"/>
            <w:tcBorders>
              <w:top w:val="single" w:color="auto" w:sz="4" w:space="0"/>
              <w:left w:val="single" w:color="auto" w:sz="4" w:space="0"/>
              <w:bottom w:val="single" w:color="auto" w:sz="4" w:space="0"/>
              <w:right w:val="single" w:color="auto" w:sz="4" w:space="0"/>
            </w:tcBorders>
            <w:noWrap/>
            <w:vAlign w:val="center"/>
          </w:tcPr>
          <w:p w14:paraId="2AD54699">
            <w:pPr>
              <w:keepNext w:val="0"/>
              <w:keepLines w:val="0"/>
              <w:widowControl/>
              <w:suppressLineNumbers w:val="0"/>
              <w:spacing w:line="24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序号</w:t>
            </w:r>
          </w:p>
        </w:tc>
        <w:tc>
          <w:tcPr>
            <w:tcW w:w="2369" w:type="dxa"/>
            <w:tcBorders>
              <w:top w:val="single" w:color="auto" w:sz="4" w:space="0"/>
              <w:left w:val="single" w:color="auto" w:sz="4" w:space="0"/>
              <w:bottom w:val="single" w:color="auto" w:sz="4" w:space="0"/>
              <w:right w:val="single" w:color="auto" w:sz="4" w:space="0"/>
            </w:tcBorders>
            <w:noWrap/>
            <w:vAlign w:val="center"/>
          </w:tcPr>
          <w:p w14:paraId="00CAA52D">
            <w:pPr>
              <w:keepNext w:val="0"/>
              <w:keepLines w:val="0"/>
              <w:widowControl/>
              <w:suppressLineNumbers w:val="0"/>
              <w:spacing w:line="24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项目</w:t>
            </w:r>
          </w:p>
        </w:tc>
        <w:tc>
          <w:tcPr>
            <w:tcW w:w="5940" w:type="dxa"/>
            <w:tcBorders>
              <w:top w:val="single" w:color="auto" w:sz="4" w:space="0"/>
              <w:left w:val="single" w:color="auto" w:sz="4" w:space="0"/>
              <w:bottom w:val="single" w:color="auto" w:sz="4" w:space="0"/>
              <w:right w:val="single" w:color="auto" w:sz="4" w:space="0"/>
            </w:tcBorders>
            <w:noWrap/>
            <w:vAlign w:val="center"/>
          </w:tcPr>
          <w:p w14:paraId="06C8F758">
            <w:pPr>
              <w:keepNext w:val="0"/>
              <w:keepLines w:val="0"/>
              <w:widowControl/>
              <w:suppressLineNumbers w:val="0"/>
              <w:spacing w:line="24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临床意义</w:t>
            </w:r>
          </w:p>
        </w:tc>
      </w:tr>
      <w:tr w14:paraId="19584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84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420BDA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w:t>
            </w:r>
          </w:p>
        </w:tc>
        <w:tc>
          <w:tcPr>
            <w:tcW w:w="2369" w:type="dxa"/>
            <w:tcBorders>
              <w:top w:val="single" w:color="auto" w:sz="4" w:space="0"/>
              <w:left w:val="single" w:color="000000" w:sz="4" w:space="0"/>
              <w:bottom w:val="single" w:color="000000" w:sz="4" w:space="0"/>
              <w:right w:val="single" w:color="000000" w:sz="4" w:space="0"/>
            </w:tcBorders>
            <w:shd w:val="clear" w:color="auto" w:fill="FFFFFF"/>
            <w:noWrap/>
            <w:vAlign w:val="center"/>
          </w:tcPr>
          <w:p w14:paraId="47F945D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调查问卷</w:t>
            </w:r>
          </w:p>
        </w:tc>
        <w:tc>
          <w:tcPr>
            <w:tcW w:w="5940" w:type="dxa"/>
            <w:tcBorders>
              <w:top w:val="single" w:color="auto" w:sz="4" w:space="0"/>
              <w:left w:val="single" w:color="000000" w:sz="4" w:space="0"/>
              <w:bottom w:val="single" w:color="000000" w:sz="4" w:space="0"/>
              <w:right w:val="single" w:color="auto" w:sz="4" w:space="0"/>
            </w:tcBorders>
            <w:noWrap w:val="0"/>
            <w:vAlign w:val="center"/>
          </w:tcPr>
          <w:p w14:paraId="1E549D50">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为医生提供全面的个人健康信息，实现个性化精准化的健康管理</w:t>
            </w:r>
          </w:p>
        </w:tc>
      </w:tr>
      <w:tr w14:paraId="7AA4B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2DBE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w:t>
            </w:r>
          </w:p>
        </w:tc>
        <w:tc>
          <w:tcPr>
            <w:tcW w:w="23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558C4B">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身高、体重、血压</w:t>
            </w:r>
          </w:p>
        </w:tc>
        <w:tc>
          <w:tcPr>
            <w:tcW w:w="5940" w:type="dxa"/>
            <w:tcBorders>
              <w:top w:val="single" w:color="000000" w:sz="4" w:space="0"/>
              <w:left w:val="single" w:color="000000" w:sz="4" w:space="0"/>
              <w:bottom w:val="single" w:color="000000" w:sz="4" w:space="0"/>
              <w:right w:val="single" w:color="auto" w:sz="4" w:space="0"/>
            </w:tcBorders>
            <w:noWrap w:val="0"/>
            <w:vAlign w:val="center"/>
          </w:tcPr>
          <w:p w14:paraId="1A9D1158">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诊断高血压、超重、肥胖、消瘦并为相关科室的诊断提供重要的依据</w:t>
            </w:r>
          </w:p>
        </w:tc>
      </w:tr>
      <w:tr w14:paraId="5858B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2EF5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w:t>
            </w:r>
          </w:p>
        </w:tc>
        <w:tc>
          <w:tcPr>
            <w:tcW w:w="23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ECD000">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内科</w:t>
            </w:r>
          </w:p>
        </w:tc>
        <w:tc>
          <w:tcPr>
            <w:tcW w:w="5940" w:type="dxa"/>
            <w:tcBorders>
              <w:top w:val="single" w:color="000000" w:sz="4" w:space="0"/>
              <w:left w:val="single" w:color="000000" w:sz="4" w:space="0"/>
              <w:bottom w:val="single" w:color="000000" w:sz="4" w:space="0"/>
              <w:right w:val="single" w:color="auto" w:sz="4" w:space="0"/>
            </w:tcBorders>
            <w:noWrap w:val="0"/>
            <w:vAlign w:val="center"/>
          </w:tcPr>
          <w:p w14:paraId="6C56CA80">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询问既往病史，通过视、触、叩、听检查方法，评估心、肺、肝、脾等基本状况</w:t>
            </w:r>
          </w:p>
        </w:tc>
      </w:tr>
      <w:tr w14:paraId="038A4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AC00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4</w:t>
            </w:r>
          </w:p>
        </w:tc>
        <w:tc>
          <w:tcPr>
            <w:tcW w:w="23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002F1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外科</w:t>
            </w:r>
          </w:p>
        </w:tc>
        <w:tc>
          <w:tcPr>
            <w:tcW w:w="5940" w:type="dxa"/>
            <w:tcBorders>
              <w:top w:val="single" w:color="000000" w:sz="4" w:space="0"/>
              <w:left w:val="single" w:color="000000" w:sz="4" w:space="0"/>
              <w:bottom w:val="single" w:color="000000" w:sz="4" w:space="0"/>
              <w:right w:val="single" w:color="auto" w:sz="4" w:space="0"/>
            </w:tcBorders>
            <w:noWrap w:val="0"/>
            <w:vAlign w:val="center"/>
          </w:tcPr>
          <w:p w14:paraId="39AA3007">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检查淋巴结有无肿大，甲状腺、四肢脊柱有无畸形等</w:t>
            </w:r>
          </w:p>
        </w:tc>
      </w:tr>
      <w:tr w14:paraId="2A4F0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80FE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5</w:t>
            </w:r>
          </w:p>
        </w:tc>
        <w:tc>
          <w:tcPr>
            <w:tcW w:w="23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DFBED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血细胞分析+五分类</w:t>
            </w:r>
          </w:p>
        </w:tc>
        <w:tc>
          <w:tcPr>
            <w:tcW w:w="5940" w:type="dxa"/>
            <w:tcBorders>
              <w:top w:val="single" w:color="000000" w:sz="4" w:space="0"/>
              <w:left w:val="single" w:color="000000" w:sz="4" w:space="0"/>
              <w:bottom w:val="single" w:color="000000" w:sz="4" w:space="0"/>
              <w:right w:val="single" w:color="auto" w:sz="4" w:space="0"/>
            </w:tcBorders>
            <w:noWrap w:val="0"/>
            <w:vAlign w:val="center"/>
          </w:tcPr>
          <w:p w14:paraId="4A30EC0A">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有无感染、贫血、凝血功能障碍、血液病等</w:t>
            </w:r>
          </w:p>
        </w:tc>
      </w:tr>
      <w:tr w14:paraId="7DF08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1E1A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6</w:t>
            </w:r>
          </w:p>
        </w:tc>
        <w:tc>
          <w:tcPr>
            <w:tcW w:w="23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954A5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尿液分析+沉渣镜检</w:t>
            </w:r>
          </w:p>
        </w:tc>
        <w:tc>
          <w:tcPr>
            <w:tcW w:w="5940"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5F8A786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泌尿系统感染、肾病、肝胆疾患、结石、糖尿病等多种疾病检查</w:t>
            </w:r>
          </w:p>
        </w:tc>
      </w:tr>
      <w:tr w14:paraId="48CF1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AC97B">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7</w:t>
            </w:r>
          </w:p>
        </w:tc>
        <w:tc>
          <w:tcPr>
            <w:tcW w:w="23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F17C7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粪便常规+隐血试验</w:t>
            </w:r>
          </w:p>
        </w:tc>
        <w:tc>
          <w:tcPr>
            <w:tcW w:w="5940"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1BDB811B">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检测各种原因所致的消化道出血，消化道恶性肿瘤早期诊断的重要筛查指标</w:t>
            </w:r>
          </w:p>
        </w:tc>
      </w:tr>
      <w:tr w14:paraId="1C784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0CB6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8</w:t>
            </w:r>
          </w:p>
        </w:tc>
        <w:tc>
          <w:tcPr>
            <w:tcW w:w="23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E156C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肝功九项</w:t>
            </w:r>
          </w:p>
        </w:tc>
        <w:tc>
          <w:tcPr>
            <w:tcW w:w="5940" w:type="dxa"/>
            <w:tcBorders>
              <w:top w:val="single" w:color="000000" w:sz="4" w:space="0"/>
              <w:left w:val="single" w:color="000000" w:sz="4" w:space="0"/>
              <w:bottom w:val="single" w:color="000000" w:sz="4" w:space="0"/>
              <w:right w:val="single" w:color="auto" w:sz="4" w:space="0"/>
            </w:tcBorders>
            <w:noWrap w:val="0"/>
            <w:vAlign w:val="center"/>
          </w:tcPr>
          <w:p w14:paraId="1A101DA2">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反映肝脏功能，包括谷丙</w:t>
            </w:r>
            <w:r>
              <w:rPr>
                <w:rFonts w:hint="eastAsia" w:ascii="楷体_GB2312" w:hAnsi="楷体_GB2312" w:eastAsia="楷体_GB2312" w:cs="楷体_GB2312"/>
                <w:i w:val="0"/>
                <w:iCs w:val="0"/>
                <w:color w:val="333333"/>
                <w:kern w:val="0"/>
                <w:sz w:val="24"/>
                <w:szCs w:val="24"/>
                <w:u w:val="none"/>
                <w:lang w:val="en-US" w:eastAsia="zh-CN" w:bidi="ar"/>
              </w:rPr>
              <w:t>/谷草转氨酶、胆红素等多项指标，与肝炎、肝硬化、黄疸等疾病有关</w:t>
            </w:r>
          </w:p>
        </w:tc>
      </w:tr>
      <w:tr w14:paraId="0DC8C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4D81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9</w:t>
            </w:r>
          </w:p>
        </w:tc>
        <w:tc>
          <w:tcPr>
            <w:tcW w:w="23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69025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肾功四项</w:t>
            </w:r>
          </w:p>
        </w:tc>
        <w:tc>
          <w:tcPr>
            <w:tcW w:w="5940" w:type="dxa"/>
            <w:tcBorders>
              <w:top w:val="single" w:color="000000" w:sz="4" w:space="0"/>
              <w:left w:val="single" w:color="000000" w:sz="4" w:space="0"/>
              <w:bottom w:val="single" w:color="000000" w:sz="4" w:space="0"/>
              <w:right w:val="single" w:color="auto" w:sz="4" w:space="0"/>
            </w:tcBorders>
            <w:noWrap w:val="0"/>
            <w:vAlign w:val="center"/>
          </w:tcPr>
          <w:p w14:paraId="5BCEE77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反应肾功能不全、痛风等疾病</w:t>
            </w:r>
          </w:p>
        </w:tc>
      </w:tr>
      <w:tr w14:paraId="4B977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E214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10</w:t>
            </w:r>
          </w:p>
        </w:tc>
        <w:tc>
          <w:tcPr>
            <w:tcW w:w="23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4478E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血脂四项</w:t>
            </w:r>
          </w:p>
        </w:tc>
        <w:tc>
          <w:tcPr>
            <w:tcW w:w="5940" w:type="dxa"/>
            <w:tcBorders>
              <w:top w:val="single" w:color="000000" w:sz="4" w:space="0"/>
              <w:left w:val="single" w:color="000000" w:sz="4" w:space="0"/>
              <w:bottom w:val="single" w:color="000000" w:sz="4" w:space="0"/>
              <w:right w:val="single" w:color="auto" w:sz="4" w:space="0"/>
            </w:tcBorders>
            <w:noWrap w:val="0"/>
            <w:vAlign w:val="center"/>
          </w:tcPr>
          <w:p w14:paraId="6E6D4E2B">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反映甘油三酯、总胆固醇等有无异常、对心脑血管疾病诊断及治疗有重要意义</w:t>
            </w:r>
          </w:p>
        </w:tc>
      </w:tr>
      <w:tr w14:paraId="5B570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F405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11</w:t>
            </w:r>
          </w:p>
        </w:tc>
        <w:tc>
          <w:tcPr>
            <w:tcW w:w="23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20EB2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葡萄糖测定 空腹</w:t>
            </w:r>
          </w:p>
        </w:tc>
        <w:tc>
          <w:tcPr>
            <w:tcW w:w="5940" w:type="dxa"/>
            <w:tcBorders>
              <w:top w:val="single" w:color="000000" w:sz="4" w:space="0"/>
              <w:left w:val="single" w:color="000000" w:sz="4" w:space="0"/>
              <w:bottom w:val="single" w:color="000000" w:sz="4" w:space="0"/>
              <w:right w:val="single" w:color="auto" w:sz="4" w:space="0"/>
            </w:tcBorders>
            <w:noWrap w:val="0"/>
            <w:vAlign w:val="center"/>
          </w:tcPr>
          <w:p w14:paraId="7B00EF73">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了解血糖情况，空腹血糖是诊断糖代谢紊乱的重要指标</w:t>
            </w:r>
          </w:p>
        </w:tc>
      </w:tr>
      <w:tr w14:paraId="40844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D4CD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12</w:t>
            </w:r>
          </w:p>
        </w:tc>
        <w:tc>
          <w:tcPr>
            <w:tcW w:w="23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F73EA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甲功五项</w:t>
            </w:r>
          </w:p>
        </w:tc>
        <w:tc>
          <w:tcPr>
            <w:tcW w:w="5940" w:type="dxa"/>
            <w:tcBorders>
              <w:top w:val="single" w:color="000000" w:sz="4" w:space="0"/>
              <w:left w:val="single" w:color="000000" w:sz="4" w:space="0"/>
              <w:bottom w:val="single" w:color="000000" w:sz="4" w:space="0"/>
              <w:right w:val="single" w:color="auto" w:sz="4" w:space="0"/>
            </w:tcBorders>
            <w:noWrap w:val="0"/>
            <w:vAlign w:val="center"/>
          </w:tcPr>
          <w:p w14:paraId="1347AF74">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诊断甲状腺功能亢进症或甲状腺功能低下的灵敏指标与疗效检测，甲状腺疾病与非甲状腺疾病的鉴别依据</w:t>
            </w:r>
          </w:p>
        </w:tc>
      </w:tr>
      <w:tr w14:paraId="7B12D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04E8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13</w:t>
            </w:r>
          </w:p>
        </w:tc>
        <w:tc>
          <w:tcPr>
            <w:tcW w:w="23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ADA8B0">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糖化血红蛋白</w:t>
            </w:r>
          </w:p>
        </w:tc>
        <w:tc>
          <w:tcPr>
            <w:tcW w:w="5940" w:type="dxa"/>
            <w:tcBorders>
              <w:top w:val="single" w:color="000000" w:sz="4" w:space="0"/>
              <w:left w:val="single" w:color="000000" w:sz="4" w:space="0"/>
              <w:bottom w:val="single" w:color="000000" w:sz="4" w:space="0"/>
              <w:right w:val="single" w:color="auto" w:sz="4" w:space="0"/>
            </w:tcBorders>
            <w:noWrap w:val="0"/>
            <w:vAlign w:val="center"/>
          </w:tcPr>
          <w:p w14:paraId="5BB876CB">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反映采血前2-3个月之内的平均血糖水平，是糖尿病筛查和了解糖尿病控制情况的一个重要指标</w:t>
            </w:r>
          </w:p>
        </w:tc>
      </w:tr>
      <w:tr w14:paraId="2AD14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7B5E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14</w:t>
            </w:r>
          </w:p>
        </w:tc>
        <w:tc>
          <w:tcPr>
            <w:tcW w:w="23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93A2E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心肌酶谱</w:t>
            </w:r>
          </w:p>
        </w:tc>
        <w:tc>
          <w:tcPr>
            <w:tcW w:w="5940" w:type="dxa"/>
            <w:tcBorders>
              <w:top w:val="single" w:color="000000" w:sz="4" w:space="0"/>
              <w:left w:val="single" w:color="000000" w:sz="4" w:space="0"/>
              <w:bottom w:val="single" w:color="000000" w:sz="4" w:space="0"/>
              <w:right w:val="single" w:color="auto" w:sz="4" w:space="0"/>
            </w:tcBorders>
            <w:noWrap w:val="0"/>
            <w:vAlign w:val="center"/>
          </w:tcPr>
          <w:p w14:paraId="032BA92E">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反应急性或慢性心肌损伤</w:t>
            </w:r>
          </w:p>
        </w:tc>
      </w:tr>
      <w:tr w14:paraId="08E7F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E6BE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15</w:t>
            </w:r>
          </w:p>
        </w:tc>
        <w:tc>
          <w:tcPr>
            <w:tcW w:w="23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6C4E6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血同型半胱氨酸测定</w:t>
            </w:r>
          </w:p>
        </w:tc>
        <w:tc>
          <w:tcPr>
            <w:tcW w:w="5940" w:type="dxa"/>
            <w:tcBorders>
              <w:top w:val="single" w:color="000000" w:sz="4" w:space="0"/>
              <w:left w:val="single" w:color="000000" w:sz="4" w:space="0"/>
              <w:bottom w:val="single" w:color="000000" w:sz="4" w:space="0"/>
              <w:right w:val="single" w:color="auto" w:sz="4" w:space="0"/>
            </w:tcBorders>
            <w:noWrap w:val="0"/>
            <w:vAlign w:val="center"/>
          </w:tcPr>
          <w:p w14:paraId="3905AB6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预测急性心脑血管事件的独立危险因素</w:t>
            </w:r>
          </w:p>
        </w:tc>
      </w:tr>
      <w:tr w14:paraId="1AB2D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71AE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16</w:t>
            </w:r>
          </w:p>
        </w:tc>
        <w:tc>
          <w:tcPr>
            <w:tcW w:w="23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A97C3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甲胎蛋白AFP定量</w:t>
            </w:r>
          </w:p>
        </w:tc>
        <w:tc>
          <w:tcPr>
            <w:tcW w:w="5940"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521DB1A2">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用于肝脏等炎症或肿瘤的辅助诊断，及治疗前后的对比监测</w:t>
            </w:r>
          </w:p>
        </w:tc>
      </w:tr>
      <w:tr w14:paraId="3F427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E563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17</w:t>
            </w:r>
          </w:p>
        </w:tc>
        <w:tc>
          <w:tcPr>
            <w:tcW w:w="23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43C9D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癌胚抗原CEA定量</w:t>
            </w:r>
          </w:p>
        </w:tc>
        <w:tc>
          <w:tcPr>
            <w:tcW w:w="5940"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589B583A">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用于结直肠、乳腺、肺等炎症或肿瘤的辅助诊断，及治疗前后的对比监测</w:t>
            </w:r>
          </w:p>
        </w:tc>
      </w:tr>
      <w:tr w14:paraId="32302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0991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18</w:t>
            </w:r>
          </w:p>
        </w:tc>
        <w:tc>
          <w:tcPr>
            <w:tcW w:w="23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622AD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糖类抗原CA-199（胰腺）</w:t>
            </w:r>
          </w:p>
        </w:tc>
        <w:tc>
          <w:tcPr>
            <w:tcW w:w="5940"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3C128EDE">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用于胰腺、结直肠、肝胆、胃等炎症或肿瘤的辅助诊断，及治疗前后的对比监测</w:t>
            </w:r>
          </w:p>
        </w:tc>
      </w:tr>
      <w:tr w14:paraId="2A6E3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A96B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19</w:t>
            </w:r>
          </w:p>
        </w:tc>
        <w:tc>
          <w:tcPr>
            <w:tcW w:w="23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A9700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糖类抗原CA72-4（消化道）</w:t>
            </w:r>
          </w:p>
        </w:tc>
        <w:tc>
          <w:tcPr>
            <w:tcW w:w="5940"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32111B11">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用于胃、肠道、卵巢等炎症或肿瘤的辅助诊断，及治疗前后的对比监测</w:t>
            </w:r>
          </w:p>
        </w:tc>
      </w:tr>
      <w:tr w14:paraId="4A8FA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19E3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20</w:t>
            </w:r>
          </w:p>
        </w:tc>
        <w:tc>
          <w:tcPr>
            <w:tcW w:w="23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D5713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糖类抗原CA-153（乳腺）</w:t>
            </w:r>
          </w:p>
        </w:tc>
        <w:tc>
          <w:tcPr>
            <w:tcW w:w="5940"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65C49071">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用于乳腺、肝脏、卵巢等炎症或肿瘤的辅助诊断，及治疗前后的对比监测</w:t>
            </w:r>
          </w:p>
        </w:tc>
      </w:tr>
      <w:tr w14:paraId="6BC3C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1CE10">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21</w:t>
            </w:r>
          </w:p>
        </w:tc>
        <w:tc>
          <w:tcPr>
            <w:tcW w:w="236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C28B4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糖类抗原CA-125(卵巢）</w:t>
            </w:r>
          </w:p>
        </w:tc>
        <w:tc>
          <w:tcPr>
            <w:tcW w:w="5940"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51840434">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用于卵巢、子宫及输卵管、肺、胰腺、乳腺、胃肠道等炎症或肿瘤的辅助诊断，及治疗前后的对比监测</w:t>
            </w:r>
          </w:p>
        </w:tc>
      </w:tr>
      <w:tr w14:paraId="1197E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jc w:val="center"/>
        </w:trPr>
        <w:tc>
          <w:tcPr>
            <w:tcW w:w="840" w:type="dxa"/>
            <w:tcBorders>
              <w:top w:val="single" w:color="000000" w:sz="4" w:space="0"/>
              <w:left w:val="single" w:color="000000" w:sz="4" w:space="0"/>
              <w:bottom w:val="single" w:color="000000" w:sz="4" w:space="0"/>
              <w:right w:val="single" w:color="000000" w:sz="4" w:space="0"/>
            </w:tcBorders>
            <w:noWrap/>
            <w:vAlign w:val="center"/>
          </w:tcPr>
          <w:p w14:paraId="7AA803A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22</w:t>
            </w:r>
          </w:p>
        </w:tc>
        <w:tc>
          <w:tcPr>
            <w:tcW w:w="2369" w:type="dxa"/>
            <w:tcBorders>
              <w:top w:val="single" w:color="000000" w:sz="4" w:space="0"/>
              <w:left w:val="single" w:color="000000" w:sz="4" w:space="0"/>
              <w:bottom w:val="single" w:color="000000" w:sz="4" w:space="0"/>
              <w:right w:val="single" w:color="000000" w:sz="4" w:space="0"/>
            </w:tcBorders>
            <w:noWrap/>
            <w:vAlign w:val="center"/>
          </w:tcPr>
          <w:p w14:paraId="7E131C8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肝、胆、胰、脾</w:t>
            </w:r>
          </w:p>
        </w:tc>
        <w:tc>
          <w:tcPr>
            <w:tcW w:w="5940" w:type="dxa"/>
            <w:tcBorders>
              <w:top w:val="single" w:color="000000" w:sz="4" w:space="0"/>
              <w:left w:val="single" w:color="000000" w:sz="4" w:space="0"/>
              <w:bottom w:val="single" w:color="000000" w:sz="4" w:space="0"/>
              <w:right w:val="single" w:color="auto" w:sz="4" w:space="0"/>
            </w:tcBorders>
            <w:noWrap w:val="0"/>
            <w:vAlign w:val="center"/>
          </w:tcPr>
          <w:p w14:paraId="6E2FB8CE">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通过彩色超声检查肝脏、胆囊、胰腺、脾脏器官的形态及病理改变（如肿瘤、结石、脂肪肝、肝硬化等）</w:t>
            </w:r>
          </w:p>
        </w:tc>
      </w:tr>
      <w:tr w14:paraId="04A1F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jc w:val="center"/>
        </w:trPr>
        <w:tc>
          <w:tcPr>
            <w:tcW w:w="840" w:type="dxa"/>
            <w:tcBorders>
              <w:top w:val="single" w:color="000000" w:sz="4" w:space="0"/>
              <w:left w:val="single" w:color="000000" w:sz="4" w:space="0"/>
              <w:bottom w:val="single" w:color="000000" w:sz="4" w:space="0"/>
              <w:right w:val="single" w:color="000000" w:sz="4" w:space="0"/>
            </w:tcBorders>
            <w:noWrap/>
            <w:vAlign w:val="center"/>
          </w:tcPr>
          <w:p w14:paraId="651DBB40">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23</w:t>
            </w:r>
          </w:p>
        </w:tc>
        <w:tc>
          <w:tcPr>
            <w:tcW w:w="2369" w:type="dxa"/>
            <w:tcBorders>
              <w:top w:val="single" w:color="000000" w:sz="4" w:space="0"/>
              <w:left w:val="single" w:color="000000" w:sz="4" w:space="0"/>
              <w:bottom w:val="single" w:color="000000" w:sz="4" w:space="0"/>
              <w:right w:val="single" w:color="000000" w:sz="4" w:space="0"/>
            </w:tcBorders>
            <w:noWrap/>
            <w:vAlign w:val="center"/>
          </w:tcPr>
          <w:p w14:paraId="1EBB369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子宫附件常规</w:t>
            </w:r>
          </w:p>
        </w:tc>
        <w:tc>
          <w:tcPr>
            <w:tcW w:w="5940" w:type="dxa"/>
            <w:tcBorders>
              <w:top w:val="single" w:color="000000" w:sz="4" w:space="0"/>
              <w:left w:val="single" w:color="000000" w:sz="4" w:space="0"/>
              <w:bottom w:val="single" w:color="000000" w:sz="4" w:space="0"/>
              <w:right w:val="single" w:color="auto" w:sz="4" w:space="0"/>
            </w:tcBorders>
            <w:noWrap w:val="0"/>
            <w:vAlign w:val="center"/>
          </w:tcPr>
          <w:p w14:paraId="4BBF687C">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通过彩色超声检查子宫、附件等内脏器官的形态及病理改变（如肿瘤、子宫及附件等）</w:t>
            </w:r>
          </w:p>
        </w:tc>
      </w:tr>
      <w:tr w14:paraId="3FE88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E3A8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24</w:t>
            </w:r>
          </w:p>
        </w:tc>
        <w:tc>
          <w:tcPr>
            <w:tcW w:w="2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BD68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女性泌尿系（双肾、输尿管、膀胱）</w:t>
            </w:r>
          </w:p>
        </w:tc>
        <w:tc>
          <w:tcPr>
            <w:tcW w:w="5940" w:type="dxa"/>
            <w:tcBorders>
              <w:top w:val="nil"/>
              <w:left w:val="single" w:color="000000" w:sz="4" w:space="0"/>
              <w:bottom w:val="nil"/>
              <w:right w:val="single" w:color="auto" w:sz="4" w:space="0"/>
            </w:tcBorders>
            <w:shd w:val="clear" w:color="auto" w:fill="FFFFFF"/>
            <w:noWrap w:val="0"/>
            <w:vAlign w:val="center"/>
          </w:tcPr>
          <w:p w14:paraId="2764FF86">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通过彩色超声检查肾脏、输尿管、膀胱内脏器官的形态及病理改变</w:t>
            </w:r>
          </w:p>
        </w:tc>
      </w:tr>
      <w:tr w14:paraId="29845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FE92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25</w:t>
            </w:r>
          </w:p>
        </w:tc>
        <w:tc>
          <w:tcPr>
            <w:tcW w:w="23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2183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甲状腺</w:t>
            </w:r>
          </w:p>
        </w:tc>
        <w:tc>
          <w:tcPr>
            <w:tcW w:w="5940"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55D4CA0B">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通过彩色超声检查甲状腺器官的形态及病理改变（如肿瘤、结节等病变）</w:t>
            </w:r>
          </w:p>
        </w:tc>
      </w:tr>
      <w:tr w14:paraId="6FAB8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840" w:type="dxa"/>
            <w:tcBorders>
              <w:top w:val="single" w:color="000000" w:sz="4" w:space="0"/>
              <w:left w:val="single" w:color="000000" w:sz="4" w:space="0"/>
              <w:bottom w:val="single" w:color="000000" w:sz="4" w:space="0"/>
              <w:right w:val="single" w:color="000000" w:sz="4" w:space="0"/>
            </w:tcBorders>
            <w:noWrap/>
            <w:vAlign w:val="center"/>
          </w:tcPr>
          <w:p w14:paraId="42030C1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26</w:t>
            </w:r>
          </w:p>
        </w:tc>
        <w:tc>
          <w:tcPr>
            <w:tcW w:w="2369" w:type="dxa"/>
            <w:tcBorders>
              <w:top w:val="single" w:color="000000" w:sz="4" w:space="0"/>
              <w:left w:val="single" w:color="000000" w:sz="4" w:space="0"/>
              <w:bottom w:val="single" w:color="000000" w:sz="4" w:space="0"/>
              <w:right w:val="single" w:color="000000" w:sz="4" w:space="0"/>
            </w:tcBorders>
            <w:noWrap/>
            <w:vAlign w:val="center"/>
          </w:tcPr>
          <w:p w14:paraId="554AB12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乳腺彩超</w:t>
            </w:r>
          </w:p>
        </w:tc>
        <w:tc>
          <w:tcPr>
            <w:tcW w:w="5940" w:type="dxa"/>
            <w:tcBorders>
              <w:top w:val="single" w:color="000000" w:sz="4" w:space="0"/>
              <w:left w:val="single" w:color="000000" w:sz="4" w:space="0"/>
              <w:bottom w:val="single" w:color="000000" w:sz="4" w:space="0"/>
              <w:right w:val="single" w:color="auto" w:sz="4" w:space="0"/>
            </w:tcBorders>
            <w:noWrap w:val="0"/>
            <w:vAlign w:val="center"/>
          </w:tcPr>
          <w:p w14:paraId="4D74D0F9">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有无乳腺包块、增生、小结等</w:t>
            </w:r>
          </w:p>
        </w:tc>
      </w:tr>
      <w:tr w14:paraId="0DD68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4" w:hRule="atLeast"/>
          <w:jc w:val="center"/>
        </w:trPr>
        <w:tc>
          <w:tcPr>
            <w:tcW w:w="840" w:type="dxa"/>
            <w:tcBorders>
              <w:top w:val="single" w:color="000000" w:sz="4" w:space="0"/>
              <w:left w:val="single" w:color="000000" w:sz="4" w:space="0"/>
              <w:bottom w:val="single" w:color="000000" w:sz="4" w:space="0"/>
              <w:right w:val="single" w:color="000000" w:sz="4" w:space="0"/>
            </w:tcBorders>
            <w:noWrap/>
            <w:vAlign w:val="center"/>
          </w:tcPr>
          <w:p w14:paraId="2FE00FB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27</w:t>
            </w:r>
          </w:p>
        </w:tc>
        <w:tc>
          <w:tcPr>
            <w:tcW w:w="2369" w:type="dxa"/>
            <w:tcBorders>
              <w:top w:val="single" w:color="000000" w:sz="4" w:space="0"/>
              <w:left w:val="single" w:color="000000" w:sz="4" w:space="0"/>
              <w:bottom w:val="single" w:color="000000" w:sz="4" w:space="0"/>
              <w:right w:val="single" w:color="000000" w:sz="4" w:space="0"/>
            </w:tcBorders>
            <w:noWrap/>
            <w:vAlign w:val="center"/>
          </w:tcPr>
          <w:p w14:paraId="14A7DE9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心脏彩超</w:t>
            </w:r>
          </w:p>
        </w:tc>
        <w:tc>
          <w:tcPr>
            <w:tcW w:w="5940" w:type="dxa"/>
            <w:tcBorders>
              <w:top w:val="single" w:color="000000" w:sz="4" w:space="0"/>
              <w:left w:val="single" w:color="000000" w:sz="4" w:space="0"/>
              <w:bottom w:val="single" w:color="000000" w:sz="4" w:space="0"/>
              <w:right w:val="single" w:color="auto" w:sz="4" w:space="0"/>
            </w:tcBorders>
            <w:noWrap w:val="0"/>
            <w:vAlign w:val="center"/>
          </w:tcPr>
          <w:p w14:paraId="7D2A8BB2">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了解心脏各腔室、心肌厚度、瓣膜形态和活动及心脏的功能，为心脏瓣膜病、心肌病、高血压性心脏病、管状动脉粥样硬化性心脏病、心包疾病、先天性心脏病的诊断与治疗追踪提供依据</w:t>
            </w:r>
          </w:p>
        </w:tc>
      </w:tr>
      <w:tr w14:paraId="4A218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840" w:type="dxa"/>
            <w:tcBorders>
              <w:top w:val="single" w:color="000000" w:sz="4" w:space="0"/>
              <w:left w:val="single" w:color="000000" w:sz="4" w:space="0"/>
              <w:bottom w:val="single" w:color="000000" w:sz="4" w:space="0"/>
              <w:right w:val="single" w:color="000000" w:sz="4" w:space="0"/>
            </w:tcBorders>
            <w:noWrap/>
            <w:vAlign w:val="center"/>
          </w:tcPr>
          <w:p w14:paraId="4847A44B">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28</w:t>
            </w:r>
          </w:p>
        </w:tc>
        <w:tc>
          <w:tcPr>
            <w:tcW w:w="2369" w:type="dxa"/>
            <w:tcBorders>
              <w:top w:val="single" w:color="000000" w:sz="4" w:space="0"/>
              <w:left w:val="single" w:color="000000" w:sz="4" w:space="0"/>
              <w:bottom w:val="single" w:color="000000" w:sz="4" w:space="0"/>
              <w:right w:val="single" w:color="000000" w:sz="4" w:space="0"/>
            </w:tcBorders>
            <w:noWrap/>
            <w:vAlign w:val="center"/>
          </w:tcPr>
          <w:p w14:paraId="3A9887A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常规心电图检查</w:t>
            </w:r>
          </w:p>
        </w:tc>
        <w:tc>
          <w:tcPr>
            <w:tcW w:w="5940" w:type="dxa"/>
            <w:tcBorders>
              <w:top w:val="single" w:color="000000" w:sz="4" w:space="0"/>
              <w:left w:val="single" w:color="000000" w:sz="4" w:space="0"/>
              <w:bottom w:val="single" w:color="000000" w:sz="4" w:space="0"/>
              <w:right w:val="single" w:color="auto" w:sz="4" w:space="0"/>
            </w:tcBorders>
            <w:noWrap w:val="0"/>
            <w:vAlign w:val="center"/>
          </w:tcPr>
          <w:p w14:paraId="2BE32056">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辅助诊断心律失常、心肌缺血、心肌梗死等</w:t>
            </w:r>
          </w:p>
        </w:tc>
      </w:tr>
      <w:tr w14:paraId="52FE8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jc w:val="center"/>
        </w:trPr>
        <w:tc>
          <w:tcPr>
            <w:tcW w:w="840" w:type="dxa"/>
            <w:tcBorders>
              <w:top w:val="single" w:color="000000" w:sz="4" w:space="0"/>
              <w:left w:val="single" w:color="000000" w:sz="4" w:space="0"/>
              <w:bottom w:val="single" w:color="000000" w:sz="4" w:space="0"/>
              <w:right w:val="single" w:color="000000" w:sz="4" w:space="0"/>
            </w:tcBorders>
            <w:noWrap/>
            <w:vAlign w:val="center"/>
          </w:tcPr>
          <w:p w14:paraId="135B8EDB">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29</w:t>
            </w:r>
          </w:p>
        </w:tc>
        <w:tc>
          <w:tcPr>
            <w:tcW w:w="2369" w:type="dxa"/>
            <w:tcBorders>
              <w:top w:val="single" w:color="000000" w:sz="4" w:space="0"/>
              <w:left w:val="single" w:color="000000" w:sz="4" w:space="0"/>
              <w:bottom w:val="single" w:color="000000" w:sz="4" w:space="0"/>
              <w:right w:val="single" w:color="000000" w:sz="4" w:space="0"/>
            </w:tcBorders>
            <w:noWrap/>
            <w:vAlign w:val="center"/>
          </w:tcPr>
          <w:p w14:paraId="71C94DA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碳13尿素呼气试验</w:t>
            </w:r>
          </w:p>
        </w:tc>
        <w:tc>
          <w:tcPr>
            <w:tcW w:w="5940" w:type="dxa"/>
            <w:tcBorders>
              <w:top w:val="single" w:color="000000" w:sz="4" w:space="0"/>
              <w:left w:val="single" w:color="000000" w:sz="4" w:space="0"/>
              <w:bottom w:val="single" w:color="000000" w:sz="4" w:space="0"/>
              <w:right w:val="single" w:color="auto" w:sz="4" w:space="0"/>
            </w:tcBorders>
            <w:noWrap w:val="0"/>
            <w:vAlign w:val="center"/>
          </w:tcPr>
          <w:p w14:paraId="7B24A559">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检测是否感染幽门螺旋杆菌，对消化性溃疡、慢性活动性胃炎、胃癌等消化系统疾病有辅助诊断作用</w:t>
            </w:r>
          </w:p>
        </w:tc>
      </w:tr>
      <w:tr w14:paraId="4BA1D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4" w:hRule="atLeast"/>
          <w:jc w:val="center"/>
        </w:trPr>
        <w:tc>
          <w:tcPr>
            <w:tcW w:w="840" w:type="dxa"/>
            <w:tcBorders>
              <w:top w:val="single" w:color="000000" w:sz="4" w:space="0"/>
              <w:left w:val="single" w:color="000000" w:sz="4" w:space="0"/>
              <w:bottom w:val="single" w:color="000000" w:sz="4" w:space="0"/>
              <w:right w:val="single" w:color="000000" w:sz="4" w:space="0"/>
            </w:tcBorders>
            <w:noWrap/>
            <w:vAlign w:val="center"/>
          </w:tcPr>
          <w:p w14:paraId="3081517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30</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14:paraId="7769426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胸部CT（不含片）</w:t>
            </w:r>
          </w:p>
        </w:tc>
        <w:tc>
          <w:tcPr>
            <w:tcW w:w="5940" w:type="dxa"/>
            <w:tcBorders>
              <w:top w:val="single" w:color="000000" w:sz="4" w:space="0"/>
              <w:left w:val="single" w:color="000000" w:sz="4" w:space="0"/>
              <w:bottom w:val="single" w:color="000000" w:sz="4" w:space="0"/>
              <w:right w:val="single" w:color="auto" w:sz="4" w:space="0"/>
            </w:tcBorders>
            <w:noWrap w:val="0"/>
            <w:vAlign w:val="center"/>
          </w:tcPr>
          <w:p w14:paraId="0EC160A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通过断层成像技术，快速精准地显示人体内部结构，帮助医生明确病变位置、范围、性质、为疾病诊断、治疗计划及疗效评估提供关键依据。（如肿瘤、外伤、血管病变等）</w:t>
            </w:r>
          </w:p>
        </w:tc>
      </w:tr>
    </w:tbl>
    <w:p w14:paraId="5D68449C">
      <w:pPr>
        <w:spacing w:line="360" w:lineRule="auto"/>
        <w:rPr>
          <w:rFonts w:hint="eastAsia" w:ascii="楷体_GB2312" w:hAnsi="楷体_GB2312" w:eastAsia="楷体_GB2312" w:cs="楷体_GB2312"/>
          <w:sz w:val="24"/>
          <w:szCs w:val="24"/>
        </w:rPr>
      </w:pPr>
    </w:p>
    <w:p w14:paraId="2CF823EE">
      <w:pPr>
        <w:spacing w:line="360" w:lineRule="auto"/>
        <w:jc w:val="center"/>
        <w:rPr>
          <w:rFonts w:hint="eastAsia" w:ascii="楷体_GB2312" w:hAnsi="楷体_GB2312" w:eastAsia="楷体_GB2312" w:cs="楷体_GB2312"/>
          <w:sz w:val="24"/>
          <w:szCs w:val="24"/>
          <w:lang w:eastAsia="zh-CN"/>
        </w:rPr>
      </w:pPr>
      <w:r>
        <w:rPr>
          <w:rFonts w:hint="eastAsia" w:ascii="仿宋" w:hAnsi="仿宋" w:eastAsia="仿宋"/>
          <w:b/>
          <w:bCs/>
          <w:sz w:val="32"/>
          <w:szCs w:val="32"/>
          <w:lang w:val="en-US" w:eastAsia="zh-CN"/>
        </w:rPr>
        <w:t>表六：男性辅警</w:t>
      </w:r>
    </w:p>
    <w:tbl>
      <w:tblPr>
        <w:tblStyle w:val="5"/>
        <w:tblW w:w="919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15"/>
        <w:gridCol w:w="2614"/>
        <w:gridCol w:w="5670"/>
      </w:tblGrid>
      <w:tr w14:paraId="077CF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915" w:type="dxa"/>
            <w:tcBorders>
              <w:top w:val="single" w:color="auto" w:sz="4" w:space="0"/>
              <w:left w:val="single" w:color="auto" w:sz="4" w:space="0"/>
              <w:bottom w:val="single" w:color="auto" w:sz="4" w:space="0"/>
              <w:right w:val="single" w:color="auto" w:sz="4" w:space="0"/>
            </w:tcBorders>
            <w:noWrap/>
            <w:vAlign w:val="center"/>
          </w:tcPr>
          <w:p w14:paraId="399CA410">
            <w:pPr>
              <w:keepNext w:val="0"/>
              <w:keepLines w:val="0"/>
              <w:widowControl/>
              <w:suppressLineNumbers w:val="0"/>
              <w:spacing w:line="24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序号</w:t>
            </w:r>
          </w:p>
        </w:tc>
        <w:tc>
          <w:tcPr>
            <w:tcW w:w="2614" w:type="dxa"/>
            <w:tcBorders>
              <w:top w:val="single" w:color="auto" w:sz="4" w:space="0"/>
              <w:left w:val="single" w:color="auto" w:sz="4" w:space="0"/>
              <w:bottom w:val="single" w:color="auto" w:sz="4" w:space="0"/>
              <w:right w:val="single" w:color="auto" w:sz="4" w:space="0"/>
            </w:tcBorders>
            <w:noWrap/>
            <w:vAlign w:val="center"/>
          </w:tcPr>
          <w:p w14:paraId="29940210">
            <w:pPr>
              <w:keepNext w:val="0"/>
              <w:keepLines w:val="0"/>
              <w:widowControl/>
              <w:suppressLineNumbers w:val="0"/>
              <w:spacing w:line="24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项目</w:t>
            </w:r>
          </w:p>
        </w:tc>
        <w:tc>
          <w:tcPr>
            <w:tcW w:w="5670" w:type="dxa"/>
            <w:tcBorders>
              <w:top w:val="single" w:color="auto" w:sz="4" w:space="0"/>
              <w:left w:val="single" w:color="auto" w:sz="4" w:space="0"/>
              <w:bottom w:val="single" w:color="auto" w:sz="4" w:space="0"/>
              <w:right w:val="single" w:color="auto" w:sz="4" w:space="0"/>
            </w:tcBorders>
            <w:noWrap/>
            <w:vAlign w:val="center"/>
          </w:tcPr>
          <w:p w14:paraId="1D438984">
            <w:pPr>
              <w:keepNext w:val="0"/>
              <w:keepLines w:val="0"/>
              <w:widowControl/>
              <w:suppressLineNumbers w:val="0"/>
              <w:spacing w:line="24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临床意义</w:t>
            </w:r>
          </w:p>
        </w:tc>
      </w:tr>
      <w:tr w14:paraId="142B6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915"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B21446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w:t>
            </w:r>
          </w:p>
        </w:tc>
        <w:tc>
          <w:tcPr>
            <w:tcW w:w="2614" w:type="dxa"/>
            <w:tcBorders>
              <w:top w:val="single" w:color="auto" w:sz="4" w:space="0"/>
              <w:left w:val="single" w:color="000000" w:sz="4" w:space="0"/>
              <w:bottom w:val="single" w:color="000000" w:sz="4" w:space="0"/>
              <w:right w:val="single" w:color="000000" w:sz="4" w:space="0"/>
            </w:tcBorders>
            <w:shd w:val="clear" w:color="auto" w:fill="FFFFFF"/>
            <w:noWrap/>
            <w:vAlign w:val="center"/>
          </w:tcPr>
          <w:p w14:paraId="68B1145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调查问卷</w:t>
            </w:r>
          </w:p>
        </w:tc>
        <w:tc>
          <w:tcPr>
            <w:tcW w:w="5670" w:type="dxa"/>
            <w:tcBorders>
              <w:top w:val="single" w:color="auto" w:sz="4" w:space="0"/>
              <w:left w:val="single" w:color="000000" w:sz="4" w:space="0"/>
              <w:bottom w:val="single" w:color="000000" w:sz="4" w:space="0"/>
              <w:right w:val="single" w:color="auto" w:sz="4" w:space="0"/>
            </w:tcBorders>
            <w:noWrap w:val="0"/>
            <w:vAlign w:val="center"/>
          </w:tcPr>
          <w:p w14:paraId="13B098FA">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为医生提供全面的个人健康信息，实现个性化精准化的健康管理</w:t>
            </w:r>
          </w:p>
        </w:tc>
      </w:tr>
      <w:tr w14:paraId="2489A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DD1C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w:t>
            </w:r>
          </w:p>
        </w:tc>
        <w:tc>
          <w:tcPr>
            <w:tcW w:w="26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AEAA3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身高、体重、血压</w:t>
            </w:r>
          </w:p>
        </w:tc>
        <w:tc>
          <w:tcPr>
            <w:tcW w:w="5670" w:type="dxa"/>
            <w:tcBorders>
              <w:top w:val="single" w:color="000000" w:sz="4" w:space="0"/>
              <w:left w:val="single" w:color="000000" w:sz="4" w:space="0"/>
              <w:bottom w:val="single" w:color="000000" w:sz="4" w:space="0"/>
              <w:right w:val="single" w:color="auto" w:sz="4" w:space="0"/>
            </w:tcBorders>
            <w:noWrap w:val="0"/>
            <w:vAlign w:val="center"/>
          </w:tcPr>
          <w:p w14:paraId="153C4946">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诊断高血压、超重、肥胖、消瘦并为相关科室的诊断提供重要的依据</w:t>
            </w:r>
          </w:p>
        </w:tc>
      </w:tr>
      <w:tr w14:paraId="18DA3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29BE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w:t>
            </w:r>
          </w:p>
        </w:tc>
        <w:tc>
          <w:tcPr>
            <w:tcW w:w="26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841D9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内科</w:t>
            </w:r>
          </w:p>
        </w:tc>
        <w:tc>
          <w:tcPr>
            <w:tcW w:w="5670" w:type="dxa"/>
            <w:tcBorders>
              <w:top w:val="single" w:color="000000" w:sz="4" w:space="0"/>
              <w:left w:val="single" w:color="000000" w:sz="4" w:space="0"/>
              <w:bottom w:val="single" w:color="000000" w:sz="4" w:space="0"/>
              <w:right w:val="single" w:color="auto" w:sz="4" w:space="0"/>
            </w:tcBorders>
            <w:noWrap w:val="0"/>
            <w:vAlign w:val="center"/>
          </w:tcPr>
          <w:p w14:paraId="31C6E151">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询问既往病史，通过视、触、叩、听检查方法，评估心、肺、肝、脾等基本状况</w:t>
            </w:r>
          </w:p>
        </w:tc>
      </w:tr>
      <w:tr w14:paraId="2D715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7642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4</w:t>
            </w:r>
          </w:p>
        </w:tc>
        <w:tc>
          <w:tcPr>
            <w:tcW w:w="26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07332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外科</w:t>
            </w:r>
          </w:p>
        </w:tc>
        <w:tc>
          <w:tcPr>
            <w:tcW w:w="5670" w:type="dxa"/>
            <w:tcBorders>
              <w:top w:val="single" w:color="000000" w:sz="4" w:space="0"/>
              <w:left w:val="single" w:color="000000" w:sz="4" w:space="0"/>
              <w:bottom w:val="single" w:color="000000" w:sz="4" w:space="0"/>
              <w:right w:val="single" w:color="auto" w:sz="4" w:space="0"/>
            </w:tcBorders>
            <w:noWrap w:val="0"/>
            <w:vAlign w:val="center"/>
          </w:tcPr>
          <w:p w14:paraId="121DFA64">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检查淋巴结有无肿大，甲状腺、四肢脊柱有无畸形等</w:t>
            </w:r>
          </w:p>
        </w:tc>
      </w:tr>
      <w:tr w14:paraId="40C72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A549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5</w:t>
            </w:r>
          </w:p>
        </w:tc>
        <w:tc>
          <w:tcPr>
            <w:tcW w:w="26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24765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血细胞分析+五分类</w:t>
            </w:r>
          </w:p>
        </w:tc>
        <w:tc>
          <w:tcPr>
            <w:tcW w:w="5670" w:type="dxa"/>
            <w:tcBorders>
              <w:top w:val="single" w:color="000000" w:sz="4" w:space="0"/>
              <w:left w:val="single" w:color="000000" w:sz="4" w:space="0"/>
              <w:bottom w:val="single" w:color="000000" w:sz="4" w:space="0"/>
              <w:right w:val="single" w:color="auto" w:sz="4" w:space="0"/>
            </w:tcBorders>
            <w:noWrap w:val="0"/>
            <w:vAlign w:val="center"/>
          </w:tcPr>
          <w:p w14:paraId="5EB5C645">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有无感染、贫血、凝血功能障碍、血液病等</w:t>
            </w:r>
          </w:p>
        </w:tc>
      </w:tr>
      <w:tr w14:paraId="57BE1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ADD8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6</w:t>
            </w:r>
          </w:p>
        </w:tc>
        <w:tc>
          <w:tcPr>
            <w:tcW w:w="26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1246C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尿液分析+沉渣镜检</w:t>
            </w:r>
          </w:p>
        </w:tc>
        <w:tc>
          <w:tcPr>
            <w:tcW w:w="5670"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7E88F09E">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泌尿系统感染、肾病、肝胆疾患、结石、糖尿病等多种疾病检查</w:t>
            </w:r>
          </w:p>
        </w:tc>
      </w:tr>
      <w:tr w14:paraId="31B5F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625E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7</w:t>
            </w:r>
          </w:p>
        </w:tc>
        <w:tc>
          <w:tcPr>
            <w:tcW w:w="26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59FB1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粪便常规+隐血试验</w:t>
            </w:r>
          </w:p>
        </w:tc>
        <w:tc>
          <w:tcPr>
            <w:tcW w:w="5670"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3D314A09">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检测各种原因所致的消化道出血，消化道恶性肿瘤早期诊断的重要筛查指标</w:t>
            </w:r>
          </w:p>
        </w:tc>
      </w:tr>
      <w:tr w14:paraId="2BB46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97880">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8</w:t>
            </w:r>
          </w:p>
        </w:tc>
        <w:tc>
          <w:tcPr>
            <w:tcW w:w="26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A71D4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肝功九项</w:t>
            </w:r>
          </w:p>
        </w:tc>
        <w:tc>
          <w:tcPr>
            <w:tcW w:w="5670" w:type="dxa"/>
            <w:tcBorders>
              <w:top w:val="single" w:color="000000" w:sz="4" w:space="0"/>
              <w:left w:val="single" w:color="000000" w:sz="4" w:space="0"/>
              <w:bottom w:val="single" w:color="000000" w:sz="4" w:space="0"/>
              <w:right w:val="single" w:color="auto" w:sz="4" w:space="0"/>
            </w:tcBorders>
            <w:noWrap w:val="0"/>
            <w:vAlign w:val="center"/>
          </w:tcPr>
          <w:p w14:paraId="4ADAA0AE">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反映肝脏功能，包括谷丙</w:t>
            </w:r>
            <w:r>
              <w:rPr>
                <w:rStyle w:val="11"/>
                <w:rFonts w:hint="eastAsia" w:ascii="楷体_GB2312" w:hAnsi="楷体_GB2312" w:eastAsia="楷体_GB2312" w:cs="楷体_GB2312"/>
                <w:sz w:val="24"/>
                <w:szCs w:val="24"/>
                <w:lang w:val="en-US" w:eastAsia="zh-CN" w:bidi="ar"/>
              </w:rPr>
              <w:t>/谷草转氨酶、胆红素等多项指标，与肝炎、肝硬化、黄疸等疾病有关</w:t>
            </w:r>
          </w:p>
        </w:tc>
      </w:tr>
      <w:tr w14:paraId="72D7E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FA03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9</w:t>
            </w:r>
          </w:p>
        </w:tc>
        <w:tc>
          <w:tcPr>
            <w:tcW w:w="26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672FF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肾功四项</w:t>
            </w:r>
          </w:p>
        </w:tc>
        <w:tc>
          <w:tcPr>
            <w:tcW w:w="5670" w:type="dxa"/>
            <w:tcBorders>
              <w:top w:val="single" w:color="000000" w:sz="4" w:space="0"/>
              <w:left w:val="single" w:color="000000" w:sz="4" w:space="0"/>
              <w:bottom w:val="single" w:color="000000" w:sz="4" w:space="0"/>
              <w:right w:val="single" w:color="auto" w:sz="4" w:space="0"/>
            </w:tcBorders>
            <w:noWrap w:val="0"/>
            <w:vAlign w:val="center"/>
          </w:tcPr>
          <w:p w14:paraId="5917F0B4">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反应肾功能不全、痛风等疾病</w:t>
            </w:r>
          </w:p>
        </w:tc>
      </w:tr>
      <w:tr w14:paraId="22470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3435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10</w:t>
            </w:r>
          </w:p>
        </w:tc>
        <w:tc>
          <w:tcPr>
            <w:tcW w:w="26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87529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血脂四项</w:t>
            </w:r>
          </w:p>
        </w:tc>
        <w:tc>
          <w:tcPr>
            <w:tcW w:w="5670" w:type="dxa"/>
            <w:tcBorders>
              <w:top w:val="single" w:color="000000" w:sz="4" w:space="0"/>
              <w:left w:val="single" w:color="000000" w:sz="4" w:space="0"/>
              <w:bottom w:val="single" w:color="000000" w:sz="4" w:space="0"/>
              <w:right w:val="single" w:color="auto" w:sz="4" w:space="0"/>
            </w:tcBorders>
            <w:noWrap w:val="0"/>
            <w:vAlign w:val="center"/>
          </w:tcPr>
          <w:p w14:paraId="2BF7A65E">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反映甘油三酯、总胆固醇等有无异常、对心脑血管疾病诊断及治疗有重要意义</w:t>
            </w:r>
          </w:p>
        </w:tc>
      </w:tr>
      <w:tr w14:paraId="1FC5E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E864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11</w:t>
            </w:r>
          </w:p>
        </w:tc>
        <w:tc>
          <w:tcPr>
            <w:tcW w:w="26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C8291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葡萄糖测定 空腹</w:t>
            </w:r>
          </w:p>
        </w:tc>
        <w:tc>
          <w:tcPr>
            <w:tcW w:w="5670" w:type="dxa"/>
            <w:tcBorders>
              <w:top w:val="single" w:color="000000" w:sz="4" w:space="0"/>
              <w:left w:val="single" w:color="000000" w:sz="4" w:space="0"/>
              <w:bottom w:val="single" w:color="000000" w:sz="4" w:space="0"/>
              <w:right w:val="single" w:color="auto" w:sz="4" w:space="0"/>
            </w:tcBorders>
            <w:noWrap w:val="0"/>
            <w:vAlign w:val="center"/>
          </w:tcPr>
          <w:p w14:paraId="1D55F2B7">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了解血糖情况，空腹血糖是诊断糖代谢紊乱的重要指标</w:t>
            </w:r>
          </w:p>
        </w:tc>
      </w:tr>
      <w:tr w14:paraId="568E2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3240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12</w:t>
            </w:r>
          </w:p>
        </w:tc>
        <w:tc>
          <w:tcPr>
            <w:tcW w:w="26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59E21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糖化血红蛋白</w:t>
            </w:r>
          </w:p>
        </w:tc>
        <w:tc>
          <w:tcPr>
            <w:tcW w:w="5670" w:type="dxa"/>
            <w:tcBorders>
              <w:top w:val="single" w:color="000000" w:sz="4" w:space="0"/>
              <w:left w:val="single" w:color="000000" w:sz="4" w:space="0"/>
              <w:bottom w:val="single" w:color="000000" w:sz="4" w:space="0"/>
              <w:right w:val="single" w:color="auto" w:sz="4" w:space="0"/>
            </w:tcBorders>
            <w:noWrap w:val="0"/>
            <w:vAlign w:val="center"/>
          </w:tcPr>
          <w:p w14:paraId="2E27A71F">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反映采血前2-3个月之内的平均血糖水平，是糖尿病筛查和了解糖尿病控制情况的一个重要指标</w:t>
            </w:r>
          </w:p>
        </w:tc>
      </w:tr>
      <w:tr w14:paraId="06C1D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E124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13</w:t>
            </w:r>
          </w:p>
        </w:tc>
        <w:tc>
          <w:tcPr>
            <w:tcW w:w="26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7CA3B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心肌酶谱</w:t>
            </w:r>
          </w:p>
        </w:tc>
        <w:tc>
          <w:tcPr>
            <w:tcW w:w="5670" w:type="dxa"/>
            <w:tcBorders>
              <w:top w:val="single" w:color="000000" w:sz="4" w:space="0"/>
              <w:left w:val="single" w:color="000000" w:sz="4" w:space="0"/>
              <w:bottom w:val="single" w:color="000000" w:sz="4" w:space="0"/>
              <w:right w:val="single" w:color="auto" w:sz="4" w:space="0"/>
            </w:tcBorders>
            <w:noWrap w:val="0"/>
            <w:vAlign w:val="center"/>
          </w:tcPr>
          <w:p w14:paraId="191FD368">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反应急性或慢性心肌损伤</w:t>
            </w:r>
          </w:p>
        </w:tc>
      </w:tr>
      <w:tr w14:paraId="3BBDF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9CD2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14</w:t>
            </w:r>
          </w:p>
        </w:tc>
        <w:tc>
          <w:tcPr>
            <w:tcW w:w="26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6015E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甲胎蛋白AFP定量</w:t>
            </w:r>
          </w:p>
        </w:tc>
        <w:tc>
          <w:tcPr>
            <w:tcW w:w="5670"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1939E1F9">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用于肝脏等炎症或肿瘤的辅助诊断，及治疗前后的对比监测</w:t>
            </w:r>
          </w:p>
        </w:tc>
      </w:tr>
      <w:tr w14:paraId="68076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7E70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15</w:t>
            </w:r>
          </w:p>
        </w:tc>
        <w:tc>
          <w:tcPr>
            <w:tcW w:w="26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908E9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癌胚抗原CEA定量</w:t>
            </w:r>
          </w:p>
        </w:tc>
        <w:tc>
          <w:tcPr>
            <w:tcW w:w="5670"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603F0186">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用于结直肠、乳腺、肺等炎症或肿瘤的辅助诊断，及治疗前后的对比监测</w:t>
            </w:r>
          </w:p>
        </w:tc>
      </w:tr>
      <w:tr w14:paraId="13DB7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4C02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16</w:t>
            </w:r>
          </w:p>
        </w:tc>
        <w:tc>
          <w:tcPr>
            <w:tcW w:w="26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47556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总前列腺特异性抗原</w:t>
            </w:r>
          </w:p>
        </w:tc>
        <w:tc>
          <w:tcPr>
            <w:tcW w:w="5670"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4CF89CEE">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用于前列腺炎症或肿瘤的辅助诊断，及治疗前后的对比监测</w:t>
            </w:r>
          </w:p>
        </w:tc>
      </w:tr>
      <w:tr w14:paraId="1004A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B459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17</w:t>
            </w:r>
          </w:p>
        </w:tc>
        <w:tc>
          <w:tcPr>
            <w:tcW w:w="26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5382F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游离前列腺特异性抗原</w:t>
            </w:r>
          </w:p>
        </w:tc>
        <w:tc>
          <w:tcPr>
            <w:tcW w:w="5670"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69F590E2">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用于前列腺炎症或肿瘤的辅助诊断，及治疗前后的对比监测</w:t>
            </w:r>
          </w:p>
        </w:tc>
      </w:tr>
      <w:tr w14:paraId="6956F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903A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18</w:t>
            </w:r>
          </w:p>
        </w:tc>
        <w:tc>
          <w:tcPr>
            <w:tcW w:w="26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2CA36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 xml:space="preserve">细胞角蛋白19片段测定 </w:t>
            </w:r>
          </w:p>
        </w:tc>
        <w:tc>
          <w:tcPr>
            <w:tcW w:w="5670"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0E3320F6">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用于非小细胞肺癌，特别是肺鳞癌诊断的首选肿瘤标志物</w:t>
            </w:r>
          </w:p>
        </w:tc>
      </w:tr>
      <w:tr w14:paraId="7A839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2010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19</w:t>
            </w:r>
          </w:p>
        </w:tc>
        <w:tc>
          <w:tcPr>
            <w:tcW w:w="26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AEF4A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鳞状细胞癌相关抗原</w:t>
            </w:r>
          </w:p>
        </w:tc>
        <w:tc>
          <w:tcPr>
            <w:tcW w:w="5670"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149CD09C">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用于辅助诊断、疗效评估、复发监测和预后判断尤其在食管癌、肺鳞癌等有较高的参考价值</w:t>
            </w:r>
          </w:p>
        </w:tc>
      </w:tr>
      <w:tr w14:paraId="0F7F7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915" w:type="dxa"/>
            <w:tcBorders>
              <w:top w:val="single" w:color="000000" w:sz="4" w:space="0"/>
              <w:left w:val="single" w:color="000000" w:sz="4" w:space="0"/>
              <w:bottom w:val="single" w:color="000000" w:sz="4" w:space="0"/>
              <w:right w:val="single" w:color="000000" w:sz="4" w:space="0"/>
            </w:tcBorders>
            <w:noWrap/>
            <w:vAlign w:val="center"/>
          </w:tcPr>
          <w:p w14:paraId="4CA5081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20</w:t>
            </w:r>
          </w:p>
        </w:tc>
        <w:tc>
          <w:tcPr>
            <w:tcW w:w="2614" w:type="dxa"/>
            <w:tcBorders>
              <w:top w:val="single" w:color="000000" w:sz="4" w:space="0"/>
              <w:left w:val="single" w:color="000000" w:sz="4" w:space="0"/>
              <w:bottom w:val="single" w:color="000000" w:sz="4" w:space="0"/>
              <w:right w:val="single" w:color="000000" w:sz="4" w:space="0"/>
            </w:tcBorders>
            <w:noWrap/>
            <w:vAlign w:val="center"/>
          </w:tcPr>
          <w:p w14:paraId="0BEDF36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肝、胆、胰、脾</w:t>
            </w:r>
          </w:p>
        </w:tc>
        <w:tc>
          <w:tcPr>
            <w:tcW w:w="5670" w:type="dxa"/>
            <w:tcBorders>
              <w:top w:val="single" w:color="000000" w:sz="4" w:space="0"/>
              <w:left w:val="single" w:color="000000" w:sz="4" w:space="0"/>
              <w:bottom w:val="single" w:color="000000" w:sz="4" w:space="0"/>
              <w:right w:val="single" w:color="auto" w:sz="4" w:space="0"/>
            </w:tcBorders>
            <w:noWrap w:val="0"/>
            <w:vAlign w:val="center"/>
          </w:tcPr>
          <w:p w14:paraId="52E51EFE">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通过彩色超声检查肝脏、胆囊、胰腺、脾脏器官的形态及病理改变（如肿瘤、结石、脂肪肝、肝硬化等）</w:t>
            </w:r>
          </w:p>
        </w:tc>
      </w:tr>
      <w:tr w14:paraId="1015D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915" w:type="dxa"/>
            <w:tcBorders>
              <w:top w:val="single" w:color="000000" w:sz="4" w:space="0"/>
              <w:left w:val="single" w:color="000000" w:sz="4" w:space="0"/>
              <w:bottom w:val="single" w:color="000000" w:sz="4" w:space="0"/>
              <w:right w:val="single" w:color="000000" w:sz="4" w:space="0"/>
            </w:tcBorders>
            <w:noWrap/>
            <w:vAlign w:val="center"/>
          </w:tcPr>
          <w:p w14:paraId="12E6A9D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21</w:t>
            </w:r>
          </w:p>
        </w:tc>
        <w:tc>
          <w:tcPr>
            <w:tcW w:w="2614" w:type="dxa"/>
            <w:tcBorders>
              <w:top w:val="single" w:color="000000" w:sz="4" w:space="0"/>
              <w:left w:val="single" w:color="000000" w:sz="4" w:space="0"/>
              <w:bottom w:val="single" w:color="000000" w:sz="4" w:space="0"/>
              <w:right w:val="single" w:color="000000" w:sz="4" w:space="0"/>
            </w:tcBorders>
            <w:noWrap w:val="0"/>
            <w:vAlign w:val="center"/>
          </w:tcPr>
          <w:p w14:paraId="60CEEB5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男性泌尿系</w:t>
            </w:r>
            <w:r>
              <w:rPr>
                <w:rFonts w:hint="eastAsia" w:ascii="楷体_GB2312" w:hAnsi="楷体_GB2312" w:eastAsia="楷体_GB2312" w:cs="楷体_GB2312"/>
                <w:i w:val="0"/>
                <w:iCs w:val="0"/>
                <w:color w:val="000000"/>
                <w:kern w:val="0"/>
                <w:sz w:val="24"/>
                <w:szCs w:val="24"/>
                <w:u w:val="none"/>
                <w:lang w:val="en-US" w:eastAsia="zh-CN" w:bidi="ar"/>
              </w:rPr>
              <w:br w:type="textWrapping"/>
            </w:r>
            <w:r>
              <w:rPr>
                <w:rFonts w:hint="eastAsia" w:ascii="楷体_GB2312" w:hAnsi="楷体_GB2312" w:eastAsia="楷体_GB2312" w:cs="楷体_GB2312"/>
                <w:i w:val="0"/>
                <w:iCs w:val="0"/>
                <w:color w:val="000000"/>
                <w:kern w:val="0"/>
                <w:sz w:val="24"/>
                <w:szCs w:val="24"/>
                <w:u w:val="none"/>
                <w:lang w:val="en-US" w:eastAsia="zh-CN" w:bidi="ar"/>
              </w:rPr>
              <w:t>（双肾、输尿管、膀胱、前列腺）</w:t>
            </w:r>
          </w:p>
        </w:tc>
        <w:tc>
          <w:tcPr>
            <w:tcW w:w="5670" w:type="dxa"/>
            <w:tcBorders>
              <w:top w:val="single" w:color="000000" w:sz="4" w:space="0"/>
              <w:left w:val="single" w:color="000000" w:sz="4" w:space="0"/>
              <w:bottom w:val="single" w:color="000000" w:sz="4" w:space="0"/>
              <w:right w:val="single" w:color="auto" w:sz="4" w:space="0"/>
            </w:tcBorders>
            <w:noWrap w:val="0"/>
            <w:vAlign w:val="center"/>
          </w:tcPr>
          <w:p w14:paraId="3075D1D6">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通过彩色超声检查肾脏、前列腺、膀胱内脏器官的形态及病理改变（如肿瘤、结石、前列腺增生及肥大等）</w:t>
            </w:r>
          </w:p>
        </w:tc>
      </w:tr>
      <w:tr w14:paraId="53348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jc w:val="center"/>
        </w:trPr>
        <w:tc>
          <w:tcPr>
            <w:tcW w:w="915" w:type="dxa"/>
            <w:tcBorders>
              <w:top w:val="single" w:color="000000" w:sz="4" w:space="0"/>
              <w:left w:val="single" w:color="000000" w:sz="4" w:space="0"/>
              <w:bottom w:val="single" w:color="000000" w:sz="4" w:space="0"/>
              <w:right w:val="single" w:color="000000" w:sz="4" w:space="0"/>
            </w:tcBorders>
            <w:noWrap/>
            <w:vAlign w:val="center"/>
          </w:tcPr>
          <w:p w14:paraId="15D9335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22</w:t>
            </w:r>
          </w:p>
        </w:tc>
        <w:tc>
          <w:tcPr>
            <w:tcW w:w="2614" w:type="dxa"/>
            <w:tcBorders>
              <w:top w:val="single" w:color="000000" w:sz="4" w:space="0"/>
              <w:left w:val="single" w:color="000000" w:sz="4" w:space="0"/>
              <w:bottom w:val="single" w:color="000000" w:sz="4" w:space="0"/>
              <w:right w:val="single" w:color="000000" w:sz="4" w:space="0"/>
            </w:tcBorders>
            <w:noWrap/>
            <w:vAlign w:val="center"/>
          </w:tcPr>
          <w:p w14:paraId="2F9FFAD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常规心电图检查</w:t>
            </w:r>
          </w:p>
        </w:tc>
        <w:tc>
          <w:tcPr>
            <w:tcW w:w="5670" w:type="dxa"/>
            <w:tcBorders>
              <w:top w:val="single" w:color="000000" w:sz="4" w:space="0"/>
              <w:left w:val="single" w:color="000000" w:sz="4" w:space="0"/>
              <w:bottom w:val="single" w:color="000000" w:sz="4" w:space="0"/>
              <w:right w:val="single" w:color="auto" w:sz="4" w:space="0"/>
            </w:tcBorders>
            <w:noWrap w:val="0"/>
            <w:vAlign w:val="center"/>
          </w:tcPr>
          <w:p w14:paraId="58CDD09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辅助诊断心律失常、心肌缺血、心肌梗死等</w:t>
            </w:r>
          </w:p>
        </w:tc>
      </w:tr>
      <w:tr w14:paraId="65B10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jc w:val="center"/>
        </w:trPr>
        <w:tc>
          <w:tcPr>
            <w:tcW w:w="915" w:type="dxa"/>
            <w:tcBorders>
              <w:top w:val="single" w:color="000000" w:sz="4" w:space="0"/>
              <w:left w:val="single" w:color="000000" w:sz="4" w:space="0"/>
              <w:bottom w:val="single" w:color="000000" w:sz="4" w:space="0"/>
              <w:right w:val="single" w:color="000000" w:sz="4" w:space="0"/>
            </w:tcBorders>
            <w:noWrap/>
            <w:vAlign w:val="center"/>
          </w:tcPr>
          <w:p w14:paraId="0A2010C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23</w:t>
            </w:r>
          </w:p>
        </w:tc>
        <w:tc>
          <w:tcPr>
            <w:tcW w:w="2614" w:type="dxa"/>
            <w:tcBorders>
              <w:top w:val="single" w:color="000000" w:sz="4" w:space="0"/>
              <w:left w:val="single" w:color="000000" w:sz="4" w:space="0"/>
              <w:bottom w:val="single" w:color="000000" w:sz="4" w:space="0"/>
              <w:right w:val="single" w:color="000000" w:sz="4" w:space="0"/>
            </w:tcBorders>
            <w:noWrap w:val="0"/>
            <w:vAlign w:val="center"/>
          </w:tcPr>
          <w:p w14:paraId="6EADAF2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胸部正位片（不含片）</w:t>
            </w:r>
          </w:p>
        </w:tc>
        <w:tc>
          <w:tcPr>
            <w:tcW w:w="5670" w:type="dxa"/>
            <w:tcBorders>
              <w:top w:val="single" w:color="000000" w:sz="4" w:space="0"/>
              <w:left w:val="single" w:color="000000" w:sz="4" w:space="0"/>
              <w:bottom w:val="single" w:color="000000" w:sz="4" w:space="0"/>
              <w:right w:val="single" w:color="auto" w:sz="4" w:space="0"/>
            </w:tcBorders>
            <w:noWrap w:val="0"/>
            <w:vAlign w:val="center"/>
          </w:tcPr>
          <w:p w14:paraId="6873382B">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用于帮助诊断肺炎、支气管扩张、肺癌、肺结核等</w:t>
            </w:r>
          </w:p>
        </w:tc>
      </w:tr>
    </w:tbl>
    <w:p w14:paraId="1EAAE25B">
      <w:pPr>
        <w:spacing w:line="360" w:lineRule="auto"/>
        <w:rPr>
          <w:rFonts w:hint="eastAsia" w:ascii="楷体_GB2312" w:hAnsi="楷体_GB2312" w:eastAsia="楷体_GB2312" w:cs="楷体_GB2312"/>
          <w:sz w:val="24"/>
          <w:szCs w:val="24"/>
        </w:rPr>
      </w:pPr>
    </w:p>
    <w:p w14:paraId="5B9EFBE9">
      <w:pPr>
        <w:spacing w:line="360" w:lineRule="auto"/>
        <w:rPr>
          <w:rFonts w:hint="eastAsia" w:ascii="楷体_GB2312" w:hAnsi="楷体_GB2312" w:eastAsia="楷体_GB2312" w:cs="楷体_GB2312"/>
          <w:sz w:val="24"/>
          <w:szCs w:val="24"/>
        </w:rPr>
      </w:pPr>
    </w:p>
    <w:p w14:paraId="1037404F">
      <w:pPr>
        <w:spacing w:line="360" w:lineRule="auto"/>
        <w:rPr>
          <w:rFonts w:hint="eastAsia" w:ascii="楷体_GB2312" w:hAnsi="楷体_GB2312" w:eastAsia="楷体_GB2312" w:cs="楷体_GB2312"/>
          <w:sz w:val="24"/>
          <w:szCs w:val="24"/>
        </w:rPr>
      </w:pPr>
    </w:p>
    <w:p w14:paraId="1EBB4AB1">
      <w:pPr>
        <w:spacing w:line="360" w:lineRule="auto"/>
        <w:rPr>
          <w:rFonts w:hint="eastAsia" w:ascii="楷体_GB2312" w:hAnsi="楷体_GB2312" w:eastAsia="楷体_GB2312" w:cs="楷体_GB2312"/>
          <w:sz w:val="24"/>
          <w:szCs w:val="24"/>
        </w:rPr>
      </w:pPr>
    </w:p>
    <w:p w14:paraId="649910E2">
      <w:pPr>
        <w:spacing w:line="360" w:lineRule="auto"/>
        <w:rPr>
          <w:rFonts w:hint="eastAsia" w:ascii="楷体_GB2312" w:hAnsi="楷体_GB2312" w:eastAsia="楷体_GB2312" w:cs="楷体_GB2312"/>
          <w:sz w:val="24"/>
          <w:szCs w:val="24"/>
        </w:rPr>
      </w:pPr>
    </w:p>
    <w:p w14:paraId="7BD5FF76">
      <w:pPr>
        <w:spacing w:line="360" w:lineRule="auto"/>
        <w:rPr>
          <w:rFonts w:hint="eastAsia" w:ascii="楷体_GB2312" w:hAnsi="楷体_GB2312" w:eastAsia="楷体_GB2312" w:cs="楷体_GB2312"/>
          <w:sz w:val="24"/>
          <w:szCs w:val="24"/>
        </w:rPr>
      </w:pPr>
    </w:p>
    <w:p w14:paraId="50FB1378">
      <w:pPr>
        <w:spacing w:line="360" w:lineRule="auto"/>
        <w:jc w:val="center"/>
        <w:rPr>
          <w:rFonts w:hint="eastAsia" w:ascii="楷体_GB2312" w:hAnsi="楷体_GB2312" w:eastAsia="楷体_GB2312" w:cs="楷体_GB2312"/>
          <w:sz w:val="24"/>
          <w:szCs w:val="24"/>
          <w:lang w:eastAsia="zh-CN"/>
        </w:rPr>
      </w:pPr>
      <w:r>
        <w:rPr>
          <w:rFonts w:hint="eastAsia" w:ascii="仿宋" w:hAnsi="仿宋" w:eastAsia="仿宋"/>
          <w:b/>
          <w:bCs/>
          <w:sz w:val="32"/>
          <w:szCs w:val="32"/>
          <w:lang w:val="en-US" w:eastAsia="zh-CN"/>
        </w:rPr>
        <w:t>表七：⼥性已婚辅警</w:t>
      </w:r>
    </w:p>
    <w:tbl>
      <w:tblPr>
        <w:tblStyle w:val="5"/>
        <w:tblW w:w="931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14"/>
        <w:gridCol w:w="2643"/>
        <w:gridCol w:w="5762"/>
      </w:tblGrid>
      <w:tr w14:paraId="7286E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914" w:type="dxa"/>
            <w:tcBorders>
              <w:top w:val="single" w:color="auto" w:sz="4" w:space="0"/>
              <w:left w:val="single" w:color="auto" w:sz="4" w:space="0"/>
              <w:bottom w:val="single" w:color="auto" w:sz="4" w:space="0"/>
              <w:right w:val="single" w:color="auto" w:sz="4" w:space="0"/>
            </w:tcBorders>
            <w:noWrap/>
            <w:vAlign w:val="center"/>
          </w:tcPr>
          <w:p w14:paraId="70336180">
            <w:pPr>
              <w:keepNext w:val="0"/>
              <w:keepLines w:val="0"/>
              <w:widowControl/>
              <w:suppressLineNumbers w:val="0"/>
              <w:spacing w:line="24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序号</w:t>
            </w:r>
          </w:p>
        </w:tc>
        <w:tc>
          <w:tcPr>
            <w:tcW w:w="2643" w:type="dxa"/>
            <w:tcBorders>
              <w:top w:val="single" w:color="auto" w:sz="4" w:space="0"/>
              <w:left w:val="single" w:color="auto" w:sz="4" w:space="0"/>
              <w:bottom w:val="single" w:color="auto" w:sz="4" w:space="0"/>
              <w:right w:val="single" w:color="auto" w:sz="4" w:space="0"/>
            </w:tcBorders>
            <w:noWrap/>
            <w:vAlign w:val="center"/>
          </w:tcPr>
          <w:p w14:paraId="73C9B861">
            <w:pPr>
              <w:keepNext w:val="0"/>
              <w:keepLines w:val="0"/>
              <w:widowControl/>
              <w:suppressLineNumbers w:val="0"/>
              <w:spacing w:line="24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项目</w:t>
            </w:r>
          </w:p>
        </w:tc>
        <w:tc>
          <w:tcPr>
            <w:tcW w:w="5762" w:type="dxa"/>
            <w:tcBorders>
              <w:top w:val="single" w:color="auto" w:sz="4" w:space="0"/>
              <w:left w:val="single" w:color="auto" w:sz="4" w:space="0"/>
              <w:bottom w:val="single" w:color="auto" w:sz="4" w:space="0"/>
              <w:right w:val="single" w:color="auto" w:sz="4" w:space="0"/>
            </w:tcBorders>
            <w:noWrap/>
            <w:vAlign w:val="center"/>
          </w:tcPr>
          <w:p w14:paraId="44F7C872">
            <w:pPr>
              <w:keepNext w:val="0"/>
              <w:keepLines w:val="0"/>
              <w:widowControl/>
              <w:suppressLineNumbers w:val="0"/>
              <w:spacing w:line="24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临床意义</w:t>
            </w:r>
          </w:p>
        </w:tc>
      </w:tr>
      <w:tr w14:paraId="294D6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914"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63B2EE0">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w:t>
            </w:r>
          </w:p>
        </w:tc>
        <w:tc>
          <w:tcPr>
            <w:tcW w:w="2643" w:type="dxa"/>
            <w:tcBorders>
              <w:top w:val="single" w:color="auto" w:sz="4" w:space="0"/>
              <w:left w:val="single" w:color="000000" w:sz="4" w:space="0"/>
              <w:bottom w:val="single" w:color="000000" w:sz="4" w:space="0"/>
              <w:right w:val="single" w:color="000000" w:sz="4" w:space="0"/>
            </w:tcBorders>
            <w:shd w:val="clear" w:color="auto" w:fill="FFFFFF"/>
            <w:noWrap/>
            <w:vAlign w:val="center"/>
          </w:tcPr>
          <w:p w14:paraId="769CAD6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调查问卷</w:t>
            </w:r>
          </w:p>
        </w:tc>
        <w:tc>
          <w:tcPr>
            <w:tcW w:w="5762" w:type="dxa"/>
            <w:tcBorders>
              <w:top w:val="single" w:color="auto" w:sz="4" w:space="0"/>
              <w:left w:val="single" w:color="000000" w:sz="4" w:space="0"/>
              <w:bottom w:val="single" w:color="000000" w:sz="4" w:space="0"/>
              <w:right w:val="single" w:color="auto" w:sz="4" w:space="0"/>
            </w:tcBorders>
            <w:noWrap w:val="0"/>
            <w:vAlign w:val="center"/>
          </w:tcPr>
          <w:p w14:paraId="00CCFEC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为医生提供全面的个人健康信息，实现个性化精准化的健康管理</w:t>
            </w:r>
          </w:p>
        </w:tc>
      </w:tr>
      <w:tr w14:paraId="36774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A0DA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w:t>
            </w:r>
          </w:p>
        </w:tc>
        <w:tc>
          <w:tcPr>
            <w:tcW w:w="26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C31F4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身高、体重、血压</w:t>
            </w:r>
          </w:p>
        </w:tc>
        <w:tc>
          <w:tcPr>
            <w:tcW w:w="5762" w:type="dxa"/>
            <w:tcBorders>
              <w:top w:val="single" w:color="000000" w:sz="4" w:space="0"/>
              <w:left w:val="single" w:color="000000" w:sz="4" w:space="0"/>
              <w:bottom w:val="single" w:color="000000" w:sz="4" w:space="0"/>
              <w:right w:val="single" w:color="auto" w:sz="4" w:space="0"/>
            </w:tcBorders>
            <w:noWrap w:val="0"/>
            <w:vAlign w:val="center"/>
          </w:tcPr>
          <w:p w14:paraId="2954431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诊断高血压、超重、肥胖、消瘦并为相关科室的诊断提供重要的依据</w:t>
            </w:r>
          </w:p>
        </w:tc>
      </w:tr>
      <w:tr w14:paraId="7148B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jc w:val="center"/>
        </w:trPr>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EF84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w:t>
            </w:r>
          </w:p>
        </w:tc>
        <w:tc>
          <w:tcPr>
            <w:tcW w:w="26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961B5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内科</w:t>
            </w:r>
          </w:p>
        </w:tc>
        <w:tc>
          <w:tcPr>
            <w:tcW w:w="5762" w:type="dxa"/>
            <w:tcBorders>
              <w:top w:val="single" w:color="000000" w:sz="4" w:space="0"/>
              <w:left w:val="single" w:color="000000" w:sz="4" w:space="0"/>
              <w:bottom w:val="single" w:color="000000" w:sz="4" w:space="0"/>
              <w:right w:val="single" w:color="auto" w:sz="4" w:space="0"/>
            </w:tcBorders>
            <w:noWrap w:val="0"/>
            <w:vAlign w:val="center"/>
          </w:tcPr>
          <w:p w14:paraId="062AA915">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询问既往病史，通过视、触、叩、听检查方法，评估心、肺、肝、脾等基本状况</w:t>
            </w:r>
          </w:p>
        </w:tc>
      </w:tr>
      <w:tr w14:paraId="56D79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678D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4</w:t>
            </w:r>
          </w:p>
        </w:tc>
        <w:tc>
          <w:tcPr>
            <w:tcW w:w="26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AB3E1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外科</w:t>
            </w:r>
          </w:p>
        </w:tc>
        <w:tc>
          <w:tcPr>
            <w:tcW w:w="5762" w:type="dxa"/>
            <w:tcBorders>
              <w:top w:val="single" w:color="000000" w:sz="4" w:space="0"/>
              <w:left w:val="single" w:color="000000" w:sz="4" w:space="0"/>
              <w:bottom w:val="single" w:color="000000" w:sz="4" w:space="0"/>
              <w:right w:val="single" w:color="auto" w:sz="4" w:space="0"/>
            </w:tcBorders>
            <w:noWrap w:val="0"/>
            <w:vAlign w:val="center"/>
          </w:tcPr>
          <w:p w14:paraId="6B8B95DB">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检查淋巴结有无肿大，甲状腺、四肢脊柱有无畸形等</w:t>
            </w:r>
          </w:p>
        </w:tc>
      </w:tr>
      <w:tr w14:paraId="73F3A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7633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5</w:t>
            </w:r>
          </w:p>
        </w:tc>
        <w:tc>
          <w:tcPr>
            <w:tcW w:w="26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D3C500">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血细胞分析+五分类</w:t>
            </w:r>
          </w:p>
        </w:tc>
        <w:tc>
          <w:tcPr>
            <w:tcW w:w="5762" w:type="dxa"/>
            <w:tcBorders>
              <w:top w:val="single" w:color="000000" w:sz="4" w:space="0"/>
              <w:left w:val="single" w:color="000000" w:sz="4" w:space="0"/>
              <w:bottom w:val="single" w:color="000000" w:sz="4" w:space="0"/>
              <w:right w:val="single" w:color="auto" w:sz="4" w:space="0"/>
            </w:tcBorders>
            <w:noWrap w:val="0"/>
            <w:vAlign w:val="center"/>
          </w:tcPr>
          <w:p w14:paraId="60D1EABE">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有无感染、贫血、凝血功能障碍、血液病等</w:t>
            </w:r>
          </w:p>
        </w:tc>
      </w:tr>
      <w:tr w14:paraId="5DD73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8829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6</w:t>
            </w:r>
          </w:p>
        </w:tc>
        <w:tc>
          <w:tcPr>
            <w:tcW w:w="26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8ECB7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尿液分析+沉渣镜检</w:t>
            </w:r>
          </w:p>
        </w:tc>
        <w:tc>
          <w:tcPr>
            <w:tcW w:w="576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0F028A65">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泌尿系统感染、肾病、肝胆疾患、结石、糖尿病等多种疾病检查</w:t>
            </w:r>
          </w:p>
        </w:tc>
      </w:tr>
      <w:tr w14:paraId="1A020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jc w:val="center"/>
        </w:trPr>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976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7</w:t>
            </w:r>
          </w:p>
        </w:tc>
        <w:tc>
          <w:tcPr>
            <w:tcW w:w="26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DCD2AB">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粪便常规+隐血试验</w:t>
            </w:r>
          </w:p>
        </w:tc>
        <w:tc>
          <w:tcPr>
            <w:tcW w:w="576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63F4845A">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检测各种原因所致的消化道出血，消化道恶性肿瘤早期诊断的重要筛查指标</w:t>
            </w:r>
          </w:p>
        </w:tc>
      </w:tr>
      <w:tr w14:paraId="17D2B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jc w:val="center"/>
        </w:trPr>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18A2B">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8</w:t>
            </w:r>
          </w:p>
        </w:tc>
        <w:tc>
          <w:tcPr>
            <w:tcW w:w="26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46E7C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肝功九项</w:t>
            </w:r>
          </w:p>
        </w:tc>
        <w:tc>
          <w:tcPr>
            <w:tcW w:w="5762" w:type="dxa"/>
            <w:tcBorders>
              <w:top w:val="single" w:color="000000" w:sz="4" w:space="0"/>
              <w:left w:val="single" w:color="000000" w:sz="4" w:space="0"/>
              <w:bottom w:val="single" w:color="000000" w:sz="4" w:space="0"/>
              <w:right w:val="single" w:color="auto" w:sz="4" w:space="0"/>
            </w:tcBorders>
            <w:noWrap w:val="0"/>
            <w:vAlign w:val="center"/>
          </w:tcPr>
          <w:p w14:paraId="3CFAE687">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反映肝脏功能，包括谷丙</w:t>
            </w:r>
            <w:r>
              <w:rPr>
                <w:rFonts w:hint="eastAsia" w:ascii="楷体_GB2312" w:hAnsi="楷体_GB2312" w:eastAsia="楷体_GB2312" w:cs="楷体_GB2312"/>
                <w:i w:val="0"/>
                <w:iCs w:val="0"/>
                <w:color w:val="333333"/>
                <w:kern w:val="0"/>
                <w:sz w:val="24"/>
                <w:szCs w:val="24"/>
                <w:u w:val="none"/>
                <w:lang w:val="en-US" w:eastAsia="zh-CN" w:bidi="ar"/>
              </w:rPr>
              <w:t>/谷草转氨酶、胆红素等多项指标，与肝炎、肝硬化、黄疸等疾病有关</w:t>
            </w:r>
          </w:p>
        </w:tc>
      </w:tr>
      <w:tr w14:paraId="33E0E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BBD0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9</w:t>
            </w:r>
          </w:p>
        </w:tc>
        <w:tc>
          <w:tcPr>
            <w:tcW w:w="26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00BBCB">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肾功四项</w:t>
            </w:r>
          </w:p>
        </w:tc>
        <w:tc>
          <w:tcPr>
            <w:tcW w:w="5762" w:type="dxa"/>
            <w:tcBorders>
              <w:top w:val="single" w:color="000000" w:sz="4" w:space="0"/>
              <w:left w:val="single" w:color="000000" w:sz="4" w:space="0"/>
              <w:bottom w:val="single" w:color="000000" w:sz="4" w:space="0"/>
              <w:right w:val="single" w:color="auto" w:sz="4" w:space="0"/>
            </w:tcBorders>
            <w:noWrap w:val="0"/>
            <w:vAlign w:val="center"/>
          </w:tcPr>
          <w:p w14:paraId="64332B2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反应肾功能不全、痛风等疾病</w:t>
            </w:r>
          </w:p>
        </w:tc>
      </w:tr>
      <w:tr w14:paraId="42037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jc w:val="center"/>
        </w:trPr>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74AD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10</w:t>
            </w:r>
          </w:p>
        </w:tc>
        <w:tc>
          <w:tcPr>
            <w:tcW w:w="26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CC482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血脂四项</w:t>
            </w:r>
          </w:p>
        </w:tc>
        <w:tc>
          <w:tcPr>
            <w:tcW w:w="5762" w:type="dxa"/>
            <w:tcBorders>
              <w:top w:val="single" w:color="000000" w:sz="4" w:space="0"/>
              <w:left w:val="single" w:color="000000" w:sz="4" w:space="0"/>
              <w:bottom w:val="single" w:color="000000" w:sz="4" w:space="0"/>
              <w:right w:val="single" w:color="auto" w:sz="4" w:space="0"/>
            </w:tcBorders>
            <w:noWrap w:val="0"/>
            <w:vAlign w:val="center"/>
          </w:tcPr>
          <w:p w14:paraId="55ED686A">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反映甘油三酯、总胆固醇等有无异常、对心脑血管疾病诊断及治疗有重要意义</w:t>
            </w:r>
          </w:p>
        </w:tc>
      </w:tr>
      <w:tr w14:paraId="258B1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A09B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11</w:t>
            </w:r>
          </w:p>
        </w:tc>
        <w:tc>
          <w:tcPr>
            <w:tcW w:w="26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2EC17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葡萄糖测定 空腹</w:t>
            </w:r>
          </w:p>
        </w:tc>
        <w:tc>
          <w:tcPr>
            <w:tcW w:w="5762" w:type="dxa"/>
            <w:tcBorders>
              <w:top w:val="single" w:color="000000" w:sz="4" w:space="0"/>
              <w:left w:val="single" w:color="000000" w:sz="4" w:space="0"/>
              <w:bottom w:val="single" w:color="000000" w:sz="4" w:space="0"/>
              <w:right w:val="single" w:color="auto" w:sz="4" w:space="0"/>
            </w:tcBorders>
            <w:noWrap w:val="0"/>
            <w:vAlign w:val="center"/>
          </w:tcPr>
          <w:p w14:paraId="244D57FF">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了解血糖情况，空腹血糖是诊断糖代谢紊乱的重要指标</w:t>
            </w:r>
          </w:p>
        </w:tc>
      </w:tr>
      <w:tr w14:paraId="7AE0D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jc w:val="center"/>
        </w:trPr>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4024B">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12</w:t>
            </w:r>
          </w:p>
        </w:tc>
        <w:tc>
          <w:tcPr>
            <w:tcW w:w="26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6285F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糖化血红蛋白</w:t>
            </w:r>
          </w:p>
        </w:tc>
        <w:tc>
          <w:tcPr>
            <w:tcW w:w="5762" w:type="dxa"/>
            <w:tcBorders>
              <w:top w:val="single" w:color="000000" w:sz="4" w:space="0"/>
              <w:left w:val="single" w:color="000000" w:sz="4" w:space="0"/>
              <w:bottom w:val="single" w:color="000000" w:sz="4" w:space="0"/>
              <w:right w:val="single" w:color="auto" w:sz="4" w:space="0"/>
            </w:tcBorders>
            <w:noWrap w:val="0"/>
            <w:vAlign w:val="center"/>
          </w:tcPr>
          <w:p w14:paraId="2D242999">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反映采血前2-3个月之内的平均血糖水平，是糖尿病筛查和了解糖尿病控制情况的一个重要指标</w:t>
            </w:r>
          </w:p>
        </w:tc>
      </w:tr>
      <w:tr w14:paraId="267F6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32C3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13</w:t>
            </w:r>
          </w:p>
        </w:tc>
        <w:tc>
          <w:tcPr>
            <w:tcW w:w="26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2DB9D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心肌酶谱</w:t>
            </w:r>
          </w:p>
        </w:tc>
        <w:tc>
          <w:tcPr>
            <w:tcW w:w="5762" w:type="dxa"/>
            <w:tcBorders>
              <w:top w:val="single" w:color="000000" w:sz="4" w:space="0"/>
              <w:left w:val="single" w:color="000000" w:sz="4" w:space="0"/>
              <w:bottom w:val="single" w:color="000000" w:sz="4" w:space="0"/>
              <w:right w:val="single" w:color="auto" w:sz="4" w:space="0"/>
            </w:tcBorders>
            <w:noWrap w:val="0"/>
            <w:vAlign w:val="center"/>
          </w:tcPr>
          <w:p w14:paraId="0D7E7E65">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反应急性或慢性心肌损伤</w:t>
            </w:r>
          </w:p>
        </w:tc>
      </w:tr>
      <w:tr w14:paraId="7E19E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A32D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14</w:t>
            </w:r>
          </w:p>
        </w:tc>
        <w:tc>
          <w:tcPr>
            <w:tcW w:w="26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7660F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甲胎蛋白AFP定量</w:t>
            </w:r>
          </w:p>
        </w:tc>
        <w:tc>
          <w:tcPr>
            <w:tcW w:w="576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51FCBE94">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用于肝脏等炎症或肿瘤的辅助诊断，及治疗前后的对比监测</w:t>
            </w:r>
          </w:p>
        </w:tc>
      </w:tr>
      <w:tr w14:paraId="1917D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jc w:val="center"/>
        </w:trPr>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BB1F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15</w:t>
            </w:r>
          </w:p>
        </w:tc>
        <w:tc>
          <w:tcPr>
            <w:tcW w:w="26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DB7D4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癌胚抗原CEA定量</w:t>
            </w:r>
          </w:p>
        </w:tc>
        <w:tc>
          <w:tcPr>
            <w:tcW w:w="576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08FE5495">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用于结直肠、乳腺、肺等炎症或肿瘤的辅助诊断，及治疗前后的对比监测</w:t>
            </w:r>
          </w:p>
        </w:tc>
      </w:tr>
      <w:tr w14:paraId="752C3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jc w:val="center"/>
        </w:trPr>
        <w:tc>
          <w:tcPr>
            <w:tcW w:w="914" w:type="dxa"/>
            <w:tcBorders>
              <w:top w:val="single" w:color="000000" w:sz="4" w:space="0"/>
              <w:left w:val="single" w:color="000000" w:sz="4" w:space="0"/>
              <w:bottom w:val="single" w:color="000000" w:sz="4" w:space="0"/>
              <w:right w:val="single" w:color="000000" w:sz="4" w:space="0"/>
            </w:tcBorders>
            <w:noWrap/>
            <w:vAlign w:val="center"/>
          </w:tcPr>
          <w:p w14:paraId="0247CD6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16</w:t>
            </w:r>
          </w:p>
        </w:tc>
        <w:tc>
          <w:tcPr>
            <w:tcW w:w="2643" w:type="dxa"/>
            <w:tcBorders>
              <w:top w:val="single" w:color="000000" w:sz="4" w:space="0"/>
              <w:left w:val="single" w:color="000000" w:sz="4" w:space="0"/>
              <w:bottom w:val="single" w:color="000000" w:sz="4" w:space="0"/>
              <w:right w:val="single" w:color="000000" w:sz="4" w:space="0"/>
            </w:tcBorders>
            <w:noWrap/>
            <w:vAlign w:val="center"/>
          </w:tcPr>
          <w:p w14:paraId="6753D12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肝、胆、胰、脾</w:t>
            </w:r>
          </w:p>
        </w:tc>
        <w:tc>
          <w:tcPr>
            <w:tcW w:w="5762" w:type="dxa"/>
            <w:tcBorders>
              <w:top w:val="single" w:color="000000" w:sz="4" w:space="0"/>
              <w:left w:val="single" w:color="000000" w:sz="4" w:space="0"/>
              <w:bottom w:val="single" w:color="000000" w:sz="4" w:space="0"/>
              <w:right w:val="single" w:color="auto" w:sz="4" w:space="0"/>
            </w:tcBorders>
            <w:noWrap w:val="0"/>
            <w:vAlign w:val="center"/>
          </w:tcPr>
          <w:p w14:paraId="19ACA2C6">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通过彩色超声检查肝脏、胆囊、胰腺、脾脏器官的形态及病理改变（如肿瘤、结石、脂肪肝、肝硬化等）</w:t>
            </w:r>
          </w:p>
        </w:tc>
      </w:tr>
      <w:tr w14:paraId="373B5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jc w:val="center"/>
        </w:trPr>
        <w:tc>
          <w:tcPr>
            <w:tcW w:w="914" w:type="dxa"/>
            <w:tcBorders>
              <w:top w:val="single" w:color="000000" w:sz="4" w:space="0"/>
              <w:left w:val="single" w:color="000000" w:sz="4" w:space="0"/>
              <w:bottom w:val="single" w:color="000000" w:sz="4" w:space="0"/>
              <w:right w:val="single" w:color="000000" w:sz="4" w:space="0"/>
            </w:tcBorders>
            <w:noWrap/>
            <w:vAlign w:val="center"/>
          </w:tcPr>
          <w:p w14:paraId="1BED448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17</w:t>
            </w:r>
          </w:p>
        </w:tc>
        <w:tc>
          <w:tcPr>
            <w:tcW w:w="2643" w:type="dxa"/>
            <w:tcBorders>
              <w:top w:val="single" w:color="000000" w:sz="4" w:space="0"/>
              <w:left w:val="single" w:color="000000" w:sz="4" w:space="0"/>
              <w:bottom w:val="single" w:color="000000" w:sz="4" w:space="0"/>
              <w:right w:val="single" w:color="000000" w:sz="4" w:space="0"/>
            </w:tcBorders>
            <w:noWrap/>
            <w:vAlign w:val="center"/>
          </w:tcPr>
          <w:p w14:paraId="27F76FA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子宫附件常规</w:t>
            </w:r>
          </w:p>
        </w:tc>
        <w:tc>
          <w:tcPr>
            <w:tcW w:w="5762" w:type="dxa"/>
            <w:tcBorders>
              <w:top w:val="single" w:color="000000" w:sz="4" w:space="0"/>
              <w:left w:val="single" w:color="000000" w:sz="4" w:space="0"/>
              <w:bottom w:val="single" w:color="000000" w:sz="4" w:space="0"/>
              <w:right w:val="single" w:color="auto" w:sz="4" w:space="0"/>
            </w:tcBorders>
            <w:noWrap w:val="0"/>
            <w:vAlign w:val="center"/>
          </w:tcPr>
          <w:p w14:paraId="23121319">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通过彩色超声检查子宫、附件等内脏器官的形态及病理改变（如肿瘤、子宫及附件等）</w:t>
            </w:r>
          </w:p>
        </w:tc>
      </w:tr>
      <w:tr w14:paraId="6284D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DFC2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18</w:t>
            </w: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EA18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女性泌尿系（双肾、输尿管、膀胱）</w:t>
            </w:r>
          </w:p>
        </w:tc>
        <w:tc>
          <w:tcPr>
            <w:tcW w:w="5762" w:type="dxa"/>
            <w:tcBorders>
              <w:top w:val="nil"/>
              <w:left w:val="single" w:color="000000" w:sz="4" w:space="0"/>
              <w:bottom w:val="nil"/>
              <w:right w:val="single" w:color="auto" w:sz="4" w:space="0"/>
            </w:tcBorders>
            <w:shd w:val="clear" w:color="auto" w:fill="FFFFFF"/>
            <w:noWrap w:val="0"/>
            <w:vAlign w:val="center"/>
          </w:tcPr>
          <w:p w14:paraId="19F7F7E6">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通过彩色超声检查肾脏、输尿管、膀胱内脏器官的形态及病理改变</w:t>
            </w:r>
          </w:p>
        </w:tc>
      </w:tr>
      <w:tr w14:paraId="17D0C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914" w:type="dxa"/>
            <w:tcBorders>
              <w:top w:val="single" w:color="000000" w:sz="4" w:space="0"/>
              <w:left w:val="single" w:color="000000" w:sz="4" w:space="0"/>
              <w:bottom w:val="single" w:color="000000" w:sz="4" w:space="0"/>
              <w:right w:val="single" w:color="000000" w:sz="4" w:space="0"/>
            </w:tcBorders>
            <w:noWrap/>
            <w:vAlign w:val="center"/>
          </w:tcPr>
          <w:p w14:paraId="003E554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19</w:t>
            </w:r>
          </w:p>
        </w:tc>
        <w:tc>
          <w:tcPr>
            <w:tcW w:w="2643" w:type="dxa"/>
            <w:tcBorders>
              <w:top w:val="single" w:color="000000" w:sz="4" w:space="0"/>
              <w:left w:val="single" w:color="000000" w:sz="4" w:space="0"/>
              <w:bottom w:val="single" w:color="000000" w:sz="4" w:space="0"/>
              <w:right w:val="single" w:color="000000" w:sz="4" w:space="0"/>
            </w:tcBorders>
            <w:noWrap/>
            <w:vAlign w:val="center"/>
          </w:tcPr>
          <w:p w14:paraId="2D14F67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乳腺彩超</w:t>
            </w:r>
          </w:p>
        </w:tc>
        <w:tc>
          <w:tcPr>
            <w:tcW w:w="5762" w:type="dxa"/>
            <w:tcBorders>
              <w:top w:val="single" w:color="000000" w:sz="4" w:space="0"/>
              <w:left w:val="single" w:color="000000" w:sz="4" w:space="0"/>
              <w:bottom w:val="single" w:color="000000" w:sz="4" w:space="0"/>
              <w:right w:val="single" w:color="auto" w:sz="4" w:space="0"/>
            </w:tcBorders>
            <w:noWrap w:val="0"/>
            <w:vAlign w:val="center"/>
          </w:tcPr>
          <w:p w14:paraId="0E06D97B">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有无乳腺包块、增生、小结等</w:t>
            </w:r>
          </w:p>
        </w:tc>
      </w:tr>
      <w:tr w14:paraId="2AF77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914" w:type="dxa"/>
            <w:tcBorders>
              <w:top w:val="single" w:color="000000" w:sz="4" w:space="0"/>
              <w:left w:val="single" w:color="000000" w:sz="4" w:space="0"/>
              <w:bottom w:val="single" w:color="000000" w:sz="4" w:space="0"/>
              <w:right w:val="single" w:color="000000" w:sz="4" w:space="0"/>
            </w:tcBorders>
            <w:noWrap/>
            <w:vAlign w:val="center"/>
          </w:tcPr>
          <w:p w14:paraId="593ECBF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20</w:t>
            </w:r>
          </w:p>
        </w:tc>
        <w:tc>
          <w:tcPr>
            <w:tcW w:w="2643" w:type="dxa"/>
            <w:tcBorders>
              <w:top w:val="single" w:color="000000" w:sz="4" w:space="0"/>
              <w:left w:val="single" w:color="000000" w:sz="4" w:space="0"/>
              <w:bottom w:val="single" w:color="000000" w:sz="4" w:space="0"/>
              <w:right w:val="single" w:color="000000" w:sz="4" w:space="0"/>
            </w:tcBorders>
            <w:noWrap/>
            <w:vAlign w:val="center"/>
          </w:tcPr>
          <w:p w14:paraId="79E8ACF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常规心电图检查</w:t>
            </w:r>
          </w:p>
        </w:tc>
        <w:tc>
          <w:tcPr>
            <w:tcW w:w="5762" w:type="dxa"/>
            <w:tcBorders>
              <w:top w:val="single" w:color="000000" w:sz="4" w:space="0"/>
              <w:left w:val="single" w:color="000000" w:sz="4" w:space="0"/>
              <w:bottom w:val="single" w:color="000000" w:sz="4" w:space="0"/>
              <w:right w:val="single" w:color="auto" w:sz="4" w:space="0"/>
            </w:tcBorders>
            <w:noWrap w:val="0"/>
            <w:vAlign w:val="center"/>
          </w:tcPr>
          <w:p w14:paraId="1F4AAC5B">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辅助诊断心律失常、心肌缺血、心肌梗死等</w:t>
            </w:r>
          </w:p>
        </w:tc>
      </w:tr>
      <w:tr w14:paraId="68848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0A1A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21</w:t>
            </w:r>
          </w:p>
        </w:tc>
        <w:tc>
          <w:tcPr>
            <w:tcW w:w="26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A3043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妇科常规检查</w:t>
            </w:r>
          </w:p>
        </w:tc>
        <w:tc>
          <w:tcPr>
            <w:tcW w:w="5762" w:type="dxa"/>
            <w:tcBorders>
              <w:top w:val="single" w:color="000000" w:sz="4" w:space="0"/>
              <w:left w:val="single" w:color="000000" w:sz="4" w:space="0"/>
              <w:bottom w:val="single" w:color="000000" w:sz="4" w:space="0"/>
              <w:right w:val="single" w:color="auto" w:sz="4" w:space="0"/>
            </w:tcBorders>
            <w:noWrap w:val="0"/>
            <w:vAlign w:val="center"/>
          </w:tcPr>
          <w:p w14:paraId="21FB1648">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检查女性生殖器有无异常改变，有无宫颈及阴道异常病变</w:t>
            </w:r>
          </w:p>
        </w:tc>
      </w:tr>
      <w:tr w14:paraId="30465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jc w:val="center"/>
        </w:trPr>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2409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22</w:t>
            </w:r>
          </w:p>
        </w:tc>
        <w:tc>
          <w:tcPr>
            <w:tcW w:w="2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DC7C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阴道分泌物检查</w:t>
            </w:r>
          </w:p>
        </w:tc>
        <w:tc>
          <w:tcPr>
            <w:tcW w:w="576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62001294">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检测阴道分泌物清洁度，霉菌性、滴虫性阴道炎、细菌性阴道病等妇科疾病的筛查</w:t>
            </w:r>
          </w:p>
        </w:tc>
      </w:tr>
      <w:tr w14:paraId="6F006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914" w:type="dxa"/>
            <w:tcBorders>
              <w:top w:val="single" w:color="000000" w:sz="4" w:space="0"/>
              <w:left w:val="single" w:color="000000" w:sz="4" w:space="0"/>
              <w:bottom w:val="single" w:color="000000" w:sz="4" w:space="0"/>
              <w:right w:val="single" w:color="000000" w:sz="4" w:space="0"/>
            </w:tcBorders>
            <w:noWrap/>
            <w:vAlign w:val="center"/>
          </w:tcPr>
          <w:p w14:paraId="2AB2AB0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23</w:t>
            </w:r>
          </w:p>
        </w:tc>
        <w:tc>
          <w:tcPr>
            <w:tcW w:w="2643" w:type="dxa"/>
            <w:tcBorders>
              <w:top w:val="single" w:color="000000" w:sz="4" w:space="0"/>
              <w:left w:val="single" w:color="000000" w:sz="4" w:space="0"/>
              <w:bottom w:val="single" w:color="000000" w:sz="4" w:space="0"/>
              <w:right w:val="single" w:color="000000" w:sz="4" w:space="0"/>
            </w:tcBorders>
            <w:noWrap/>
            <w:vAlign w:val="center"/>
          </w:tcPr>
          <w:p w14:paraId="142C501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宫颈刮片</w:t>
            </w:r>
          </w:p>
        </w:tc>
        <w:tc>
          <w:tcPr>
            <w:tcW w:w="5762" w:type="dxa"/>
            <w:tcBorders>
              <w:top w:val="single" w:color="000000" w:sz="4" w:space="0"/>
              <w:left w:val="single" w:color="000000" w:sz="4" w:space="0"/>
              <w:bottom w:val="single" w:color="000000" w:sz="4" w:space="0"/>
              <w:right w:val="single" w:color="auto" w:sz="4" w:space="0"/>
            </w:tcBorders>
            <w:noWrap w:val="0"/>
            <w:vAlign w:val="center"/>
          </w:tcPr>
          <w:p w14:paraId="7D346A75">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早期宫颈癌的病因检测及其癌前病变较先进的筛查方法</w:t>
            </w:r>
          </w:p>
        </w:tc>
      </w:tr>
      <w:tr w14:paraId="0DD28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jc w:val="center"/>
        </w:trPr>
        <w:tc>
          <w:tcPr>
            <w:tcW w:w="914" w:type="dxa"/>
            <w:tcBorders>
              <w:top w:val="single" w:color="000000" w:sz="4" w:space="0"/>
              <w:left w:val="single" w:color="000000" w:sz="4" w:space="0"/>
              <w:bottom w:val="single" w:color="000000" w:sz="4" w:space="0"/>
              <w:right w:val="single" w:color="000000" w:sz="4" w:space="0"/>
            </w:tcBorders>
            <w:noWrap/>
            <w:vAlign w:val="center"/>
          </w:tcPr>
          <w:p w14:paraId="475FD070">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24</w:t>
            </w:r>
          </w:p>
        </w:tc>
        <w:tc>
          <w:tcPr>
            <w:tcW w:w="2643" w:type="dxa"/>
            <w:tcBorders>
              <w:top w:val="single" w:color="000000" w:sz="4" w:space="0"/>
              <w:left w:val="single" w:color="000000" w:sz="4" w:space="0"/>
              <w:bottom w:val="single" w:color="000000" w:sz="4" w:space="0"/>
              <w:right w:val="single" w:color="000000" w:sz="4" w:space="0"/>
            </w:tcBorders>
            <w:noWrap w:val="0"/>
            <w:vAlign w:val="center"/>
          </w:tcPr>
          <w:p w14:paraId="0017D49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胸部正位片（不含片）</w:t>
            </w:r>
          </w:p>
        </w:tc>
        <w:tc>
          <w:tcPr>
            <w:tcW w:w="5762" w:type="dxa"/>
            <w:tcBorders>
              <w:top w:val="single" w:color="000000" w:sz="4" w:space="0"/>
              <w:left w:val="single" w:color="000000" w:sz="4" w:space="0"/>
              <w:bottom w:val="single" w:color="000000" w:sz="4" w:space="0"/>
              <w:right w:val="single" w:color="auto" w:sz="4" w:space="0"/>
            </w:tcBorders>
            <w:noWrap w:val="0"/>
            <w:vAlign w:val="center"/>
          </w:tcPr>
          <w:p w14:paraId="08BD28B5">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用于帮助诊断肺炎、支气管扩张、肺癌、肺结核等</w:t>
            </w:r>
          </w:p>
        </w:tc>
      </w:tr>
    </w:tbl>
    <w:p w14:paraId="77C50F05">
      <w:pPr>
        <w:keepNext w:val="0"/>
        <w:keepLines w:val="0"/>
        <w:widowControl/>
        <w:suppressLineNumbers w:val="0"/>
        <w:spacing w:line="240" w:lineRule="auto"/>
        <w:jc w:val="both"/>
        <w:textAlignment w:val="center"/>
        <w:rPr>
          <w:rFonts w:hint="eastAsia" w:ascii="仿宋" w:hAnsi="仿宋" w:eastAsia="仿宋" w:cs="仿宋"/>
          <w:color w:val="000000"/>
          <w:spacing w:val="0"/>
          <w:position w:val="0"/>
          <w:sz w:val="24"/>
          <w:szCs w:val="24"/>
          <w:highlight w:val="none"/>
          <w:lang w:val="en-US" w:eastAsia="zh-CN"/>
        </w:rPr>
      </w:pPr>
    </w:p>
    <w:p w14:paraId="444DA6B1">
      <w:pPr>
        <w:spacing w:line="360" w:lineRule="auto"/>
        <w:jc w:val="center"/>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表八：⼥性未婚辅警</w:t>
      </w:r>
    </w:p>
    <w:tbl>
      <w:tblPr>
        <w:tblStyle w:val="5"/>
        <w:tblW w:w="95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29"/>
        <w:gridCol w:w="2506"/>
        <w:gridCol w:w="6124"/>
      </w:tblGrid>
      <w:tr w14:paraId="47B6A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jc w:val="center"/>
        </w:trPr>
        <w:tc>
          <w:tcPr>
            <w:tcW w:w="929" w:type="dxa"/>
            <w:tcBorders>
              <w:top w:val="single" w:color="auto" w:sz="4" w:space="0"/>
              <w:left w:val="single" w:color="auto" w:sz="4" w:space="0"/>
              <w:bottom w:val="single" w:color="auto" w:sz="4" w:space="0"/>
              <w:right w:val="single" w:color="auto" w:sz="4" w:space="0"/>
            </w:tcBorders>
            <w:noWrap/>
            <w:vAlign w:val="center"/>
          </w:tcPr>
          <w:p w14:paraId="25883570">
            <w:pPr>
              <w:keepNext w:val="0"/>
              <w:keepLines w:val="0"/>
              <w:widowControl/>
              <w:suppressLineNumbers w:val="0"/>
              <w:spacing w:line="24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序号</w:t>
            </w:r>
          </w:p>
        </w:tc>
        <w:tc>
          <w:tcPr>
            <w:tcW w:w="2506" w:type="dxa"/>
            <w:tcBorders>
              <w:top w:val="single" w:color="auto" w:sz="4" w:space="0"/>
              <w:left w:val="single" w:color="auto" w:sz="4" w:space="0"/>
              <w:bottom w:val="single" w:color="auto" w:sz="4" w:space="0"/>
              <w:right w:val="single" w:color="auto" w:sz="4" w:space="0"/>
            </w:tcBorders>
            <w:noWrap/>
            <w:vAlign w:val="center"/>
          </w:tcPr>
          <w:p w14:paraId="6B175285">
            <w:pPr>
              <w:keepNext w:val="0"/>
              <w:keepLines w:val="0"/>
              <w:widowControl/>
              <w:suppressLineNumbers w:val="0"/>
              <w:spacing w:line="24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项目</w:t>
            </w:r>
          </w:p>
        </w:tc>
        <w:tc>
          <w:tcPr>
            <w:tcW w:w="6124" w:type="dxa"/>
            <w:tcBorders>
              <w:top w:val="single" w:color="auto" w:sz="4" w:space="0"/>
              <w:left w:val="single" w:color="auto" w:sz="4" w:space="0"/>
              <w:bottom w:val="single" w:color="auto" w:sz="4" w:space="0"/>
              <w:right w:val="single" w:color="auto" w:sz="4" w:space="0"/>
            </w:tcBorders>
            <w:noWrap/>
            <w:vAlign w:val="center"/>
          </w:tcPr>
          <w:p w14:paraId="0EAE6317">
            <w:pPr>
              <w:keepNext w:val="0"/>
              <w:keepLines w:val="0"/>
              <w:widowControl/>
              <w:suppressLineNumbers w:val="0"/>
              <w:spacing w:line="240" w:lineRule="auto"/>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临床意义</w:t>
            </w:r>
          </w:p>
        </w:tc>
      </w:tr>
      <w:tr w14:paraId="24E02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929"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09E97FA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w:t>
            </w:r>
          </w:p>
        </w:tc>
        <w:tc>
          <w:tcPr>
            <w:tcW w:w="2506" w:type="dxa"/>
            <w:tcBorders>
              <w:top w:val="single" w:color="auto" w:sz="4" w:space="0"/>
              <w:left w:val="single" w:color="000000" w:sz="4" w:space="0"/>
              <w:bottom w:val="single" w:color="000000" w:sz="4" w:space="0"/>
              <w:right w:val="single" w:color="000000" w:sz="4" w:space="0"/>
            </w:tcBorders>
            <w:shd w:val="clear" w:color="auto" w:fill="FFFFFF"/>
            <w:noWrap/>
            <w:vAlign w:val="center"/>
          </w:tcPr>
          <w:p w14:paraId="0BC4391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调查问卷</w:t>
            </w:r>
          </w:p>
        </w:tc>
        <w:tc>
          <w:tcPr>
            <w:tcW w:w="6124" w:type="dxa"/>
            <w:tcBorders>
              <w:top w:val="single" w:color="auto" w:sz="4" w:space="0"/>
              <w:left w:val="single" w:color="000000" w:sz="4" w:space="0"/>
              <w:bottom w:val="single" w:color="000000" w:sz="4" w:space="0"/>
              <w:right w:val="single" w:color="auto" w:sz="4" w:space="0"/>
            </w:tcBorders>
            <w:noWrap w:val="0"/>
            <w:vAlign w:val="center"/>
          </w:tcPr>
          <w:p w14:paraId="137BF9A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为医生提供全面的个人健康信息，实现个性化精准化的健康管理</w:t>
            </w:r>
          </w:p>
        </w:tc>
      </w:tr>
      <w:tr w14:paraId="7D9D8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8"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68DF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w:t>
            </w:r>
          </w:p>
        </w:tc>
        <w:tc>
          <w:tcPr>
            <w:tcW w:w="25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83EE7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身高、体重、血压</w:t>
            </w:r>
          </w:p>
        </w:tc>
        <w:tc>
          <w:tcPr>
            <w:tcW w:w="6124" w:type="dxa"/>
            <w:tcBorders>
              <w:top w:val="single" w:color="000000" w:sz="4" w:space="0"/>
              <w:left w:val="single" w:color="000000" w:sz="4" w:space="0"/>
              <w:bottom w:val="single" w:color="000000" w:sz="4" w:space="0"/>
              <w:right w:val="single" w:color="auto" w:sz="4" w:space="0"/>
            </w:tcBorders>
            <w:noWrap w:val="0"/>
            <w:vAlign w:val="center"/>
          </w:tcPr>
          <w:p w14:paraId="496A17C3">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诊断高血压、超重、肥胖、消瘦并为相关科室的诊断提供重要的依据</w:t>
            </w:r>
          </w:p>
        </w:tc>
      </w:tr>
      <w:tr w14:paraId="570E0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8"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A443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3</w:t>
            </w:r>
          </w:p>
        </w:tc>
        <w:tc>
          <w:tcPr>
            <w:tcW w:w="25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ECFB2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内科</w:t>
            </w:r>
          </w:p>
        </w:tc>
        <w:tc>
          <w:tcPr>
            <w:tcW w:w="6124" w:type="dxa"/>
            <w:tcBorders>
              <w:top w:val="single" w:color="000000" w:sz="4" w:space="0"/>
              <w:left w:val="single" w:color="000000" w:sz="4" w:space="0"/>
              <w:bottom w:val="single" w:color="000000" w:sz="4" w:space="0"/>
              <w:right w:val="single" w:color="auto" w:sz="4" w:space="0"/>
            </w:tcBorders>
            <w:noWrap w:val="0"/>
            <w:vAlign w:val="center"/>
          </w:tcPr>
          <w:p w14:paraId="1F96168B">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询问既往病史，通过视、触、叩、听检查方法，评估心、肺、肝、脾等基本状况</w:t>
            </w:r>
          </w:p>
        </w:tc>
      </w:tr>
      <w:tr w14:paraId="0B688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8143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4</w:t>
            </w:r>
          </w:p>
        </w:tc>
        <w:tc>
          <w:tcPr>
            <w:tcW w:w="25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E7A98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外科</w:t>
            </w:r>
          </w:p>
        </w:tc>
        <w:tc>
          <w:tcPr>
            <w:tcW w:w="6124" w:type="dxa"/>
            <w:tcBorders>
              <w:top w:val="single" w:color="000000" w:sz="4" w:space="0"/>
              <w:left w:val="single" w:color="000000" w:sz="4" w:space="0"/>
              <w:bottom w:val="single" w:color="000000" w:sz="4" w:space="0"/>
              <w:right w:val="single" w:color="auto" w:sz="4" w:space="0"/>
            </w:tcBorders>
            <w:noWrap w:val="0"/>
            <w:vAlign w:val="center"/>
          </w:tcPr>
          <w:p w14:paraId="44F98E06">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检查淋巴结有无肿大，甲状腺、四肢脊柱有无畸形等</w:t>
            </w:r>
          </w:p>
        </w:tc>
      </w:tr>
      <w:tr w14:paraId="430E1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4755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5</w:t>
            </w:r>
          </w:p>
        </w:tc>
        <w:tc>
          <w:tcPr>
            <w:tcW w:w="25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26827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血细胞分析+五分类</w:t>
            </w:r>
          </w:p>
        </w:tc>
        <w:tc>
          <w:tcPr>
            <w:tcW w:w="6124" w:type="dxa"/>
            <w:tcBorders>
              <w:top w:val="single" w:color="000000" w:sz="4" w:space="0"/>
              <w:left w:val="single" w:color="000000" w:sz="4" w:space="0"/>
              <w:bottom w:val="single" w:color="000000" w:sz="4" w:space="0"/>
              <w:right w:val="single" w:color="auto" w:sz="4" w:space="0"/>
            </w:tcBorders>
            <w:noWrap w:val="0"/>
            <w:vAlign w:val="center"/>
          </w:tcPr>
          <w:p w14:paraId="606B3041">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有无感染、贫血、凝血功能障碍、血液病等</w:t>
            </w:r>
          </w:p>
        </w:tc>
      </w:tr>
      <w:tr w14:paraId="1618F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8"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FF857">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6</w:t>
            </w:r>
          </w:p>
        </w:tc>
        <w:tc>
          <w:tcPr>
            <w:tcW w:w="25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A22A2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尿液分析+沉渣镜检</w:t>
            </w:r>
          </w:p>
        </w:tc>
        <w:tc>
          <w:tcPr>
            <w:tcW w:w="6124"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565C1A7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泌尿系统感染、肾病、肝胆疾患、结石、糖尿病等多种疾病检查</w:t>
            </w:r>
          </w:p>
        </w:tc>
      </w:tr>
      <w:tr w14:paraId="1BC26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8"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7FD34">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7</w:t>
            </w:r>
          </w:p>
        </w:tc>
        <w:tc>
          <w:tcPr>
            <w:tcW w:w="25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886D16">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粪便常规+隐血试验</w:t>
            </w:r>
          </w:p>
        </w:tc>
        <w:tc>
          <w:tcPr>
            <w:tcW w:w="6124"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4693FAD7">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检测各种原因所致的消化道出血，消化道恶性肿瘤早期诊断的重要筛查指标</w:t>
            </w:r>
          </w:p>
        </w:tc>
      </w:tr>
      <w:tr w14:paraId="7E241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8"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7FC0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8</w:t>
            </w:r>
          </w:p>
        </w:tc>
        <w:tc>
          <w:tcPr>
            <w:tcW w:w="25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4E3A6B">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肝功九项</w:t>
            </w:r>
          </w:p>
        </w:tc>
        <w:tc>
          <w:tcPr>
            <w:tcW w:w="6124" w:type="dxa"/>
            <w:tcBorders>
              <w:top w:val="single" w:color="000000" w:sz="4" w:space="0"/>
              <w:left w:val="single" w:color="000000" w:sz="4" w:space="0"/>
              <w:bottom w:val="single" w:color="000000" w:sz="4" w:space="0"/>
              <w:right w:val="single" w:color="auto" w:sz="4" w:space="0"/>
            </w:tcBorders>
            <w:noWrap w:val="0"/>
            <w:vAlign w:val="center"/>
          </w:tcPr>
          <w:p w14:paraId="3A29E06F">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反映肝脏功能，包括谷丙</w:t>
            </w:r>
            <w:r>
              <w:rPr>
                <w:rFonts w:hint="eastAsia" w:ascii="楷体_GB2312" w:hAnsi="楷体_GB2312" w:eastAsia="楷体_GB2312" w:cs="楷体_GB2312"/>
                <w:i w:val="0"/>
                <w:iCs w:val="0"/>
                <w:color w:val="333333"/>
                <w:kern w:val="0"/>
                <w:sz w:val="24"/>
                <w:szCs w:val="24"/>
                <w:u w:val="none"/>
                <w:lang w:val="en-US" w:eastAsia="zh-CN" w:bidi="ar"/>
              </w:rPr>
              <w:t>/谷草转氨酶、胆红素等多项指标，与肝炎、肝硬化、黄疸等疾病有关</w:t>
            </w:r>
          </w:p>
        </w:tc>
      </w:tr>
      <w:tr w14:paraId="609D4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3361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9</w:t>
            </w:r>
          </w:p>
        </w:tc>
        <w:tc>
          <w:tcPr>
            <w:tcW w:w="25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39C71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肾功四项</w:t>
            </w:r>
          </w:p>
        </w:tc>
        <w:tc>
          <w:tcPr>
            <w:tcW w:w="6124" w:type="dxa"/>
            <w:tcBorders>
              <w:top w:val="single" w:color="000000" w:sz="4" w:space="0"/>
              <w:left w:val="single" w:color="000000" w:sz="4" w:space="0"/>
              <w:bottom w:val="single" w:color="000000" w:sz="4" w:space="0"/>
              <w:right w:val="single" w:color="auto" w:sz="4" w:space="0"/>
            </w:tcBorders>
            <w:noWrap w:val="0"/>
            <w:vAlign w:val="center"/>
          </w:tcPr>
          <w:p w14:paraId="241DA093">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反应肾功能不全、痛风等疾病</w:t>
            </w:r>
          </w:p>
        </w:tc>
      </w:tr>
      <w:tr w14:paraId="3F40D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8"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74B7F">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10</w:t>
            </w:r>
          </w:p>
        </w:tc>
        <w:tc>
          <w:tcPr>
            <w:tcW w:w="25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A2E31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血脂四项</w:t>
            </w:r>
          </w:p>
        </w:tc>
        <w:tc>
          <w:tcPr>
            <w:tcW w:w="6124" w:type="dxa"/>
            <w:tcBorders>
              <w:top w:val="single" w:color="000000" w:sz="4" w:space="0"/>
              <w:left w:val="single" w:color="000000" w:sz="4" w:space="0"/>
              <w:bottom w:val="single" w:color="000000" w:sz="4" w:space="0"/>
              <w:right w:val="single" w:color="auto" w:sz="4" w:space="0"/>
            </w:tcBorders>
            <w:noWrap w:val="0"/>
            <w:vAlign w:val="center"/>
          </w:tcPr>
          <w:p w14:paraId="56CB44DC">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反映甘油三酯、总胆固醇等有无异常、对心脑血管疾病诊断及治疗有重要意义</w:t>
            </w:r>
          </w:p>
        </w:tc>
      </w:tr>
      <w:tr w14:paraId="12612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970EC">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11</w:t>
            </w:r>
          </w:p>
        </w:tc>
        <w:tc>
          <w:tcPr>
            <w:tcW w:w="25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E0320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葡萄糖测定 空腹</w:t>
            </w:r>
          </w:p>
        </w:tc>
        <w:tc>
          <w:tcPr>
            <w:tcW w:w="6124" w:type="dxa"/>
            <w:tcBorders>
              <w:top w:val="single" w:color="000000" w:sz="4" w:space="0"/>
              <w:left w:val="single" w:color="000000" w:sz="4" w:space="0"/>
              <w:bottom w:val="single" w:color="000000" w:sz="4" w:space="0"/>
              <w:right w:val="single" w:color="auto" w:sz="4" w:space="0"/>
            </w:tcBorders>
            <w:noWrap w:val="0"/>
            <w:vAlign w:val="center"/>
          </w:tcPr>
          <w:p w14:paraId="25309EA1">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了解血糖情况，空腹血糖是诊断糖代谢紊乱的重要指标</w:t>
            </w:r>
          </w:p>
        </w:tc>
      </w:tr>
      <w:tr w14:paraId="717D6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8"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F7F3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12</w:t>
            </w:r>
          </w:p>
        </w:tc>
        <w:tc>
          <w:tcPr>
            <w:tcW w:w="25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3087A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糖化血红蛋白</w:t>
            </w:r>
          </w:p>
        </w:tc>
        <w:tc>
          <w:tcPr>
            <w:tcW w:w="6124" w:type="dxa"/>
            <w:tcBorders>
              <w:top w:val="single" w:color="000000" w:sz="4" w:space="0"/>
              <w:left w:val="single" w:color="000000" w:sz="4" w:space="0"/>
              <w:bottom w:val="single" w:color="000000" w:sz="4" w:space="0"/>
              <w:right w:val="single" w:color="auto" w:sz="4" w:space="0"/>
            </w:tcBorders>
            <w:noWrap w:val="0"/>
            <w:vAlign w:val="center"/>
          </w:tcPr>
          <w:p w14:paraId="320F2817">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反映采血前2-3个月之内的平均血糖水平，是糖尿病筛查和了解糖尿病控制情况的一个重要指标</w:t>
            </w:r>
          </w:p>
        </w:tc>
      </w:tr>
      <w:tr w14:paraId="76AEF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3896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13</w:t>
            </w:r>
          </w:p>
        </w:tc>
        <w:tc>
          <w:tcPr>
            <w:tcW w:w="25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3F546A">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心肌酶谱</w:t>
            </w:r>
          </w:p>
        </w:tc>
        <w:tc>
          <w:tcPr>
            <w:tcW w:w="6124" w:type="dxa"/>
            <w:tcBorders>
              <w:top w:val="single" w:color="000000" w:sz="4" w:space="0"/>
              <w:left w:val="single" w:color="000000" w:sz="4" w:space="0"/>
              <w:bottom w:val="single" w:color="000000" w:sz="4" w:space="0"/>
              <w:right w:val="single" w:color="auto" w:sz="4" w:space="0"/>
            </w:tcBorders>
            <w:noWrap w:val="0"/>
            <w:vAlign w:val="center"/>
          </w:tcPr>
          <w:p w14:paraId="31B3A657">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反应急性或慢性心肌损伤</w:t>
            </w:r>
          </w:p>
        </w:tc>
      </w:tr>
      <w:tr w14:paraId="3A8C5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8"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054F0">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14</w:t>
            </w:r>
          </w:p>
        </w:tc>
        <w:tc>
          <w:tcPr>
            <w:tcW w:w="25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90271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甲胎蛋白AFP定量</w:t>
            </w:r>
          </w:p>
        </w:tc>
        <w:tc>
          <w:tcPr>
            <w:tcW w:w="6124"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4E1DA81A">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用于肝脏等炎症或肿瘤的辅助诊断，及治疗前后的对比监测</w:t>
            </w:r>
          </w:p>
        </w:tc>
      </w:tr>
      <w:tr w14:paraId="058C4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8"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96B9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15</w:t>
            </w:r>
          </w:p>
        </w:tc>
        <w:tc>
          <w:tcPr>
            <w:tcW w:w="25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704D1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癌胚抗原CEA定量</w:t>
            </w:r>
          </w:p>
        </w:tc>
        <w:tc>
          <w:tcPr>
            <w:tcW w:w="6124"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6B7A94B4">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用于结直肠、乳腺、肺等炎症或肿瘤的辅助诊断，及治疗前后的对比监测</w:t>
            </w:r>
          </w:p>
        </w:tc>
      </w:tr>
      <w:tr w14:paraId="26509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8" w:hRule="atLeast"/>
          <w:jc w:val="center"/>
        </w:trPr>
        <w:tc>
          <w:tcPr>
            <w:tcW w:w="929" w:type="dxa"/>
            <w:tcBorders>
              <w:top w:val="single" w:color="000000" w:sz="4" w:space="0"/>
              <w:left w:val="single" w:color="000000" w:sz="4" w:space="0"/>
              <w:bottom w:val="single" w:color="000000" w:sz="4" w:space="0"/>
              <w:right w:val="single" w:color="000000" w:sz="4" w:space="0"/>
            </w:tcBorders>
            <w:noWrap/>
            <w:vAlign w:val="center"/>
          </w:tcPr>
          <w:p w14:paraId="2E017F5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16</w:t>
            </w:r>
          </w:p>
        </w:tc>
        <w:tc>
          <w:tcPr>
            <w:tcW w:w="2506" w:type="dxa"/>
            <w:tcBorders>
              <w:top w:val="single" w:color="000000" w:sz="4" w:space="0"/>
              <w:left w:val="single" w:color="000000" w:sz="4" w:space="0"/>
              <w:bottom w:val="single" w:color="000000" w:sz="4" w:space="0"/>
              <w:right w:val="single" w:color="000000" w:sz="4" w:space="0"/>
            </w:tcBorders>
            <w:noWrap/>
            <w:vAlign w:val="center"/>
          </w:tcPr>
          <w:p w14:paraId="5CEC3350">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肝、胆、胰、脾</w:t>
            </w:r>
          </w:p>
        </w:tc>
        <w:tc>
          <w:tcPr>
            <w:tcW w:w="6124" w:type="dxa"/>
            <w:tcBorders>
              <w:top w:val="single" w:color="000000" w:sz="4" w:space="0"/>
              <w:left w:val="single" w:color="000000" w:sz="4" w:space="0"/>
              <w:bottom w:val="single" w:color="000000" w:sz="4" w:space="0"/>
              <w:right w:val="single" w:color="auto" w:sz="4" w:space="0"/>
            </w:tcBorders>
            <w:noWrap w:val="0"/>
            <w:vAlign w:val="center"/>
          </w:tcPr>
          <w:p w14:paraId="4A095847">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通过彩色超声检查肝脏、胆囊、胰腺、脾脏器官的形态及病理改变（如肿瘤、结石、脂肪肝、肝硬化等）</w:t>
            </w:r>
          </w:p>
        </w:tc>
      </w:tr>
      <w:tr w14:paraId="48D50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8" w:hRule="atLeast"/>
          <w:jc w:val="center"/>
        </w:trPr>
        <w:tc>
          <w:tcPr>
            <w:tcW w:w="929" w:type="dxa"/>
            <w:tcBorders>
              <w:top w:val="single" w:color="000000" w:sz="4" w:space="0"/>
              <w:left w:val="single" w:color="000000" w:sz="4" w:space="0"/>
              <w:bottom w:val="single" w:color="000000" w:sz="4" w:space="0"/>
              <w:right w:val="single" w:color="000000" w:sz="4" w:space="0"/>
            </w:tcBorders>
            <w:noWrap/>
            <w:vAlign w:val="center"/>
          </w:tcPr>
          <w:p w14:paraId="6F19142B">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17</w:t>
            </w:r>
          </w:p>
        </w:tc>
        <w:tc>
          <w:tcPr>
            <w:tcW w:w="2506" w:type="dxa"/>
            <w:tcBorders>
              <w:top w:val="single" w:color="000000" w:sz="4" w:space="0"/>
              <w:left w:val="single" w:color="000000" w:sz="4" w:space="0"/>
              <w:bottom w:val="single" w:color="000000" w:sz="4" w:space="0"/>
              <w:right w:val="single" w:color="000000" w:sz="4" w:space="0"/>
            </w:tcBorders>
            <w:noWrap/>
            <w:vAlign w:val="center"/>
          </w:tcPr>
          <w:p w14:paraId="474D6363">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子宫附件常规</w:t>
            </w:r>
          </w:p>
        </w:tc>
        <w:tc>
          <w:tcPr>
            <w:tcW w:w="6124" w:type="dxa"/>
            <w:tcBorders>
              <w:top w:val="single" w:color="000000" w:sz="4" w:space="0"/>
              <w:left w:val="single" w:color="000000" w:sz="4" w:space="0"/>
              <w:bottom w:val="single" w:color="000000" w:sz="4" w:space="0"/>
              <w:right w:val="single" w:color="auto" w:sz="4" w:space="0"/>
            </w:tcBorders>
            <w:noWrap w:val="0"/>
            <w:vAlign w:val="center"/>
          </w:tcPr>
          <w:p w14:paraId="7F6ECB73">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通过彩色超声检查子宫、附件等内脏器官的形态及病理改变（如肿瘤、子宫及附件等）</w:t>
            </w:r>
          </w:p>
        </w:tc>
      </w:tr>
      <w:tr w14:paraId="23D05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8"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052DE">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18</w:t>
            </w:r>
          </w:p>
        </w:tc>
        <w:tc>
          <w:tcPr>
            <w:tcW w:w="2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E2419">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女性泌尿系（双肾、输尿管、膀胱）</w:t>
            </w:r>
          </w:p>
        </w:tc>
        <w:tc>
          <w:tcPr>
            <w:tcW w:w="6124" w:type="dxa"/>
            <w:tcBorders>
              <w:top w:val="nil"/>
              <w:left w:val="single" w:color="000000" w:sz="4" w:space="0"/>
              <w:bottom w:val="nil"/>
              <w:right w:val="single" w:color="auto" w:sz="4" w:space="0"/>
            </w:tcBorders>
            <w:shd w:val="clear" w:color="auto" w:fill="FFFFFF"/>
            <w:noWrap w:val="0"/>
            <w:vAlign w:val="center"/>
          </w:tcPr>
          <w:p w14:paraId="6334F3B0">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通过彩色超声检查肾脏、输尿管、膀胱内脏器官的形态及病理改变</w:t>
            </w:r>
          </w:p>
        </w:tc>
      </w:tr>
      <w:tr w14:paraId="5EE5F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jc w:val="center"/>
        </w:trPr>
        <w:tc>
          <w:tcPr>
            <w:tcW w:w="929" w:type="dxa"/>
            <w:tcBorders>
              <w:top w:val="single" w:color="000000" w:sz="4" w:space="0"/>
              <w:left w:val="single" w:color="000000" w:sz="4" w:space="0"/>
              <w:bottom w:val="single" w:color="000000" w:sz="4" w:space="0"/>
              <w:right w:val="single" w:color="000000" w:sz="4" w:space="0"/>
            </w:tcBorders>
            <w:noWrap/>
            <w:vAlign w:val="center"/>
          </w:tcPr>
          <w:p w14:paraId="488DDE91">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19</w:t>
            </w:r>
          </w:p>
        </w:tc>
        <w:tc>
          <w:tcPr>
            <w:tcW w:w="2506" w:type="dxa"/>
            <w:tcBorders>
              <w:top w:val="single" w:color="000000" w:sz="4" w:space="0"/>
              <w:left w:val="single" w:color="000000" w:sz="4" w:space="0"/>
              <w:bottom w:val="single" w:color="000000" w:sz="4" w:space="0"/>
              <w:right w:val="single" w:color="000000" w:sz="4" w:space="0"/>
            </w:tcBorders>
            <w:noWrap/>
            <w:vAlign w:val="center"/>
          </w:tcPr>
          <w:p w14:paraId="3C53DEB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乳腺彩超</w:t>
            </w:r>
          </w:p>
        </w:tc>
        <w:tc>
          <w:tcPr>
            <w:tcW w:w="6124" w:type="dxa"/>
            <w:tcBorders>
              <w:top w:val="single" w:color="000000" w:sz="4" w:space="0"/>
              <w:left w:val="single" w:color="000000" w:sz="4" w:space="0"/>
              <w:bottom w:val="single" w:color="000000" w:sz="4" w:space="0"/>
              <w:right w:val="single" w:color="auto" w:sz="4" w:space="0"/>
            </w:tcBorders>
            <w:noWrap w:val="0"/>
            <w:vAlign w:val="center"/>
          </w:tcPr>
          <w:p w14:paraId="7459E71D">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有无乳腺包块、增生、小结等</w:t>
            </w:r>
          </w:p>
        </w:tc>
      </w:tr>
      <w:tr w14:paraId="1104B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jc w:val="center"/>
        </w:trPr>
        <w:tc>
          <w:tcPr>
            <w:tcW w:w="929" w:type="dxa"/>
            <w:tcBorders>
              <w:top w:val="single" w:color="000000" w:sz="4" w:space="0"/>
              <w:left w:val="single" w:color="000000" w:sz="4" w:space="0"/>
              <w:bottom w:val="single" w:color="000000" w:sz="4" w:space="0"/>
              <w:right w:val="single" w:color="000000" w:sz="4" w:space="0"/>
            </w:tcBorders>
            <w:noWrap/>
            <w:vAlign w:val="center"/>
          </w:tcPr>
          <w:p w14:paraId="324E0975">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20</w:t>
            </w:r>
          </w:p>
        </w:tc>
        <w:tc>
          <w:tcPr>
            <w:tcW w:w="2506" w:type="dxa"/>
            <w:tcBorders>
              <w:top w:val="single" w:color="000000" w:sz="4" w:space="0"/>
              <w:left w:val="single" w:color="000000" w:sz="4" w:space="0"/>
              <w:bottom w:val="single" w:color="000000" w:sz="4" w:space="0"/>
              <w:right w:val="single" w:color="000000" w:sz="4" w:space="0"/>
            </w:tcBorders>
            <w:noWrap/>
            <w:vAlign w:val="center"/>
          </w:tcPr>
          <w:p w14:paraId="757C61ED">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常规心电图检查</w:t>
            </w:r>
          </w:p>
        </w:tc>
        <w:tc>
          <w:tcPr>
            <w:tcW w:w="6124" w:type="dxa"/>
            <w:tcBorders>
              <w:top w:val="single" w:color="000000" w:sz="4" w:space="0"/>
              <w:left w:val="single" w:color="000000" w:sz="4" w:space="0"/>
              <w:bottom w:val="single" w:color="000000" w:sz="4" w:space="0"/>
              <w:right w:val="single" w:color="auto" w:sz="4" w:space="0"/>
            </w:tcBorders>
            <w:noWrap w:val="0"/>
            <w:vAlign w:val="center"/>
          </w:tcPr>
          <w:p w14:paraId="40B55E77">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辅助诊断心律失常、心肌缺血、心肌梗死等</w:t>
            </w:r>
          </w:p>
        </w:tc>
      </w:tr>
      <w:tr w14:paraId="757AE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jc w:val="center"/>
        </w:trPr>
        <w:tc>
          <w:tcPr>
            <w:tcW w:w="929" w:type="dxa"/>
            <w:tcBorders>
              <w:top w:val="single" w:color="000000" w:sz="4" w:space="0"/>
              <w:left w:val="single" w:color="000000" w:sz="4" w:space="0"/>
              <w:bottom w:val="single" w:color="000000" w:sz="4" w:space="0"/>
              <w:right w:val="single" w:color="000000" w:sz="4" w:space="0"/>
            </w:tcBorders>
            <w:noWrap/>
            <w:vAlign w:val="center"/>
          </w:tcPr>
          <w:p w14:paraId="5451ED22">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21</w:t>
            </w:r>
          </w:p>
        </w:tc>
        <w:tc>
          <w:tcPr>
            <w:tcW w:w="2506" w:type="dxa"/>
            <w:tcBorders>
              <w:top w:val="single" w:color="000000" w:sz="4" w:space="0"/>
              <w:left w:val="single" w:color="000000" w:sz="4" w:space="0"/>
              <w:bottom w:val="single" w:color="000000" w:sz="4" w:space="0"/>
              <w:right w:val="single" w:color="000000" w:sz="4" w:space="0"/>
            </w:tcBorders>
            <w:noWrap w:val="0"/>
            <w:vAlign w:val="center"/>
          </w:tcPr>
          <w:p w14:paraId="4342CE38">
            <w:pPr>
              <w:keepNext w:val="0"/>
              <w:keepLines w:val="0"/>
              <w:widowControl/>
              <w:suppressLineNumbers w:val="0"/>
              <w:spacing w:line="240" w:lineRule="auto"/>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胸部正位片（不含片）</w:t>
            </w:r>
          </w:p>
        </w:tc>
        <w:tc>
          <w:tcPr>
            <w:tcW w:w="6124" w:type="dxa"/>
            <w:tcBorders>
              <w:top w:val="single" w:color="000000" w:sz="4" w:space="0"/>
              <w:left w:val="single" w:color="000000" w:sz="4" w:space="0"/>
              <w:bottom w:val="single" w:color="000000" w:sz="4" w:space="0"/>
              <w:right w:val="single" w:color="auto" w:sz="4" w:space="0"/>
            </w:tcBorders>
            <w:noWrap w:val="0"/>
            <w:vAlign w:val="center"/>
          </w:tcPr>
          <w:p w14:paraId="08EB1CFF">
            <w:pPr>
              <w:keepNext w:val="0"/>
              <w:keepLines w:val="0"/>
              <w:widowControl/>
              <w:suppressLineNumbers w:val="0"/>
              <w:spacing w:line="240" w:lineRule="auto"/>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用于帮助诊断肺炎、支气管扩张、肺癌、肺结核等</w:t>
            </w:r>
          </w:p>
        </w:tc>
      </w:tr>
    </w:tbl>
    <w:p w14:paraId="0C3A83D9">
      <w:pPr>
        <w:keepNext w:val="0"/>
        <w:keepLines w:val="0"/>
        <w:widowControl/>
        <w:suppressLineNumbers w:val="0"/>
        <w:spacing w:line="240" w:lineRule="auto"/>
        <w:jc w:val="both"/>
        <w:textAlignment w:val="center"/>
        <w:rPr>
          <w:rFonts w:hint="eastAsia" w:ascii="仿宋" w:hAnsi="仿宋" w:eastAsia="仿宋" w:cs="仿宋"/>
          <w:color w:val="000000"/>
          <w:spacing w:val="0"/>
          <w:position w:val="0"/>
          <w:sz w:val="24"/>
          <w:szCs w:val="24"/>
          <w:highlight w:val="none"/>
          <w:lang w:val="en-US" w:eastAsia="zh-CN"/>
        </w:rPr>
      </w:pPr>
    </w:p>
    <w:p w14:paraId="0E7DFC43">
      <w:pPr>
        <w:keepNext w:val="0"/>
        <w:keepLines w:val="0"/>
        <w:widowControl/>
        <w:suppressLineNumbers w:val="0"/>
        <w:spacing w:line="240" w:lineRule="auto"/>
        <w:jc w:val="both"/>
        <w:textAlignment w:val="center"/>
        <w:rPr>
          <w:rFonts w:hint="eastAsia" w:ascii="仿宋" w:hAnsi="仿宋" w:eastAsia="仿宋" w:cs="仿宋"/>
          <w:color w:val="000000"/>
          <w:spacing w:val="0"/>
          <w:position w:val="0"/>
          <w:sz w:val="24"/>
          <w:szCs w:val="24"/>
          <w:highlight w:val="none"/>
          <w:lang w:val="en-US" w:eastAsia="zh-CN"/>
        </w:rPr>
      </w:pPr>
    </w:p>
    <w:p w14:paraId="60B22418">
      <w:pPr>
        <w:keepNext w:val="0"/>
        <w:keepLines w:val="0"/>
        <w:widowControl/>
        <w:suppressLineNumbers w:val="0"/>
        <w:spacing w:line="480" w:lineRule="auto"/>
        <w:jc w:val="both"/>
        <w:textAlignment w:val="center"/>
        <w:rPr>
          <w:rFonts w:hint="eastAsia" w:ascii="楷体_GB2312" w:hAnsi="楷体_GB2312" w:eastAsia="楷体_GB2312" w:cs="楷体_GB2312"/>
          <w:i w:val="0"/>
          <w:iCs w:val="0"/>
          <w:color w:val="000000"/>
          <w:kern w:val="0"/>
          <w:sz w:val="24"/>
          <w:szCs w:val="24"/>
          <w:u w:val="none"/>
          <w:lang w:val="en-US" w:eastAsia="zh-CN" w:bidi="ar"/>
        </w:rPr>
      </w:pPr>
    </w:p>
    <w:p w14:paraId="70B0EC58">
      <w:pPr>
        <w:keepNext w:val="0"/>
        <w:keepLines w:val="0"/>
        <w:widowControl/>
        <w:suppressLineNumbers w:val="0"/>
        <w:spacing w:line="240" w:lineRule="auto"/>
        <w:jc w:val="both"/>
        <w:textAlignment w:val="center"/>
        <w:rPr>
          <w:rFonts w:hint="eastAsia" w:ascii="楷体_GB2312" w:hAnsi="楷体_GB2312" w:eastAsia="楷体_GB2312" w:cs="楷体_GB2312"/>
          <w:i w:val="0"/>
          <w:iCs w:val="0"/>
          <w:color w:val="000000"/>
          <w:kern w:val="0"/>
          <w:sz w:val="24"/>
          <w:szCs w:val="24"/>
          <w:u w:val="none"/>
          <w:lang w:val="en-US" w:eastAsia="zh-CN" w:bidi="ar"/>
        </w:rPr>
      </w:pPr>
    </w:p>
    <w:p w14:paraId="6BBF4A76">
      <w:pPr>
        <w:rPr>
          <w:rFonts w:hint="eastAsia" w:ascii="仿宋" w:hAnsi="仿宋" w:eastAsia="仿宋"/>
          <w:sz w:val="28"/>
          <w:szCs w:val="28"/>
          <w:lang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仿宋_GB2312">
    <w:altName w:val="仿宋"/>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6F3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75DD3B">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775DD3B">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DF0241"/>
    <w:rsid w:val="3DDF0241"/>
    <w:rsid w:val="4C3300C3"/>
    <w:rsid w:val="5B71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autoRedefine/>
    <w:qFormat/>
    <w:uiPriority w:val="34"/>
    <w:pPr>
      <w:spacing w:before="156" w:beforeLines="50" w:after="156" w:afterLines="50" w:line="360" w:lineRule="auto"/>
      <w:ind w:left="420"/>
    </w:pPr>
    <w:rPr>
      <w:rFonts w:ascii="仿宋" w:hAnsi="仿宋" w:eastAsia="仿宋"/>
      <w:sz w:val="28"/>
      <w:szCs w:val="28"/>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character" w:customStyle="1" w:styleId="9">
    <w:name w:val="font51"/>
    <w:basedOn w:val="6"/>
    <w:qFormat/>
    <w:uiPriority w:val="0"/>
    <w:rPr>
      <w:rFonts w:hint="eastAsia" w:ascii="宋体" w:hAnsi="宋体" w:eastAsia="宋体" w:cs="宋体"/>
      <w:color w:val="000000"/>
      <w:sz w:val="20"/>
      <w:szCs w:val="20"/>
      <w:u w:val="none"/>
    </w:rPr>
  </w:style>
  <w:style w:type="character" w:customStyle="1" w:styleId="10">
    <w:name w:val="font81"/>
    <w:basedOn w:val="6"/>
    <w:qFormat/>
    <w:uiPriority w:val="0"/>
    <w:rPr>
      <w:rFonts w:hint="eastAsia" w:ascii="宋体" w:hAnsi="宋体" w:eastAsia="宋体" w:cs="宋体"/>
      <w:color w:val="333333"/>
      <w:sz w:val="20"/>
      <w:szCs w:val="20"/>
      <w:u w:val="none"/>
    </w:rPr>
  </w:style>
  <w:style w:type="character" w:customStyle="1" w:styleId="11">
    <w:name w:val="font71"/>
    <w:basedOn w:val="6"/>
    <w:qFormat/>
    <w:uiPriority w:val="0"/>
    <w:rPr>
      <w:rFonts w:hint="eastAsia" w:ascii="宋体" w:hAnsi="宋体" w:eastAsia="宋体" w:cs="宋体"/>
      <w:color w:val="333333"/>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9969</Words>
  <Characters>10231</Characters>
  <Lines>0</Lines>
  <Paragraphs>0</Paragraphs>
  <TotalTime>3</TotalTime>
  <ScaleCrop>false</ScaleCrop>
  <LinksUpToDate>false</LinksUpToDate>
  <CharactersWithSpaces>10512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2026-06-12T02:35:00Z</dcterms:created>
  <dc:creator>FORGOTTENREALMS</dc:creator>
  <cp:lastModifiedBy>Ailsa</cp:lastModifiedBy>
  <dcterms:modified xsi:type="dcterms:W3CDTF">2026-07-16T08:50:11Z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62B3104C48FE41AF8B0837CD276B1F06_11</vt:lpwstr>
  </property>
  <property fmtid="{D5CDD505-2E9C-101B-9397-08002B2CF9AE}" pid="4" name="KSOTemplateDocerSaveRecord">
    <vt:lpwstr>eyJoZGlkIjoiZGU5M2ZiYjc0ZTNhYThhYzdkZjg2MGQzOGFkYzNjODciLCJ1c2VySWQiOiIzMTgwNzY3NzEifQ==</vt:lpwstr>
  </property>
</Properties>
</file>