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C6C78">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3E678F41">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74020247">
      <w:pPr>
        <w:kinsoku/>
        <w:wordWrap/>
        <w:overflowPunct/>
        <w:topLinePunct w:val="0"/>
        <w:bidi w:val="0"/>
        <w:spacing w:line="360" w:lineRule="auto"/>
        <w:ind w:left="0" w:leftChars="0" w:right="0"/>
        <w:jc w:val="both"/>
        <w:rPr>
          <w:rFonts w:hint="eastAsia" w:hAnsi="宋体" w:eastAsia="宋体" w:cs="宋体"/>
          <w:color w:val="auto"/>
          <w:spacing w:val="-11"/>
          <w:sz w:val="52"/>
          <w:szCs w:val="52"/>
          <w:highlight w:val="none"/>
          <w:lang w:val="en-US" w:eastAsia="zh-CN"/>
        </w:rPr>
      </w:pPr>
    </w:p>
    <w:p w14:paraId="7D7BAE7E">
      <w:pPr>
        <w:kinsoku/>
        <w:wordWrap/>
        <w:overflowPunct/>
        <w:topLinePunct w:val="0"/>
        <w:bidi w:val="0"/>
        <w:spacing w:line="360" w:lineRule="auto"/>
        <w:ind w:left="0" w:leftChars="0" w:right="0"/>
        <w:jc w:val="center"/>
        <w:rPr>
          <w:rFonts w:hint="eastAsia" w:hAnsi="宋体" w:cs="宋体"/>
          <w:b/>
          <w:snapToGrid w:val="0"/>
          <w:color w:val="auto"/>
          <w:spacing w:val="-11"/>
          <w:sz w:val="48"/>
          <w:szCs w:val="48"/>
          <w:highlight w:val="none"/>
          <w:u w:val="none"/>
        </w:rPr>
      </w:pPr>
      <w:r>
        <w:rPr>
          <w:rFonts w:hint="eastAsia" w:hAnsi="宋体" w:cs="宋体"/>
          <w:b/>
          <w:snapToGrid w:val="0"/>
          <w:color w:val="auto"/>
          <w:spacing w:val="-11"/>
          <w:sz w:val="48"/>
          <w:szCs w:val="48"/>
          <w:highlight w:val="none"/>
          <w:u w:val="none"/>
          <w:lang w:val="en-US" w:eastAsia="zh-CN"/>
        </w:rPr>
        <w:t>2026年度</w:t>
      </w:r>
      <w:r>
        <w:rPr>
          <w:rFonts w:hint="eastAsia" w:hAnsi="宋体" w:cs="宋体"/>
          <w:b/>
          <w:snapToGrid w:val="0"/>
          <w:color w:val="auto"/>
          <w:spacing w:val="-11"/>
          <w:sz w:val="48"/>
          <w:szCs w:val="48"/>
          <w:highlight w:val="none"/>
          <w:u w:val="none"/>
        </w:rPr>
        <w:t>陕西省</w:t>
      </w:r>
      <w:r>
        <w:rPr>
          <w:rFonts w:hint="eastAsia" w:hAnsi="宋体" w:cs="宋体"/>
          <w:b/>
          <w:snapToGrid w:val="0"/>
          <w:color w:val="auto"/>
          <w:spacing w:val="-11"/>
          <w:sz w:val="48"/>
          <w:szCs w:val="48"/>
          <w:highlight w:val="none"/>
          <w:u w:val="none"/>
          <w:lang w:val="en-US" w:eastAsia="zh-CN"/>
        </w:rPr>
        <w:t>应急管理领域地方</w:t>
      </w:r>
      <w:r>
        <w:rPr>
          <w:rFonts w:hint="eastAsia" w:hAnsi="宋体" w:cs="宋体"/>
          <w:b/>
          <w:snapToGrid w:val="0"/>
          <w:color w:val="auto"/>
          <w:spacing w:val="-11"/>
          <w:sz w:val="48"/>
          <w:szCs w:val="48"/>
          <w:highlight w:val="none"/>
          <w:u w:val="none"/>
        </w:rPr>
        <w:t>标准</w:t>
      </w:r>
    </w:p>
    <w:p w14:paraId="279566CD">
      <w:pPr>
        <w:kinsoku/>
        <w:wordWrap/>
        <w:overflowPunct/>
        <w:topLinePunct w:val="0"/>
        <w:bidi w:val="0"/>
        <w:spacing w:line="360" w:lineRule="auto"/>
        <w:ind w:left="0" w:leftChars="0" w:right="0"/>
        <w:jc w:val="center"/>
        <w:rPr>
          <w:rFonts w:hint="default" w:hAnsi="宋体" w:eastAsia="宋体" w:cs="宋体"/>
          <w:b/>
          <w:snapToGrid w:val="0"/>
          <w:color w:val="auto"/>
          <w:spacing w:val="-11"/>
          <w:sz w:val="48"/>
          <w:szCs w:val="48"/>
          <w:highlight w:val="none"/>
          <w:u w:val="none"/>
          <w:lang w:val="en-US" w:eastAsia="zh-CN"/>
        </w:rPr>
      </w:pPr>
      <w:r>
        <w:rPr>
          <w:rFonts w:hint="eastAsia" w:hAnsi="宋体" w:cs="宋体"/>
          <w:b/>
          <w:snapToGrid w:val="0"/>
          <w:color w:val="auto"/>
          <w:spacing w:val="-11"/>
          <w:sz w:val="48"/>
          <w:szCs w:val="48"/>
          <w:highlight w:val="none"/>
          <w:u w:val="none"/>
          <w:lang w:eastAsia="zh-CN"/>
        </w:rPr>
        <w:t>申报与制修订项目</w:t>
      </w:r>
      <w:r>
        <w:rPr>
          <w:rFonts w:hint="eastAsia" w:hAnsi="宋体" w:cs="宋体"/>
          <w:b/>
          <w:snapToGrid w:val="0"/>
          <w:color w:val="auto"/>
          <w:spacing w:val="-11"/>
          <w:sz w:val="48"/>
          <w:szCs w:val="48"/>
          <w:highlight w:val="none"/>
          <w:u w:val="single"/>
          <w:lang w:val="en-US" w:eastAsia="zh-CN"/>
        </w:rPr>
        <w:t xml:space="preserve">    </w:t>
      </w:r>
      <w:r>
        <w:rPr>
          <w:rFonts w:hint="eastAsia" w:hAnsi="宋体" w:cs="宋体"/>
          <w:b/>
          <w:snapToGrid w:val="0"/>
          <w:color w:val="auto"/>
          <w:spacing w:val="-11"/>
          <w:sz w:val="48"/>
          <w:szCs w:val="48"/>
          <w:highlight w:val="none"/>
          <w:u w:val="none"/>
          <w:lang w:val="en-US" w:eastAsia="zh-CN"/>
        </w:rPr>
        <w:t>标段</w:t>
      </w:r>
    </w:p>
    <w:p w14:paraId="63CA796F">
      <w:pPr>
        <w:kinsoku/>
        <w:wordWrap/>
        <w:overflowPunct/>
        <w:topLinePunct w:val="0"/>
        <w:bidi w:val="0"/>
        <w:spacing w:line="360" w:lineRule="auto"/>
        <w:ind w:left="0" w:leftChars="0" w:right="0"/>
        <w:jc w:val="center"/>
        <w:rPr>
          <w:rFonts w:hint="eastAsia" w:hAnsi="宋体" w:cs="宋体"/>
          <w:b/>
          <w:snapToGrid w:val="0"/>
          <w:color w:val="auto"/>
          <w:sz w:val="48"/>
          <w:szCs w:val="48"/>
          <w:highlight w:val="none"/>
          <w:u w:val="single"/>
        </w:rPr>
      </w:pPr>
    </w:p>
    <w:p w14:paraId="6DED8331">
      <w:pPr>
        <w:kinsoku/>
        <w:wordWrap/>
        <w:overflowPunct/>
        <w:topLinePunct w:val="0"/>
        <w:bidi w:val="0"/>
        <w:spacing w:line="360" w:lineRule="auto"/>
        <w:ind w:left="0" w:leftChars="0" w:right="0"/>
        <w:jc w:val="center"/>
        <w:rPr>
          <w:rFonts w:hAnsi="宋体" w:cs="宋体"/>
          <w:b/>
          <w:color w:val="auto"/>
          <w:sz w:val="72"/>
          <w:szCs w:val="72"/>
          <w:highlight w:val="none"/>
        </w:rPr>
      </w:pPr>
      <w:r>
        <w:rPr>
          <w:rFonts w:hint="eastAsia" w:hAnsi="宋体" w:cs="宋体"/>
          <w:b/>
          <w:color w:val="auto"/>
          <w:sz w:val="72"/>
          <w:szCs w:val="72"/>
          <w:highlight w:val="none"/>
        </w:rPr>
        <w:t>服 务 合 同</w:t>
      </w:r>
    </w:p>
    <w:p w14:paraId="0CE8F22E">
      <w:pPr>
        <w:kinsoku/>
        <w:wordWrap/>
        <w:overflowPunct/>
        <w:topLinePunct w:val="0"/>
        <w:bidi w:val="0"/>
        <w:spacing w:line="360" w:lineRule="auto"/>
        <w:ind w:left="0" w:leftChars="0" w:right="0"/>
        <w:jc w:val="center"/>
        <w:rPr>
          <w:rFonts w:hAnsi="宋体" w:cs="宋体"/>
          <w:color w:val="auto"/>
          <w:sz w:val="30"/>
          <w:szCs w:val="30"/>
          <w:highlight w:val="none"/>
        </w:rPr>
      </w:pPr>
    </w:p>
    <w:p w14:paraId="1ED66AEA">
      <w:pPr>
        <w:kinsoku/>
        <w:wordWrap/>
        <w:overflowPunct/>
        <w:topLinePunct w:val="0"/>
        <w:bidi w:val="0"/>
        <w:spacing w:line="360" w:lineRule="auto"/>
        <w:ind w:left="0" w:leftChars="0" w:right="0"/>
        <w:jc w:val="center"/>
        <w:rPr>
          <w:rFonts w:hAnsi="宋体" w:cs="宋体"/>
          <w:color w:val="auto"/>
          <w:sz w:val="30"/>
          <w:szCs w:val="30"/>
          <w:highlight w:val="none"/>
        </w:rPr>
      </w:pPr>
    </w:p>
    <w:p w14:paraId="2124AD39">
      <w:pPr>
        <w:kinsoku/>
        <w:wordWrap/>
        <w:overflowPunct/>
        <w:topLinePunct w:val="0"/>
        <w:bidi w:val="0"/>
        <w:spacing w:line="360" w:lineRule="auto"/>
        <w:ind w:left="0" w:leftChars="0" w:right="0"/>
        <w:jc w:val="center"/>
        <w:rPr>
          <w:rFonts w:hAnsi="宋体" w:cs="宋体"/>
          <w:color w:val="auto"/>
          <w:sz w:val="30"/>
          <w:szCs w:val="30"/>
          <w:highlight w:val="none"/>
        </w:rPr>
      </w:pPr>
    </w:p>
    <w:p w14:paraId="29FFA1C6">
      <w:pPr>
        <w:kinsoku/>
        <w:wordWrap/>
        <w:overflowPunct/>
        <w:topLinePunct w:val="0"/>
        <w:bidi w:val="0"/>
        <w:spacing w:line="360" w:lineRule="auto"/>
        <w:ind w:left="0" w:leftChars="0" w:right="0"/>
        <w:jc w:val="center"/>
        <w:rPr>
          <w:rFonts w:hAnsi="宋体" w:cs="宋体"/>
          <w:color w:val="auto"/>
          <w:sz w:val="30"/>
          <w:szCs w:val="30"/>
          <w:highlight w:val="none"/>
        </w:rPr>
      </w:pPr>
    </w:p>
    <w:p w14:paraId="151DCB9D">
      <w:pPr>
        <w:kinsoku/>
        <w:wordWrap/>
        <w:overflowPunct/>
        <w:topLinePunct w:val="0"/>
        <w:bidi w:val="0"/>
        <w:spacing w:line="360" w:lineRule="auto"/>
        <w:ind w:left="0" w:leftChars="0" w:right="0"/>
        <w:jc w:val="center"/>
        <w:rPr>
          <w:rFonts w:hAnsi="宋体" w:cs="宋体"/>
          <w:color w:val="auto"/>
          <w:sz w:val="30"/>
          <w:szCs w:val="30"/>
          <w:highlight w:val="none"/>
        </w:rPr>
      </w:pPr>
    </w:p>
    <w:p w14:paraId="6D6CF6E5">
      <w:pPr>
        <w:kinsoku/>
        <w:wordWrap/>
        <w:overflowPunct/>
        <w:topLinePunct w:val="0"/>
        <w:bidi w:val="0"/>
        <w:spacing w:line="360" w:lineRule="auto"/>
        <w:ind w:left="0" w:leftChars="0" w:right="0"/>
        <w:jc w:val="center"/>
        <w:rPr>
          <w:rFonts w:hAnsi="宋体" w:cs="宋体"/>
          <w:color w:val="auto"/>
          <w:sz w:val="32"/>
          <w:szCs w:val="32"/>
          <w:highlight w:val="none"/>
        </w:rPr>
      </w:pPr>
      <w:r>
        <w:rPr>
          <w:rFonts w:hint="eastAsia" w:hAnsi="宋体" w:cs="宋体"/>
          <w:color w:val="auto"/>
          <w:sz w:val="32"/>
          <w:szCs w:val="32"/>
          <w:highlight w:val="none"/>
        </w:rPr>
        <w:t>甲  方：陕西省应急管理厅</w:t>
      </w:r>
    </w:p>
    <w:p w14:paraId="032EEC02">
      <w:pPr>
        <w:tabs>
          <w:tab w:val="left" w:pos="480"/>
        </w:tabs>
        <w:kinsoku/>
        <w:wordWrap/>
        <w:overflowPunct/>
        <w:topLinePunct w:val="0"/>
        <w:bidi w:val="0"/>
        <w:spacing w:line="360" w:lineRule="auto"/>
        <w:ind w:left="0" w:leftChars="0" w:right="0" w:firstLine="2560" w:firstLineChars="800"/>
        <w:jc w:val="both"/>
        <w:rPr>
          <w:rFonts w:hint="eastAsia" w:hAnsi="宋体" w:cs="宋体"/>
          <w:color w:val="auto"/>
          <w:sz w:val="32"/>
          <w:szCs w:val="32"/>
          <w:highlight w:val="none"/>
        </w:rPr>
      </w:pPr>
      <w:r>
        <w:rPr>
          <w:rFonts w:hint="eastAsia" w:hAnsi="宋体" w:cs="宋体"/>
          <w:color w:val="auto"/>
          <w:sz w:val="32"/>
          <w:szCs w:val="32"/>
          <w:highlight w:val="none"/>
        </w:rPr>
        <w:t>乙  方：</w:t>
      </w:r>
    </w:p>
    <w:p w14:paraId="14DF1093">
      <w:pPr>
        <w:tabs>
          <w:tab w:val="left" w:pos="480"/>
        </w:tabs>
        <w:kinsoku/>
        <w:wordWrap/>
        <w:overflowPunct/>
        <w:topLinePunct w:val="0"/>
        <w:bidi w:val="0"/>
        <w:spacing w:line="360" w:lineRule="auto"/>
        <w:ind w:right="0"/>
        <w:jc w:val="both"/>
        <w:rPr>
          <w:rFonts w:hint="eastAsia" w:hAnsi="宋体" w:cs="宋体"/>
          <w:color w:val="auto"/>
          <w:sz w:val="32"/>
          <w:szCs w:val="32"/>
          <w:highlight w:val="none"/>
          <w:u w:val="single"/>
          <w:lang w:val="en-US" w:eastAsia="zh-CN"/>
        </w:rPr>
      </w:pPr>
    </w:p>
    <w:p w14:paraId="39C828C2">
      <w:pPr>
        <w:tabs>
          <w:tab w:val="left" w:pos="480"/>
        </w:tabs>
        <w:kinsoku/>
        <w:wordWrap/>
        <w:overflowPunct/>
        <w:topLinePunct w:val="0"/>
        <w:bidi w:val="0"/>
        <w:spacing w:line="360" w:lineRule="auto"/>
        <w:ind w:right="0" w:firstLine="3520" w:firstLineChars="1100"/>
        <w:jc w:val="both"/>
        <w:rPr>
          <w:rFonts w:hint="default" w:hAnsi="宋体" w:eastAsia="宋体" w:cs="宋体"/>
          <w:color w:val="auto"/>
          <w:sz w:val="32"/>
          <w:szCs w:val="32"/>
          <w:highlight w:val="none"/>
          <w:lang w:val="en-US" w:eastAsia="zh-CN"/>
        </w:rPr>
      </w:pP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年</w:t>
      </w: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月</w:t>
      </w:r>
    </w:p>
    <w:p w14:paraId="566D72BA">
      <w:pPr>
        <w:kinsoku/>
        <w:wordWrap/>
        <w:overflowPunct/>
        <w:topLinePunct w:val="0"/>
        <w:bidi w:val="0"/>
        <w:spacing w:line="360" w:lineRule="auto"/>
        <w:ind w:left="0" w:leftChars="0" w:right="0"/>
        <w:jc w:val="center"/>
        <w:rPr>
          <w:rFonts w:hAnsi="宋体" w:cs="宋体"/>
          <w:color w:val="auto"/>
          <w:sz w:val="32"/>
          <w:szCs w:val="32"/>
          <w:highlight w:val="none"/>
        </w:rPr>
      </w:pPr>
    </w:p>
    <w:p w14:paraId="69D869FB">
      <w:pPr>
        <w:rPr>
          <w:rFonts w:hAnsi="宋体" w:cs="宋体"/>
          <w:color w:val="auto"/>
          <w:sz w:val="32"/>
          <w:szCs w:val="32"/>
          <w:highlight w:val="none"/>
        </w:rPr>
      </w:pPr>
      <w:r>
        <w:rPr>
          <w:rFonts w:hAnsi="宋体" w:cs="宋体"/>
          <w:color w:val="auto"/>
          <w:sz w:val="32"/>
          <w:szCs w:val="32"/>
          <w:highlight w:val="none"/>
        </w:rPr>
        <w:br w:type="page"/>
      </w:r>
    </w:p>
    <w:p w14:paraId="1EA68E46">
      <w:pPr>
        <w:tabs>
          <w:tab w:val="left" w:pos="480"/>
        </w:tabs>
        <w:kinsoku/>
        <w:wordWrap/>
        <w:overflowPunct/>
        <w:topLinePunct w:val="0"/>
        <w:bidi w:val="0"/>
        <w:spacing w:line="360" w:lineRule="auto"/>
        <w:ind w:right="0"/>
        <w:rPr>
          <w:rFonts w:hAnsi="宋体" w:cs="宋体"/>
          <w:color w:val="auto"/>
          <w:szCs w:val="21"/>
          <w:highlight w:val="none"/>
        </w:rPr>
      </w:pPr>
    </w:p>
    <w:p w14:paraId="24CFE7A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甲方（委托方）：</w:t>
      </w:r>
      <w:r>
        <w:rPr>
          <w:rFonts w:hint="eastAsia" w:asciiTheme="minorEastAsia" w:hAnsiTheme="minorEastAsia" w:eastAsiaTheme="minorEastAsia" w:cstheme="minorEastAsia"/>
          <w:b/>
          <w:color w:val="auto"/>
          <w:sz w:val="24"/>
          <w:szCs w:val="24"/>
          <w:highlight w:val="none"/>
          <w:u w:val="single"/>
          <w:lang w:val="en-US" w:eastAsia="zh-CN"/>
        </w:rPr>
        <w:t>陕西省应急管理厅</w:t>
      </w:r>
    </w:p>
    <w:p w14:paraId="1B765D4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default"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乙方（受托方）：</w:t>
      </w:r>
      <w:r>
        <w:rPr>
          <w:rFonts w:hint="eastAsia" w:asciiTheme="minorEastAsia" w:hAnsiTheme="minorEastAsia" w:eastAsiaTheme="minorEastAsia" w:cstheme="minorEastAsia"/>
          <w:b/>
          <w:color w:val="auto"/>
          <w:sz w:val="24"/>
          <w:szCs w:val="24"/>
          <w:highlight w:val="none"/>
          <w:u w:val="single"/>
          <w:lang w:val="en-US" w:eastAsia="zh-CN"/>
        </w:rPr>
        <w:t xml:space="preserve">                </w:t>
      </w:r>
    </w:p>
    <w:p w14:paraId="24A6DA92">
      <w:pPr>
        <w:pStyle w:val="8"/>
        <w:keepLines w:val="0"/>
        <w:pageBreakBefore w:val="0"/>
        <w:widowControl w:val="0"/>
        <w:kinsoku/>
        <w:wordWrap/>
        <w:overflowPunct/>
        <w:topLinePunct w:val="0"/>
        <w:bidi w:val="0"/>
        <w:spacing w:after="0" w:afterLines="0" w:line="360" w:lineRule="auto"/>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p w14:paraId="4AC207A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依据《中华人民共和国民法典》及现行有关法律、法规的规定，双方经友好协商达成一致，同意就下列</w:t>
      </w:r>
      <w:r>
        <w:rPr>
          <w:rFonts w:hint="eastAsia" w:asciiTheme="minorEastAsia" w:hAnsiTheme="minorEastAsia" w:eastAsiaTheme="minorEastAsia" w:cstheme="minorEastAsia"/>
          <w:color w:val="auto"/>
          <w:sz w:val="24"/>
          <w:szCs w:val="24"/>
          <w:highlight w:val="none"/>
          <w:u w:val="single"/>
          <w:lang w:val="en-US" w:eastAsia="zh-CN"/>
        </w:rPr>
        <w:t xml:space="preserve"> 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 xml:space="preserve">申报与制修订项目   标段 </w:t>
      </w:r>
      <w:r>
        <w:rPr>
          <w:rFonts w:hint="eastAsia" w:asciiTheme="minorEastAsia" w:hAnsiTheme="minorEastAsia" w:eastAsiaTheme="minorEastAsia" w:cstheme="minorEastAsia"/>
          <w:color w:val="auto"/>
          <w:sz w:val="24"/>
          <w:szCs w:val="24"/>
          <w:highlight w:val="none"/>
        </w:rPr>
        <w:t>订立合同共同遵守。</w:t>
      </w:r>
    </w:p>
    <w:p w14:paraId="3A36DE67">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0" w:name="_Toc24767"/>
      <w:bookmarkStart w:id="1" w:name="_Toc19873"/>
      <w:bookmarkStart w:id="2" w:name="_Toc255310768"/>
      <w:bookmarkStart w:id="3" w:name="_Toc251672089"/>
      <w:bookmarkStart w:id="4" w:name="_Toc262637527"/>
      <w:bookmarkStart w:id="5" w:name="_Toc1237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第1条  定义及解释</w:t>
      </w:r>
      <w:bookmarkEnd w:id="0"/>
      <w:bookmarkEnd w:id="1"/>
      <w:bookmarkEnd w:id="2"/>
      <w:bookmarkEnd w:id="3"/>
      <w:bookmarkEnd w:id="4"/>
      <w:bookmarkEnd w:id="5"/>
    </w:p>
    <w:p w14:paraId="16291842">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下列措辞和用语，除上下文另有要求外，应具有所赋予它们的含义：</w:t>
      </w:r>
    </w:p>
    <w:p w14:paraId="51FD2C2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“项目”是</w:t>
      </w:r>
      <w:r>
        <w:rPr>
          <w:rFonts w:hint="eastAsia" w:asciiTheme="minorEastAsia" w:hAnsiTheme="minorEastAsia" w:eastAsiaTheme="minorEastAsia" w:cstheme="minorEastAsia"/>
          <w:color w:val="auto"/>
          <w:sz w:val="24"/>
          <w:szCs w:val="24"/>
          <w:highlight w:val="none"/>
          <w:u w:val="single"/>
          <w:lang w:val="en-US" w:eastAsia="zh-CN"/>
        </w:rPr>
        <w:t>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申报与制修订项目</w:t>
      </w:r>
      <w:r>
        <w:rPr>
          <w:rFonts w:hint="eastAsia" w:asciiTheme="minorEastAsia" w:hAnsiTheme="minorEastAsia" w:eastAsiaTheme="minorEastAsia" w:cstheme="minorEastAsia"/>
          <w:color w:val="auto"/>
          <w:sz w:val="24"/>
          <w:szCs w:val="24"/>
          <w:highlight w:val="none"/>
        </w:rPr>
        <w:t>。</w:t>
      </w:r>
    </w:p>
    <w:p w14:paraId="78B94C77">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“服务”是指乙方根据合同条件为完成项目所提供和履行的所有服务，包括正常的服务、附加的服务和额外的服务。</w:t>
      </w:r>
    </w:p>
    <w:p w14:paraId="5D84D3D1">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“甲方”为项目的委托方，即</w:t>
      </w:r>
      <w:r>
        <w:rPr>
          <w:rFonts w:hint="eastAsia" w:asciiTheme="minorEastAsia" w:hAnsiTheme="minorEastAsia" w:eastAsiaTheme="minorEastAsia" w:cstheme="minorEastAsia"/>
          <w:color w:val="auto"/>
          <w:sz w:val="24"/>
          <w:szCs w:val="24"/>
          <w:highlight w:val="none"/>
          <w:u w:val="single"/>
          <w:lang w:val="en-US" w:eastAsia="zh-CN"/>
        </w:rPr>
        <w:t>陕西省应急管理厅</w:t>
      </w:r>
      <w:r>
        <w:rPr>
          <w:rFonts w:hint="eastAsia" w:asciiTheme="minorEastAsia" w:hAnsiTheme="minorEastAsia" w:eastAsiaTheme="minorEastAsia" w:cstheme="minorEastAsia"/>
          <w:color w:val="auto"/>
          <w:sz w:val="24"/>
          <w:szCs w:val="24"/>
          <w:highlight w:val="none"/>
        </w:rPr>
        <w:t>。</w:t>
      </w:r>
    </w:p>
    <w:p w14:paraId="562A747C">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“乙方”为项目的受委托方，它作为一个独立的专业公司或联合体受甲方委托，提供和履行合同服务，即</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789A28AD">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“合同双方”是指甲方和乙方的统称。</w:t>
      </w:r>
    </w:p>
    <w:p w14:paraId="064BC4B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“日”“天”是指公历日。</w:t>
      </w:r>
    </w:p>
    <w:p w14:paraId="46FF214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“周”“星期”是指七个公历日。</w:t>
      </w:r>
    </w:p>
    <w:p w14:paraId="181E4E76">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“月”是指公历月份。</w:t>
      </w:r>
    </w:p>
    <w:p w14:paraId="0BD563AD">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下列文件应被视作为本合同的组成部分：</w:t>
      </w:r>
    </w:p>
    <w:p w14:paraId="163F915E">
      <w:pPr>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bookmarkStart w:id="6" w:name="_Toc251672090"/>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bCs/>
          <w:color w:val="auto"/>
          <w:kern w:val="0"/>
          <w:sz w:val="24"/>
          <w:szCs w:val="24"/>
          <w:highlight w:val="none"/>
        </w:rPr>
        <w:t>1）本合同的补充协议（如有）；</w:t>
      </w:r>
    </w:p>
    <w:p w14:paraId="444B60C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（2）本合同的条款及附件；</w:t>
      </w:r>
    </w:p>
    <w:p w14:paraId="704C576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rPr>
        <w:t>《中标通知书》或《委托书》</w:t>
      </w:r>
      <w:r>
        <w:rPr>
          <w:rFonts w:hint="eastAsia" w:asciiTheme="minorEastAsia" w:hAnsiTheme="minorEastAsia" w:eastAsiaTheme="minorEastAsia" w:cstheme="minorEastAsia"/>
          <w:bCs/>
          <w:color w:val="auto"/>
          <w:kern w:val="0"/>
          <w:sz w:val="24"/>
          <w:szCs w:val="24"/>
          <w:highlight w:val="none"/>
        </w:rPr>
        <w:t>（如有）</w:t>
      </w:r>
      <w:r>
        <w:rPr>
          <w:rFonts w:hint="eastAsia" w:asciiTheme="minorEastAsia" w:hAnsiTheme="minorEastAsia" w:eastAsiaTheme="minorEastAsia" w:cstheme="minorEastAsia"/>
          <w:color w:val="auto"/>
          <w:kern w:val="0"/>
          <w:sz w:val="24"/>
          <w:szCs w:val="24"/>
          <w:highlight w:val="none"/>
        </w:rPr>
        <w:t>。</w:t>
      </w:r>
    </w:p>
    <w:p w14:paraId="1075C361">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若上述文件有不一致之处，以日期在后者的规定为准。</w:t>
      </w:r>
    </w:p>
    <w:p w14:paraId="055B482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7" w:name="_Toc255310769"/>
      <w:bookmarkStart w:id="8" w:name="_Toc22295"/>
      <w:bookmarkStart w:id="9" w:name="_Toc262637528"/>
      <w:bookmarkStart w:id="10" w:name="_Toc27062"/>
      <w:bookmarkStart w:id="11" w:name="_Toc1595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第2条  项目委托范围和内容</w:t>
      </w:r>
      <w:bookmarkEnd w:id="6"/>
      <w:bookmarkEnd w:id="7"/>
      <w:bookmarkEnd w:id="8"/>
      <w:bookmarkEnd w:id="9"/>
      <w:bookmarkEnd w:id="10"/>
      <w:bookmarkEnd w:id="11"/>
    </w:p>
    <w:p w14:paraId="4FB18205">
      <w:pPr>
        <w:pStyle w:val="2"/>
        <w:keepLines w:val="0"/>
        <w:pageBreakBefore w:val="0"/>
        <w:widowControl w:val="0"/>
        <w:kinsoku/>
        <w:wordWrap/>
        <w:overflowPunct/>
        <w:topLinePunct w:val="0"/>
        <w:bidi w:val="0"/>
        <w:spacing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pacing w:val="0"/>
          <w:kern w:val="0"/>
          <w:sz w:val="24"/>
          <w:szCs w:val="24"/>
          <w:highlight w:val="none"/>
          <w:lang w:val="en-US" w:eastAsia="zh-CN" w:bidi="ar-SA"/>
        </w:rPr>
      </w:pPr>
      <w:bookmarkStart w:id="12" w:name="_Toc11244"/>
      <w:bookmarkStart w:id="13" w:name="_Toc20461"/>
      <w:bookmarkStart w:id="14" w:name="_Toc262637529"/>
      <w:bookmarkStart w:id="15" w:name="_Toc255310770"/>
      <w:r>
        <w:rPr>
          <w:rFonts w:hint="eastAsia" w:asciiTheme="minorEastAsia" w:hAnsiTheme="minorEastAsia" w:eastAsiaTheme="minorEastAsia" w:cstheme="minorEastAsia"/>
          <w:b w:val="0"/>
          <w:bCs/>
          <w:color w:val="auto"/>
          <w:spacing w:val="0"/>
          <w:kern w:val="0"/>
          <w:sz w:val="24"/>
          <w:szCs w:val="24"/>
          <w:highlight w:val="none"/>
          <w:lang w:val="en-US" w:eastAsia="zh-CN" w:bidi="ar-SA"/>
        </w:rPr>
        <w:t>本项目拟编制陕西省应急管理领域地方标准4项，补齐我省安全生产领域标准化短板。</w:t>
      </w:r>
      <w:bookmarkEnd w:id="12"/>
      <w:bookmarkEnd w:id="13"/>
      <w:r>
        <w:rPr>
          <w:rFonts w:hint="eastAsia" w:asciiTheme="minorEastAsia" w:hAnsiTheme="minorEastAsia" w:eastAsiaTheme="minorEastAsia" w:cstheme="minorEastAsia"/>
          <w:b w:val="0"/>
          <w:color w:val="auto"/>
          <w:kern w:val="0"/>
          <w:sz w:val="24"/>
          <w:szCs w:val="24"/>
          <w:highlight w:val="none"/>
          <w:lang w:val="en-US" w:eastAsia="zh-CN" w:bidi="ar-SA"/>
        </w:rPr>
        <w:t>受托单位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p w14:paraId="42A7A03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6" w:name="_Toc3813"/>
      <w:bookmarkStart w:id="17" w:name="_Toc14862"/>
      <w:bookmarkStart w:id="18" w:name="_Toc5059"/>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第3条  </w:t>
      </w:r>
      <w:bookmarkEnd w:id="14"/>
      <w:bookmarkEnd w:id="1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合同期限</w:t>
      </w:r>
      <w:bookmarkEnd w:id="16"/>
      <w:bookmarkEnd w:id="17"/>
      <w:bookmarkEnd w:id="18"/>
    </w:p>
    <w:p w14:paraId="4B9F0623">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cs="宋体"/>
          <w:i w:val="0"/>
          <w:iCs w:val="0"/>
          <w:caps w:val="0"/>
          <w:color w:val="auto"/>
          <w:spacing w:val="0"/>
          <w:sz w:val="24"/>
          <w:szCs w:val="24"/>
          <w:highlight w:val="none"/>
          <w:shd w:val="clear" w:fill="FFFFFF"/>
          <w:vertAlign w:val="baseline"/>
          <w:lang w:val="en-US" w:eastAsia="zh-CN"/>
        </w:rPr>
        <w:t>自合同签订之日起</w:t>
      </w:r>
      <w:r>
        <w:rPr>
          <w:rFonts w:hint="eastAsia" w:hAnsi="Times New Roman" w:cs="宋体"/>
          <w:i w:val="0"/>
          <w:iCs w:val="0"/>
          <w:caps w:val="0"/>
          <w:color w:val="auto"/>
          <w:spacing w:val="0"/>
          <w:sz w:val="24"/>
          <w:szCs w:val="24"/>
          <w:highlight w:val="none"/>
          <w:shd w:val="clear" w:fill="FFFFFF"/>
          <w:vertAlign w:val="baseline"/>
          <w:lang w:val="en-US" w:eastAsia="zh-CN"/>
        </w:rPr>
        <w:t>至地方标准立项批复的期限内</w:t>
      </w:r>
      <w:r>
        <w:rPr>
          <w:rFonts w:hint="eastAsia" w:cs="宋体"/>
          <w:i w:val="0"/>
          <w:iCs w:val="0"/>
          <w:caps w:val="0"/>
          <w:color w:val="auto"/>
          <w:spacing w:val="0"/>
          <w:sz w:val="24"/>
          <w:szCs w:val="24"/>
          <w:highlight w:val="none"/>
          <w:shd w:val="clear" w:fill="FFFFFF"/>
          <w:vertAlign w:val="baseline"/>
          <w:lang w:val="en-US" w:eastAsia="zh-CN"/>
        </w:rPr>
        <w:t>完成并提交成果。</w:t>
      </w:r>
      <w:r>
        <w:rPr>
          <w:rFonts w:hint="eastAsia" w:asciiTheme="minorEastAsia" w:hAnsiTheme="minorEastAsia" w:eastAsiaTheme="minorEastAsia" w:cstheme="minorEastAsia"/>
          <w:color w:val="auto"/>
          <w:kern w:val="0"/>
          <w:sz w:val="24"/>
          <w:szCs w:val="24"/>
          <w:highlight w:val="none"/>
          <w:lang w:val="en-US" w:eastAsia="zh-CN" w:bidi="ar-SA"/>
        </w:rPr>
        <w:t>乙方应在合同约定的期限内完成甲方委托事项，并交付项目成果。</w:t>
      </w:r>
    </w:p>
    <w:p w14:paraId="364C78C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9" w:name="_Toc262637530"/>
      <w:bookmarkStart w:id="20" w:name="_Toc16230"/>
      <w:bookmarkStart w:id="21" w:name="_Toc17090"/>
      <w:bookmarkStart w:id="22" w:name="_Toc255310771"/>
      <w:bookmarkStart w:id="23" w:name="_Toc1783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第4条  成果交付、项目验收</w:t>
      </w:r>
      <w:bookmarkEnd w:id="19"/>
      <w:bookmarkEnd w:id="20"/>
      <w:bookmarkEnd w:id="21"/>
      <w:bookmarkEnd w:id="22"/>
      <w:bookmarkEnd w:id="23"/>
    </w:p>
    <w:p w14:paraId="3004DCA2">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4.1</w:t>
      </w:r>
      <w:r>
        <w:rPr>
          <w:rFonts w:hint="eastAsia" w:asciiTheme="minorEastAsia" w:hAnsiTheme="minorEastAsia" w:eastAsiaTheme="minorEastAsia" w:cstheme="minorEastAsia"/>
          <w:color w:val="auto"/>
          <w:sz w:val="24"/>
          <w:szCs w:val="24"/>
          <w:highlight w:val="none"/>
        </w:rPr>
        <w:t>在项目实施过程中乙方应按</w:t>
      </w:r>
      <w:r>
        <w:rPr>
          <w:rFonts w:hint="eastAsia" w:asciiTheme="minorEastAsia" w:hAnsiTheme="minorEastAsia" w:eastAsiaTheme="minorEastAsia" w:cstheme="minorEastAsia"/>
          <w:color w:val="auto"/>
          <w:sz w:val="24"/>
          <w:szCs w:val="24"/>
          <w:highlight w:val="none"/>
          <w:lang w:val="en-US" w:eastAsia="zh-CN"/>
        </w:rPr>
        <w:t>甲方</w:t>
      </w:r>
      <w:r>
        <w:rPr>
          <w:rFonts w:hint="eastAsia" w:asciiTheme="minorEastAsia" w:hAnsiTheme="minorEastAsia" w:eastAsiaTheme="minorEastAsia" w:cstheme="minorEastAsia"/>
          <w:color w:val="auto"/>
          <w:sz w:val="24"/>
          <w:szCs w:val="24"/>
          <w:highlight w:val="none"/>
        </w:rPr>
        <w:t>要求提交项目成果，提交的项目成果应完全满足合同要求。</w:t>
      </w:r>
    </w:p>
    <w:p w14:paraId="20A60A16">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4.2</w:t>
      </w:r>
      <w:r>
        <w:rPr>
          <w:rFonts w:hint="eastAsia" w:asciiTheme="minorEastAsia" w:hAnsiTheme="minorEastAsia" w:eastAsiaTheme="minorEastAsia" w:cstheme="minorEastAsia"/>
          <w:color w:val="auto"/>
          <w:sz w:val="24"/>
          <w:szCs w:val="24"/>
          <w:highlight w:val="none"/>
        </w:rPr>
        <w:t>乙方应有规范的管理以控制成果质量，在项目成果交付给甲方前，乙方应进行严格审核。对乙方正式提交的成果，如经甲方审核认定未完全符合合同要求的，乙方须按甲方要求予以修改，由此引起的费用由乙方承担。</w:t>
      </w:r>
    </w:p>
    <w:p w14:paraId="14DEA2D5">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4.3</w:t>
      </w:r>
      <w:r>
        <w:rPr>
          <w:rFonts w:hint="eastAsia" w:asciiTheme="minorEastAsia" w:hAnsiTheme="minorEastAsia" w:eastAsiaTheme="minorEastAsia" w:cstheme="minorEastAsia"/>
          <w:color w:val="auto"/>
          <w:sz w:val="24"/>
          <w:szCs w:val="24"/>
          <w:highlight w:val="none"/>
        </w:rPr>
        <w:t>乙方需按照甲方要求份数以及如下要求向甲方提交项目各阶段成果报告：</w:t>
      </w:r>
    </w:p>
    <w:p w14:paraId="7FF3888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（1）文件的版式、装订应美观、清晰、有条理、重点突出。要求装订美观、牢固。</w:t>
      </w:r>
    </w:p>
    <w:p w14:paraId="1EFEE02D">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（2）提交各阶段成果报告及规格、电子文件（刻制光盘）数量均须满足甲方的需求，成果报告必须使用下面规定的软件类型和版本。</w:t>
      </w:r>
    </w:p>
    <w:p w14:paraId="0FF029A5">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（3）文字报告包括研究方提供的正式往来文件、中间成果报告、最终成果报告和技术说明书等。</w:t>
      </w:r>
    </w:p>
    <w:p w14:paraId="7FC83734">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（4）文字、表格编辑软件采用Microsoft </w:t>
      </w:r>
      <w:r>
        <w:rPr>
          <w:rFonts w:hint="eastAsia" w:asciiTheme="minorEastAsia" w:hAnsiTheme="minorEastAsia" w:eastAsiaTheme="minorEastAsia" w:cstheme="minorEastAsia"/>
          <w:color w:val="auto"/>
          <w:sz w:val="24"/>
          <w:szCs w:val="24"/>
          <w:highlight w:val="none"/>
          <w:lang w:eastAsia="zh-CN"/>
        </w:rPr>
        <w:t>Office</w:t>
      </w:r>
      <w:r>
        <w:rPr>
          <w:rFonts w:hint="eastAsia" w:asciiTheme="minorEastAsia" w:hAnsiTheme="minorEastAsia" w:eastAsiaTheme="minorEastAsia" w:cstheme="minorEastAsia"/>
          <w:color w:val="auto"/>
          <w:sz w:val="24"/>
          <w:szCs w:val="24"/>
          <w:highlight w:val="none"/>
        </w:rPr>
        <w:t xml:space="preserve"> (WORD、EXCEL</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，资料按甲方的有关要求归档。</w:t>
      </w:r>
    </w:p>
    <w:p w14:paraId="19B2B561">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设计文件要符合设计文件编制内容格式的要求，完整齐全。说明能充分表达设计意图，文字精练，图面清晰，技术措施无原则性重大差错，尽量减少一般性的错、漏，避免各专业间配合上的矛盾、脱节或重复。</w:t>
      </w:r>
    </w:p>
    <w:p w14:paraId="10AC160A">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（6）编制中采用的基础资料要齐全、可靠，设计要符合设计标准、规范的有关规定，计算要准确，文字报告要协调好各章节、专业的内容、观点，注意报告的一致性。</w:t>
      </w:r>
    </w:p>
    <w:p w14:paraId="0089C7F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4" w:name="_Toc262637531"/>
      <w:bookmarkStart w:id="25" w:name="_Toc19791"/>
      <w:bookmarkStart w:id="26" w:name="_Toc29754"/>
      <w:bookmarkStart w:id="27" w:name="_Toc255310772"/>
      <w:bookmarkStart w:id="28" w:name="_Toc11654"/>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第5条  合同价格及支付</w:t>
      </w:r>
      <w:bookmarkEnd w:id="24"/>
      <w:bookmarkEnd w:id="25"/>
      <w:bookmarkEnd w:id="26"/>
      <w:bookmarkEnd w:id="27"/>
      <w:bookmarkEnd w:id="28"/>
    </w:p>
    <w:p w14:paraId="56CBEAD1">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5.1 合同价款</w:t>
      </w:r>
    </w:p>
    <w:p w14:paraId="616C4258">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i/>
          <w:color w:val="auto"/>
          <w:sz w:val="24"/>
          <w:szCs w:val="24"/>
          <w:highlight w:val="none"/>
        </w:rPr>
      </w:pPr>
      <w:r>
        <w:rPr>
          <w:rFonts w:hint="eastAsia" w:asciiTheme="minorEastAsia" w:hAnsiTheme="minorEastAsia" w:eastAsiaTheme="minorEastAsia" w:cstheme="minorEastAsia"/>
          <w:color w:val="auto"/>
          <w:sz w:val="24"/>
          <w:szCs w:val="24"/>
          <w:highlight w:val="none"/>
        </w:rPr>
        <w:t>项目采用合同总价包干，其合同总价：</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u w:val="single"/>
        </w:rPr>
        <w:t>元整</w:t>
      </w:r>
      <w:r>
        <w:rPr>
          <w:rFonts w:hint="eastAsia" w:asciiTheme="minorEastAsia" w:hAnsiTheme="minorEastAsia" w:eastAsiaTheme="minorEastAsia" w:cstheme="minorEastAsia"/>
          <w:color w:val="auto"/>
          <w:sz w:val="24"/>
          <w:szCs w:val="24"/>
          <w:highlight w:val="none"/>
        </w:rPr>
        <w:t>）。合同总价</w:t>
      </w:r>
      <w:r>
        <w:rPr>
          <w:rFonts w:hint="eastAsia" w:asciiTheme="minorEastAsia" w:hAnsiTheme="minorEastAsia" w:eastAsiaTheme="minorEastAsia" w:cstheme="minorEastAsia"/>
          <w:bCs/>
          <w:color w:val="auto"/>
          <w:sz w:val="24"/>
          <w:szCs w:val="24"/>
          <w:highlight w:val="none"/>
        </w:rPr>
        <w:t>为固定价</w:t>
      </w:r>
      <w:r>
        <w:rPr>
          <w:rFonts w:hint="eastAsia" w:asciiTheme="minorEastAsia" w:hAnsiTheme="minorEastAsia" w:eastAsiaTheme="minorEastAsia" w:cstheme="minorEastAsia"/>
          <w:color w:val="auto"/>
          <w:sz w:val="24"/>
          <w:szCs w:val="24"/>
          <w:highlight w:val="none"/>
        </w:rPr>
        <w:t>，已包括乙方履行本合同所必须的</w:t>
      </w:r>
      <w:r>
        <w:rPr>
          <w:rFonts w:hint="eastAsia" w:asciiTheme="minorEastAsia" w:hAnsiTheme="minorEastAsia" w:eastAsiaTheme="minorEastAsia" w:cstheme="minorEastAsia"/>
          <w:bCs/>
          <w:color w:val="auto"/>
          <w:sz w:val="24"/>
          <w:szCs w:val="24"/>
          <w:highlight w:val="none"/>
        </w:rPr>
        <w:t>所有成本费用和乙方应承担的一切税费</w:t>
      </w:r>
      <w:r>
        <w:rPr>
          <w:rFonts w:hint="eastAsia" w:asciiTheme="minorEastAsia" w:hAnsiTheme="minorEastAsia" w:eastAsiaTheme="minorEastAsia" w:cstheme="minorEastAsia"/>
          <w:color w:val="auto"/>
          <w:sz w:val="24"/>
          <w:szCs w:val="24"/>
          <w:highlight w:val="none"/>
        </w:rPr>
        <w:t>，包括但不仅限于办公、交通、人员、差旅、文件、税费及其他管理费用等，由乙方在合同实施过程中包干使用</w:t>
      </w:r>
      <w:r>
        <w:rPr>
          <w:rFonts w:hint="eastAsia" w:asciiTheme="minorEastAsia" w:hAnsiTheme="minorEastAsia" w:eastAsiaTheme="minorEastAsia" w:cstheme="minorEastAsia"/>
          <w:b w:val="0"/>
          <w:bCs w:val="0"/>
          <w:color w:val="auto"/>
          <w:sz w:val="24"/>
          <w:szCs w:val="24"/>
          <w:highlight w:val="none"/>
        </w:rPr>
        <w:t>。除非合同发生修改，且该修改影响到合同价格的调整，否则合同总价不作任何增加或减少。</w:t>
      </w:r>
    </w:p>
    <w:p w14:paraId="5C5BD057">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5.2  合同价款的支付</w:t>
      </w:r>
    </w:p>
    <w:p w14:paraId="43F647D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5.2.1服务费用具体结算方式为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分期付款</w:t>
      </w:r>
    </w:p>
    <w:p w14:paraId="7E44E91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1.合同签订后，支付合同总金额的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30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6352C0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2.乙方完成项目立项工作并取得立项批复文件，甲方收到对应批复材料后的_10_个工作日内，甲方支付乙方合同总价款的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50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00AB68F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Cs w:val="24"/>
          <w:highlight w:val="none"/>
        </w:rPr>
        <w:t>3.乙方提交地方标准报批稿全套成果文件，且该标准通过官方审批后  10  个工作日内，甲方支付乙方剩余尾款，即合同总价款的</w:t>
      </w:r>
      <w:r>
        <w:rPr>
          <w:rFonts w:hint="eastAsia" w:asciiTheme="minorEastAsia" w:hAnsiTheme="minorEastAsia" w:eastAsiaTheme="minorEastAsia" w:cstheme="minorEastAsia"/>
          <w:color w:val="auto"/>
          <w:szCs w:val="24"/>
          <w:highlight w:val="none"/>
          <w:u w:val="single"/>
          <w:lang w:val="en-US" w:eastAsia="zh-CN"/>
        </w:rPr>
        <w:t xml:space="preserve"> 20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r>
        <w:rPr>
          <w:rFonts w:hint="eastAsia" w:asciiTheme="minorEastAsia" w:hAnsiTheme="minorEastAsia" w:eastAsiaTheme="minorEastAsia" w:cstheme="minorEastAsia"/>
          <w:color w:val="auto"/>
          <w:sz w:val="24"/>
          <w:szCs w:val="24"/>
          <w:highlight w:val="none"/>
          <w:lang w:val="en-US" w:eastAsia="zh-CN"/>
        </w:rPr>
        <w:t>。</w:t>
      </w:r>
    </w:p>
    <w:p w14:paraId="1F14E7C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5.2.2 支付方式：转账。</w:t>
      </w:r>
    </w:p>
    <w:p w14:paraId="44450E72">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户：</w:t>
      </w:r>
    </w:p>
    <w:p w14:paraId="2EBF4BD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开户行：</w:t>
      </w:r>
    </w:p>
    <w:p w14:paraId="330F57F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bookmarkStart w:id="74" w:name="_GoBack"/>
      <w:bookmarkEnd w:id="74"/>
    </w:p>
    <w:p w14:paraId="1636F03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5.2.3 甲方付款前，乙方应开具等额正式发票</w:t>
      </w:r>
      <w:r>
        <w:rPr>
          <w:rFonts w:hint="default" w:asciiTheme="minorEastAsia" w:hAnsiTheme="minorEastAsia" w:eastAsiaTheme="minorEastAsia" w:cstheme="minorEastAsia"/>
          <w:color w:val="auto"/>
          <w:sz w:val="24"/>
          <w:szCs w:val="24"/>
          <w:highlight w:val="none"/>
          <w:lang w:val="en-US"/>
        </w:rPr>
        <w:t>,</w:t>
      </w:r>
      <w:r>
        <w:rPr>
          <w:rFonts w:hint="default" w:asciiTheme="minorEastAsia" w:hAnsiTheme="minorEastAsia" w:eastAsiaTheme="minorEastAsia" w:cstheme="minorEastAsia"/>
          <w:color w:val="auto"/>
          <w:sz w:val="24"/>
          <w:szCs w:val="24"/>
          <w:highlight w:val="none"/>
          <w:lang w:val="en-US" w:eastAsia="zh-CN"/>
        </w:rPr>
        <w:t>否则甲方有权拒绝付款且不承担逾期付款责任。</w:t>
      </w:r>
    </w:p>
    <w:p w14:paraId="45B7BBC9">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9" w:name="_Toc255310773"/>
      <w:bookmarkStart w:id="30" w:name="_Toc262637532"/>
      <w:bookmarkStart w:id="31" w:name="_Toc19192"/>
      <w:bookmarkStart w:id="32" w:name="_Toc4582"/>
      <w:bookmarkStart w:id="33" w:name="_Toc5064"/>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第6条  甲方</w:t>
      </w:r>
      <w:bookmarkEnd w:id="29"/>
      <w:bookmarkEnd w:id="3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1"/>
      <w:bookmarkEnd w:id="32"/>
      <w:bookmarkEnd w:id="33"/>
    </w:p>
    <w:p w14:paraId="7A85DD3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 甲方负责对前期研究的编制工作进行总体管理、协调和监督，对提交的成果报告或资料收集成果文件组织专家评审、验收或协调上报政府有关部门。有对编制工作进行过程控制、中间检查的责任与权利。</w:t>
      </w:r>
    </w:p>
    <w:p w14:paraId="182929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 甲方应准备所能提供的用于本项目目的的数据、文件和信息；当乙方为了完成本合同的任务而需要使用这些资料信息时，甲方应予以协助。</w:t>
      </w:r>
    </w:p>
    <w:p w14:paraId="5EF6152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 对于乙方提交的需甲方作出答复的重要情况和事宜，甲方应在一个合理时间内作出决定或批准。</w:t>
      </w:r>
    </w:p>
    <w:p w14:paraId="1CB8483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 甲方应履行按合同第5条规定应付合同价款的支付义务。</w:t>
      </w:r>
    </w:p>
    <w:p w14:paraId="58D4C86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4" w:name="_Toc262637533"/>
      <w:bookmarkStart w:id="35" w:name="_Toc255310774"/>
      <w:bookmarkStart w:id="36" w:name="_Toc21335"/>
      <w:bookmarkStart w:id="37" w:name="_Toc20926"/>
      <w:bookmarkStart w:id="38" w:name="_Toc3534"/>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第7条  乙方</w:t>
      </w:r>
      <w:bookmarkEnd w:id="34"/>
      <w:bookmarkEnd w:id="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6"/>
      <w:bookmarkEnd w:id="37"/>
      <w:bookmarkEnd w:id="38"/>
    </w:p>
    <w:p w14:paraId="5DF1444E">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7.1</w:t>
      </w:r>
      <w:r>
        <w:rPr>
          <w:rFonts w:hint="eastAsia" w:asciiTheme="minorEastAsia" w:hAnsiTheme="minorEastAsia" w:eastAsiaTheme="minorEastAsia" w:cstheme="minorEastAsia"/>
          <w:color w:val="auto"/>
          <w:sz w:val="24"/>
          <w:szCs w:val="24"/>
          <w:highlight w:val="none"/>
        </w:rPr>
        <w:t>乙方应按照合同及其附件的要求，负责收集本项目所需数据及信息，同时接受甲方有关指令和管理，按计划、按时、按质、按量提交项目的改进意见和完整的项目成果，以合理、谨慎、努力和有效的方式提供约定的服务。</w:t>
      </w:r>
    </w:p>
    <w:p w14:paraId="6E42B649">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7.2</w:t>
      </w:r>
      <w:r>
        <w:rPr>
          <w:rFonts w:hint="eastAsia" w:asciiTheme="minorEastAsia" w:hAnsiTheme="minorEastAsia" w:eastAsiaTheme="minorEastAsia" w:cstheme="minorEastAsia"/>
          <w:color w:val="auto"/>
          <w:sz w:val="24"/>
          <w:szCs w:val="24"/>
          <w:highlight w:val="none"/>
        </w:rPr>
        <w:t>乙方应该参照有关工作惯例，以科学的态度进行严肃、认真的研究，达到合同的规定和要求，以其一贯的水准在所有的专业知识和能力方面向甲方提供最好的服务。</w:t>
      </w:r>
    </w:p>
    <w:p w14:paraId="592EB2A5">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7.3</w:t>
      </w:r>
      <w:r>
        <w:rPr>
          <w:rFonts w:hint="eastAsia" w:asciiTheme="minorEastAsia" w:hAnsiTheme="minorEastAsia" w:eastAsiaTheme="minorEastAsia" w:cstheme="minorEastAsia"/>
          <w:color w:val="auto"/>
          <w:sz w:val="24"/>
          <w:szCs w:val="24"/>
          <w:highlight w:val="none"/>
        </w:rPr>
        <w:t>乙方应保证提交的项目成果和提供的服务符合中华人民共和国法律和国际公约或惯例；乙方应保证甲方在使用和应用合同项下的项目成果时，免于承担第三方提出的侵犯其专利权、著作权、工业设计权、其他知识产权的索赔，如导致甲方担责，甲方有权向乙方追偿。</w:t>
      </w:r>
    </w:p>
    <w:p w14:paraId="23192A94">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7.4</w:t>
      </w:r>
      <w:r>
        <w:rPr>
          <w:rFonts w:hint="eastAsia" w:asciiTheme="minorEastAsia" w:hAnsiTheme="minorEastAsia" w:eastAsiaTheme="minorEastAsia" w:cstheme="minorEastAsia"/>
          <w:color w:val="auto"/>
          <w:sz w:val="24"/>
          <w:szCs w:val="24"/>
          <w:highlight w:val="none"/>
        </w:rPr>
        <w:t>乙方的职员或代理在完成项目过程中和提供有关服务时的行为或不作为产生的一切责任</w:t>
      </w:r>
      <w:r>
        <w:rPr>
          <w:rFonts w:hint="eastAsia" w:asciiTheme="minorEastAsia" w:hAnsiTheme="minorEastAsia" w:eastAsiaTheme="minorEastAsia" w:cstheme="minorEastAsia"/>
          <w:bCs/>
          <w:color w:val="auto"/>
          <w:sz w:val="24"/>
          <w:szCs w:val="24"/>
          <w:highlight w:val="none"/>
        </w:rPr>
        <w:t>由乙方承担</w:t>
      </w:r>
      <w:r>
        <w:rPr>
          <w:rFonts w:hint="eastAsia" w:asciiTheme="minorEastAsia" w:hAnsiTheme="minorEastAsia" w:eastAsiaTheme="minorEastAsia" w:cstheme="minorEastAsia"/>
          <w:color w:val="auto"/>
          <w:sz w:val="24"/>
          <w:szCs w:val="24"/>
          <w:highlight w:val="none"/>
        </w:rPr>
        <w:t>。</w:t>
      </w:r>
    </w:p>
    <w:p w14:paraId="6404C906">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7.5</w:t>
      </w:r>
      <w:r>
        <w:rPr>
          <w:rFonts w:hint="eastAsia" w:asciiTheme="minorEastAsia" w:hAnsiTheme="minorEastAsia" w:eastAsiaTheme="minorEastAsia" w:cstheme="minorEastAsia"/>
          <w:color w:val="auto"/>
          <w:sz w:val="24"/>
          <w:szCs w:val="24"/>
          <w:highlight w:val="none"/>
        </w:rPr>
        <w:t>承担在合同约定的研究范围内，经审查后的必要修改，如因乙方原因导致成果报告或资料收集成果文件未通过专家审查，自行返工修改，并承担因此所造成的全部损失，但赔偿上限为合同额</w:t>
      </w:r>
      <w:r>
        <w:rPr>
          <w:rFonts w:hint="eastAsia" w:asciiTheme="minorEastAsia" w:hAnsiTheme="minorEastAsia" w:eastAsiaTheme="minorEastAsia" w:cstheme="minorEastAsia"/>
          <w:b/>
          <w:color w:val="auto"/>
          <w:sz w:val="24"/>
          <w:szCs w:val="24"/>
          <w:highlight w:val="none"/>
        </w:rPr>
        <w:t>。</w:t>
      </w:r>
    </w:p>
    <w:p w14:paraId="779A7229">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7.6</w:t>
      </w:r>
      <w:r>
        <w:rPr>
          <w:rFonts w:hint="eastAsia" w:asciiTheme="minorEastAsia" w:hAnsiTheme="minorEastAsia" w:eastAsiaTheme="minorEastAsia" w:cstheme="minorEastAsia"/>
          <w:color w:val="auto"/>
          <w:sz w:val="24"/>
          <w:szCs w:val="24"/>
          <w:highlight w:val="none"/>
        </w:rPr>
        <w:t>按甲方要求提交全部书面文件和电子文件，并按甲方制定的档案归档要求对项目成果进行移交和归档。</w:t>
      </w:r>
    </w:p>
    <w:p w14:paraId="23A5399E">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7.7</w:t>
      </w:r>
      <w:r>
        <w:rPr>
          <w:rFonts w:hint="eastAsia" w:asciiTheme="minorEastAsia" w:hAnsiTheme="minorEastAsia" w:eastAsiaTheme="minorEastAsia" w:cstheme="minorEastAsia"/>
          <w:color w:val="auto"/>
          <w:sz w:val="24"/>
          <w:szCs w:val="24"/>
          <w:highlight w:val="none"/>
        </w:rPr>
        <w:t>未经甲方书面同意，乙方不得转让合同中规定的义务。</w:t>
      </w:r>
    </w:p>
    <w:p w14:paraId="695433B3">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7.8</w:t>
      </w:r>
      <w:r>
        <w:rPr>
          <w:rFonts w:hint="eastAsia" w:asciiTheme="minorEastAsia" w:hAnsiTheme="minorEastAsia" w:eastAsiaTheme="minorEastAsia" w:cstheme="minorEastAsia"/>
          <w:color w:val="auto"/>
          <w:sz w:val="24"/>
          <w:szCs w:val="24"/>
          <w:highlight w:val="none"/>
        </w:rPr>
        <w:t>乙方要指定有相应资历的、经验丰富而且可以信赖的人员来完成项目和提供服务。在有合理的理由的情况下，甲方有权要求乙方调回或替换任何不称职的人员，乙方应予接受，且甲方不承担乙方由此引起的责任和费用。</w:t>
      </w:r>
    </w:p>
    <w:p w14:paraId="0B1AF5F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9" w:name="_Toc136850806"/>
      <w:bookmarkStart w:id="40" w:name="_Toc240189124"/>
      <w:bookmarkStart w:id="41" w:name="_Toc247956989"/>
      <w:bookmarkStart w:id="42" w:name="_Toc192323520"/>
      <w:bookmarkStart w:id="43" w:name="_Toc225145102"/>
      <w:bookmarkStart w:id="44" w:name="_Toc7263"/>
      <w:bookmarkStart w:id="45" w:name="_Toc18118"/>
      <w:bookmarkStart w:id="46" w:name="_Toc28053"/>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第8条</w:t>
      </w:r>
      <w:bookmarkEnd w:id="39"/>
      <w:bookmarkEnd w:id="40"/>
      <w:bookmarkEnd w:id="41"/>
      <w:bookmarkEnd w:id="42"/>
      <w:bookmarkEnd w:id="43"/>
      <w:bookmarkStart w:id="47" w:name="_Toc255310776"/>
      <w:bookmarkStart w:id="48" w:name="_Toc2626375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 信息和保密</w:t>
      </w:r>
      <w:bookmarkEnd w:id="44"/>
      <w:bookmarkEnd w:id="45"/>
      <w:bookmarkEnd w:id="46"/>
      <w:bookmarkEnd w:id="47"/>
      <w:bookmarkEnd w:id="48"/>
    </w:p>
    <w:p w14:paraId="7FF3957F">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8.1</w:t>
      </w:r>
      <w:r>
        <w:rPr>
          <w:rFonts w:hint="eastAsia" w:asciiTheme="minorEastAsia" w:hAnsiTheme="minorEastAsia" w:eastAsiaTheme="minorEastAsia" w:cstheme="minorEastAsia"/>
          <w:color w:val="auto"/>
          <w:sz w:val="24"/>
          <w:szCs w:val="24"/>
          <w:highlight w:val="none"/>
        </w:rPr>
        <w:t>本项目成果知识产权归甲方所有。乙方应准确系统地建立项目和服务过程中的文档和记录，其形式和详细程度应符合其专业水平，并允许甲方在项目执行过程中进行检查和复印。</w:t>
      </w:r>
    </w:p>
    <w:p w14:paraId="6AA4BC6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8.2</w:t>
      </w:r>
      <w:r>
        <w:rPr>
          <w:rFonts w:hint="eastAsia" w:asciiTheme="minorEastAsia" w:hAnsiTheme="minorEastAsia" w:eastAsiaTheme="minorEastAsia" w:cstheme="minorEastAsia"/>
          <w:color w:val="auto"/>
          <w:sz w:val="24"/>
          <w:szCs w:val="24"/>
          <w:highlight w:val="none"/>
        </w:rPr>
        <w:t>对于一方向另一方提供的信息和资料，另一方须以合理和合适的方式或按照适用的专业标准保密这些资料。未经提供方书面同意，另一方不得将这些资料通过任何方式透露给第三方。但甲方合理使用获得的本项目成果则不在此列。</w:t>
      </w:r>
    </w:p>
    <w:p w14:paraId="169DEF9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8.3</w:t>
      </w:r>
      <w:r>
        <w:rPr>
          <w:rFonts w:hint="eastAsia" w:asciiTheme="minorEastAsia" w:hAnsiTheme="minorEastAsia" w:eastAsiaTheme="minorEastAsia" w:cstheme="minorEastAsia"/>
          <w:color w:val="auto"/>
          <w:sz w:val="24"/>
          <w:szCs w:val="24"/>
          <w:highlight w:val="none"/>
        </w:rPr>
        <w:t>甲方向乙方提供的图纸、资料、档案均属于甲方的财产，当项目完成或终止后，应甲方要求，乙方须归还这些图纸、资料和档案（包括拷贝）。</w:t>
      </w:r>
    </w:p>
    <w:p w14:paraId="5BC96C38">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8.4</w:t>
      </w:r>
      <w:r>
        <w:rPr>
          <w:rFonts w:hint="eastAsia" w:asciiTheme="minorEastAsia" w:hAnsiTheme="minorEastAsia" w:eastAsiaTheme="minorEastAsia" w:cstheme="minorEastAsia"/>
          <w:color w:val="auto"/>
          <w:sz w:val="24"/>
          <w:szCs w:val="24"/>
          <w:highlight w:val="none"/>
        </w:rPr>
        <w:t>本项目形成的成果（包括知识产权）归甲方所有，乙方不得用于本合同之外的用途，不得通过任何方式透露给第三方。</w:t>
      </w:r>
    </w:p>
    <w:p w14:paraId="79CCCAE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49" w:name="_Toc24532"/>
      <w:bookmarkStart w:id="50" w:name="_Toc262637536"/>
      <w:bookmarkStart w:id="51" w:name="_Toc24176"/>
      <w:bookmarkStart w:id="52" w:name="_Toc7835"/>
      <w:bookmarkStart w:id="53" w:name="_Toc255310777"/>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第9条  项目调整</w:t>
      </w:r>
      <w:bookmarkEnd w:id="49"/>
      <w:bookmarkEnd w:id="50"/>
      <w:bookmarkEnd w:id="51"/>
      <w:bookmarkEnd w:id="52"/>
      <w:bookmarkEnd w:id="53"/>
    </w:p>
    <w:p w14:paraId="78F98F0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9.1项目执行期间，甲方有权在适当时间对项目作部分修改、删除、增加或其他调整。这些调整须通过书面形式通知乙方。如有异议，乙方须在收到该通知后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个工作日内提出；否则视为乙方已接受这些调整，并以此作为合同的组成部分继续履行合同义务。</w:t>
      </w:r>
    </w:p>
    <w:p w14:paraId="3F5EBBF5">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9.2项目实施期间，乙方可根据实际情况对项目计划进行微调，但计划调整后须确保项目实施总时间（包括项目成果评审时间）以内。调整计划必须提前一周书面通知甲方。如有异议，甲方须在收到通知后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个工作日内提出，否则视为同意。</w:t>
      </w:r>
    </w:p>
    <w:p w14:paraId="44C42CFE">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4" w:name="_Toc26800"/>
      <w:bookmarkStart w:id="55" w:name="_Toc262637537"/>
      <w:bookmarkStart w:id="56" w:name="_Toc10970"/>
      <w:bookmarkStart w:id="57" w:name="_Toc255310778"/>
      <w:bookmarkStart w:id="58" w:name="_Toc3122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第10条  违约与赔偿</w:t>
      </w:r>
      <w:bookmarkEnd w:id="54"/>
      <w:bookmarkEnd w:id="55"/>
      <w:bookmarkEnd w:id="56"/>
      <w:bookmarkEnd w:id="57"/>
      <w:bookmarkEnd w:id="58"/>
    </w:p>
    <w:p w14:paraId="6606422D">
      <w:pPr>
        <w:pStyle w:val="3"/>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10.1合同双方任何一方违反了履约规定，履约方提出索赔，则违约方应对由于其违约引起的或与之有关的事宜负责，并向履约方赔偿。</w:t>
      </w:r>
    </w:p>
    <w:p w14:paraId="422A96A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10.2任何一方对另一方的赔偿，仅限于因违约所造成的可合理预见到的损失或损害。</w:t>
      </w:r>
    </w:p>
    <w:p w14:paraId="0B1DB29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10.3 若乙方未能按合同约定的时间提交项目成果，每逾期一天按条款5.1所述合同总价的万分之三向甲方支付违约金，违约金总额不超过本合同总价，逾期超过六十天的，甲方有权解除合同并要求乙方赔偿因此而造成的直接损失。</w:t>
      </w:r>
    </w:p>
    <w:p w14:paraId="5D00F8A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10.4 若甲方未能按合同约定的时间支付应付合同价款，每逾期一天按当期应付款的万分之三向乙方支付违约金，违约金总额不超过本合同总价，逾期超过六十天的，乙方有权解除合同，并要求甲方赔偿因此而造成的直接损失。</w:t>
      </w:r>
    </w:p>
    <w:p w14:paraId="02DE265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10.5若乙方违反保密协议的约定，将保密资料用于其它用途，或以任何方式泄露给第三方，则乙方需赔偿甲方的全部损失。</w:t>
      </w:r>
    </w:p>
    <w:p w14:paraId="3E639B4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9" w:name="_Toc255310779"/>
      <w:bookmarkStart w:id="60" w:name="_Toc19309"/>
      <w:bookmarkStart w:id="61" w:name="_Toc19274"/>
      <w:bookmarkStart w:id="62" w:name="_Toc4990"/>
      <w:bookmarkStart w:id="63" w:name="_Toc26263753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第11条  合同终止</w:t>
      </w:r>
      <w:bookmarkEnd w:id="59"/>
      <w:bookmarkEnd w:id="60"/>
      <w:bookmarkEnd w:id="61"/>
      <w:bookmarkEnd w:id="62"/>
      <w:bookmarkEnd w:id="63"/>
    </w:p>
    <w:p w14:paraId="6E191B9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11.1合同双方完全履行各自合同义务后，合同终止。</w:t>
      </w:r>
    </w:p>
    <w:p w14:paraId="0B8D10F8">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11.2如一方认为另一方无正当理由而未正确或未完全履行义务时，可向对方发出书面违约通知。若发出通知的一方在10天内没有收到对方实质性改进意见和实施措施，则有权解除合同。</w:t>
      </w:r>
    </w:p>
    <w:p w14:paraId="4A9CC44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11.3乙方向甲方正式提交的项目成果经甲方2次审核未获通过的，甲方有权提出部分或全部终止合同并要求乙方赔偿因此而造成的直接损失。</w:t>
      </w:r>
    </w:p>
    <w:p w14:paraId="76837A2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11.4合同的终止并不损害或影响任何一方的索赔权利。</w:t>
      </w:r>
    </w:p>
    <w:p w14:paraId="41793E3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4" w:name="_Toc8007"/>
      <w:bookmarkStart w:id="65" w:name="_Toc32558"/>
      <w:bookmarkStart w:id="66" w:name="_Toc24677"/>
      <w:bookmarkStart w:id="67" w:name="_Toc262637539"/>
      <w:bookmarkStart w:id="68" w:name="_Toc25531078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第12条  争议的解决</w:t>
      </w:r>
      <w:bookmarkEnd w:id="64"/>
      <w:bookmarkEnd w:id="65"/>
      <w:bookmarkEnd w:id="66"/>
      <w:bookmarkEnd w:id="67"/>
      <w:bookmarkEnd w:id="68"/>
    </w:p>
    <w:p w14:paraId="3CD7B5C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12.1在履行合同义务时出现任何争议，双方应协商解决。</w:t>
      </w:r>
    </w:p>
    <w:p w14:paraId="6AFFAC6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12.2若该协商在纠纷开始后15天内不能通过协商解决，任一方应通过甲方所在地人民法院诉讼解决。以上所产生的费用，由败诉方承担。</w:t>
      </w:r>
    </w:p>
    <w:p w14:paraId="07C1D43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12.3除提交诉讼的部分外，双方应继续履行合同规定的其他义务。</w:t>
      </w:r>
    </w:p>
    <w:p w14:paraId="7DFB78ED">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9" w:name="_Toc262637542"/>
      <w:bookmarkStart w:id="70" w:name="_Toc255310783"/>
      <w:bookmarkStart w:id="71" w:name="_Toc3333"/>
      <w:bookmarkStart w:id="72" w:name="_Toc8528"/>
      <w:bookmarkStart w:id="73" w:name="_Toc2833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第13条  合同生效</w:t>
      </w:r>
      <w:bookmarkEnd w:id="69"/>
      <w:bookmarkEnd w:id="7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及其他</w:t>
      </w:r>
      <w:bookmarkEnd w:id="71"/>
      <w:bookmarkEnd w:id="72"/>
      <w:bookmarkEnd w:id="73"/>
    </w:p>
    <w:p w14:paraId="431569D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13.1合同在甲乙双方法定代表人或委托代理人签字（或盖章）并加盖公章（或合同专用章）之日起生效。合同生效日期以较晚签字一方的签字日期为准。</w:t>
      </w:r>
    </w:p>
    <w:p w14:paraId="18AF0D7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13.2本合同正本2份，副本</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份。双方各执正本1份、副本</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份，正本与副本具有同等法律效力。</w:t>
      </w:r>
    </w:p>
    <w:p w14:paraId="157D561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5"/>
        <w:gridCol w:w="4616"/>
      </w:tblGrid>
      <w:tr w14:paraId="26DC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445" w:type="dxa"/>
            <w:vAlign w:val="center"/>
          </w:tcPr>
          <w:p w14:paraId="7D721E4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委托方</w:t>
            </w:r>
            <w:r>
              <w:rPr>
                <w:rFonts w:hint="eastAsia" w:ascii="宋体" w:hAnsi="宋体"/>
                <w:color w:val="auto"/>
                <w:sz w:val="24"/>
                <w:highlight w:val="none"/>
                <w:u w:val="none"/>
              </w:rPr>
              <w:t>： 陕西省应急管理厅 （盖章）</w:t>
            </w:r>
          </w:p>
        </w:tc>
        <w:tc>
          <w:tcPr>
            <w:tcW w:w="4616" w:type="dxa"/>
            <w:vAlign w:val="center"/>
          </w:tcPr>
          <w:p w14:paraId="795604A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受托方</w:t>
            </w:r>
            <w:r>
              <w:rPr>
                <w:rFonts w:hint="eastAsia" w:ascii="宋体" w:hAnsi="宋体"/>
                <w:color w:val="auto"/>
                <w:sz w:val="24"/>
                <w:highlight w:val="none"/>
                <w:u w:val="none"/>
              </w:rPr>
              <w:t>：（盖章）</w:t>
            </w:r>
          </w:p>
        </w:tc>
      </w:tr>
      <w:tr w14:paraId="34CD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1A351947">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地址：</w:t>
            </w:r>
            <w:r>
              <w:rPr>
                <w:rFonts w:hint="eastAsia" w:hAnsi="宋体" w:cs="宋体"/>
                <w:color w:val="auto"/>
                <w:szCs w:val="24"/>
                <w:highlight w:val="none"/>
              </w:rPr>
              <w:t>西安市经开区未央路208号</w:t>
            </w:r>
          </w:p>
        </w:tc>
        <w:tc>
          <w:tcPr>
            <w:tcW w:w="4616" w:type="dxa"/>
            <w:vAlign w:val="center"/>
          </w:tcPr>
          <w:p w14:paraId="6748761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eastAsia="宋体" w:asciiTheme="minorEastAsia" w:hAnsiTheme="minorEastAsia" w:cstheme="minorEastAsia"/>
                <w:color w:val="auto"/>
                <w:sz w:val="24"/>
                <w:szCs w:val="24"/>
                <w:highlight w:val="none"/>
                <w:u w:val="single"/>
                <w:vertAlign w:val="baseline"/>
                <w:lang w:eastAsia="zh-CN"/>
              </w:rPr>
            </w:pPr>
            <w:r>
              <w:rPr>
                <w:rFonts w:hint="eastAsia" w:ascii="宋体" w:hAnsi="宋体"/>
                <w:color w:val="auto"/>
                <w:sz w:val="24"/>
                <w:highlight w:val="none"/>
                <w:u w:val="none"/>
              </w:rPr>
              <w:t>地址</w:t>
            </w:r>
            <w:r>
              <w:rPr>
                <w:rFonts w:hint="eastAsia" w:ascii="宋体" w:hAnsi="宋体"/>
                <w:color w:val="auto"/>
                <w:sz w:val="24"/>
                <w:highlight w:val="none"/>
                <w:u w:val="none"/>
                <w:lang w:eastAsia="zh-CN"/>
              </w:rPr>
              <w:t>：</w:t>
            </w:r>
          </w:p>
        </w:tc>
      </w:tr>
      <w:tr w14:paraId="3E51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4F0911A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邮政编码：710018</w:t>
            </w:r>
          </w:p>
        </w:tc>
        <w:tc>
          <w:tcPr>
            <w:tcW w:w="4616" w:type="dxa"/>
            <w:vAlign w:val="center"/>
          </w:tcPr>
          <w:p w14:paraId="73ABBC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w:t>
            </w:r>
          </w:p>
        </w:tc>
      </w:tr>
      <w:tr w14:paraId="2893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4445" w:type="dxa"/>
            <w:vAlign w:val="center"/>
          </w:tcPr>
          <w:p w14:paraId="06AE1F3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28AA6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c>
          <w:tcPr>
            <w:tcW w:w="4616" w:type="dxa"/>
            <w:vAlign w:val="center"/>
          </w:tcPr>
          <w:p w14:paraId="431F7789">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1F464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r>
      <w:tr w14:paraId="0345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4445" w:type="dxa"/>
            <w:vAlign w:val="center"/>
          </w:tcPr>
          <w:p w14:paraId="563C93C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c>
          <w:tcPr>
            <w:tcW w:w="4616" w:type="dxa"/>
            <w:vAlign w:val="center"/>
          </w:tcPr>
          <w:p w14:paraId="2F0D6D7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r>
      <w:tr w14:paraId="226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3CAC9AF6">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c>
          <w:tcPr>
            <w:tcW w:w="4616" w:type="dxa"/>
            <w:vAlign w:val="center"/>
          </w:tcPr>
          <w:p w14:paraId="5363F413">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r>
      <w:tr w14:paraId="4817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5184523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r>
              <w:rPr>
                <w:rFonts w:hint="eastAsia"/>
                <w:color w:val="auto"/>
                <w:sz w:val="24"/>
                <w:highlight w:val="none"/>
                <w:u w:val="none"/>
                <w:lang w:val="en-US" w:eastAsia="zh-CN"/>
              </w:rPr>
              <w:t>029-61166207</w:t>
            </w:r>
          </w:p>
        </w:tc>
        <w:tc>
          <w:tcPr>
            <w:tcW w:w="4616" w:type="dxa"/>
            <w:vAlign w:val="center"/>
          </w:tcPr>
          <w:p w14:paraId="5A9BB2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p>
        </w:tc>
      </w:tr>
      <w:tr w14:paraId="6895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758F149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ascii="宋体" w:hAnsi="宋体" w:eastAsia="宋体"/>
                <w:color w:val="auto"/>
                <w:sz w:val="24"/>
                <w:highlight w:val="none"/>
                <w:u w:val="none"/>
                <w:lang w:val="en-US" w:eastAsia="zh-CN"/>
              </w:rPr>
            </w:pPr>
            <w:r>
              <w:rPr>
                <w:rFonts w:hint="eastAsia"/>
                <w:color w:val="auto"/>
                <w:sz w:val="24"/>
                <w:highlight w:val="none"/>
                <w:u w:val="none"/>
                <w:lang w:val="en-US" w:eastAsia="zh-CN"/>
              </w:rPr>
              <w:t>日期：</w:t>
            </w:r>
          </w:p>
        </w:tc>
        <w:tc>
          <w:tcPr>
            <w:tcW w:w="4616" w:type="dxa"/>
            <w:vAlign w:val="center"/>
          </w:tcPr>
          <w:p w14:paraId="52566FC2">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宋体" w:hAnsi="宋体"/>
                <w:color w:val="auto"/>
                <w:sz w:val="24"/>
                <w:highlight w:val="none"/>
                <w:u w:val="none"/>
              </w:rPr>
            </w:pPr>
            <w:r>
              <w:rPr>
                <w:rFonts w:hint="eastAsia"/>
                <w:color w:val="auto"/>
                <w:sz w:val="24"/>
                <w:highlight w:val="none"/>
                <w:u w:val="none"/>
                <w:lang w:val="en-US" w:eastAsia="zh-CN"/>
              </w:rPr>
              <w:t>日期：</w:t>
            </w:r>
          </w:p>
        </w:tc>
      </w:tr>
    </w:tbl>
    <w:p w14:paraId="6B1E3D48">
      <w:pPr>
        <w:rPr>
          <w:color w:val="auto"/>
          <w:highlight w:val="none"/>
        </w:rPr>
      </w:pPr>
    </w:p>
    <w:sectPr>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C647D"/>
    <w:multiLevelType w:val="multilevel"/>
    <w:tmpl w:val="A9DC647D"/>
    <w:lvl w:ilvl="0" w:tentative="0">
      <w:start w:val="0"/>
      <w:numFmt w:val="none"/>
      <w:lvlText w:val=""/>
      <w:lvlJc w:val="left"/>
      <w:pPr>
        <w:tabs>
          <w:tab w:val="left" w:pos="360"/>
        </w:tabs>
      </w:pPr>
    </w:lvl>
    <w:lvl w:ilvl="1" w:tentative="0">
      <w:start w:val="1"/>
      <w:numFmt w:val="decimal"/>
      <w:suff w:val="nothing"/>
      <w:lvlText w:val="1.%2 "/>
      <w:lvlJc w:val="left"/>
      <w:pPr>
        <w:ind w:left="425" w:hanging="425"/>
      </w:pPr>
      <w:rPr>
        <w:rFonts w:hint="eastAsia" w:ascii="宋体" w:hAnsi="宋体"/>
        <w:b w:val="0"/>
        <w:i w:val="0"/>
        <w:sz w:val="21"/>
        <w:u w:val="none"/>
      </w:r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1"/>
      <w:numFmt w:val="decimal"/>
      <w:lvlText w:val="%3.%4.%5.%6.%7.%8.%9."/>
      <w:lvlJc w:val="left"/>
      <w:pPr>
        <w:tabs>
          <w:tab w:val="left" w:pos="1800"/>
        </w:tabs>
        <w:ind w:left="1800" w:hanging="1800"/>
      </w:pPr>
      <w:rPr>
        <w:rFonts w:hint="eastAsia"/>
      </w:rPr>
    </w:lvl>
  </w:abstractNum>
  <w:abstractNum w:abstractNumId="1">
    <w:nsid w:val="DFB1E833"/>
    <w:multiLevelType w:val="multilevel"/>
    <w:tmpl w:val="DFB1E833"/>
    <w:lvl w:ilvl="0" w:tentative="0">
      <w:start w:val="1"/>
      <w:numFmt w:val="decimal"/>
      <w:suff w:val="nothing"/>
      <w:lvlText w:val="（%1）"/>
      <w:lvlJc w:val="left"/>
      <w:pPr>
        <w:ind w:left="840" w:hanging="84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359E6"/>
    <w:rsid w:val="08297BEC"/>
    <w:rsid w:val="0E2D3866"/>
    <w:rsid w:val="106317C1"/>
    <w:rsid w:val="11162294"/>
    <w:rsid w:val="127B6F8B"/>
    <w:rsid w:val="12F55348"/>
    <w:rsid w:val="147E4D5B"/>
    <w:rsid w:val="17BF04F0"/>
    <w:rsid w:val="1D796AC8"/>
    <w:rsid w:val="1E37428D"/>
    <w:rsid w:val="20F73180"/>
    <w:rsid w:val="2DF80593"/>
    <w:rsid w:val="2FAF0127"/>
    <w:rsid w:val="327337EB"/>
    <w:rsid w:val="35A6206D"/>
    <w:rsid w:val="37E666B0"/>
    <w:rsid w:val="3FEB4178"/>
    <w:rsid w:val="43F359E6"/>
    <w:rsid w:val="4AFB201B"/>
    <w:rsid w:val="4D0758CD"/>
    <w:rsid w:val="4E964534"/>
    <w:rsid w:val="54EF1F98"/>
    <w:rsid w:val="568065AC"/>
    <w:rsid w:val="56D227CA"/>
    <w:rsid w:val="5A92474A"/>
    <w:rsid w:val="5ABB5323"/>
    <w:rsid w:val="5CE40B61"/>
    <w:rsid w:val="5D8D79FB"/>
    <w:rsid w:val="5FDDC3E0"/>
    <w:rsid w:val="604C0EF7"/>
    <w:rsid w:val="629152E7"/>
    <w:rsid w:val="63A1155A"/>
    <w:rsid w:val="64041156"/>
    <w:rsid w:val="694807FC"/>
    <w:rsid w:val="733D24C1"/>
    <w:rsid w:val="739B32C2"/>
    <w:rsid w:val="759F6914"/>
    <w:rsid w:val="75FE942C"/>
    <w:rsid w:val="76FDD0C6"/>
    <w:rsid w:val="79B80F53"/>
    <w:rsid w:val="7A3235B5"/>
    <w:rsid w:val="7BDB6D00"/>
    <w:rsid w:val="7C32D152"/>
    <w:rsid w:val="7D39826C"/>
    <w:rsid w:val="7F5EDF89"/>
    <w:rsid w:val="7FF7AF41"/>
    <w:rsid w:val="BCF6C04A"/>
    <w:rsid w:val="BFDD30AE"/>
    <w:rsid w:val="BFEF17FD"/>
    <w:rsid w:val="C7AF8D0E"/>
    <w:rsid w:val="CBD309F9"/>
    <w:rsid w:val="CEFD91FC"/>
    <w:rsid w:val="D6F6D4AA"/>
    <w:rsid w:val="D9FB4E02"/>
    <w:rsid w:val="DAB4E27A"/>
    <w:rsid w:val="DEFB5EC2"/>
    <w:rsid w:val="EFBF7670"/>
    <w:rsid w:val="F4FB3DF0"/>
    <w:rsid w:val="FBF6E8DE"/>
    <w:rsid w:val="FFBB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adjustRightInd w:val="0"/>
      <w:spacing w:line="480" w:lineRule="exact"/>
      <w:jc w:val="left"/>
      <w:textAlignment w:val="baseline"/>
    </w:pPr>
    <w:rPr>
      <w:rFonts w:ascii="Arial" w:hAnsi="Arial"/>
      <w:kern w:val="0"/>
      <w:sz w:val="24"/>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Calibri"/>
      <w:kern w:val="2"/>
      <w:sz w:val="21"/>
    </w:rPr>
  </w:style>
  <w:style w:type="paragraph" w:styleId="6">
    <w:name w:val="Body Text Indent"/>
    <w:basedOn w:val="1"/>
    <w:next w:val="7"/>
    <w:qFormat/>
    <w:uiPriority w:val="0"/>
    <w:pPr>
      <w:spacing w:line="380" w:lineRule="exact"/>
      <w:ind w:firstLine="420" w:firstLineChars="175"/>
    </w:pPr>
    <w:rPr>
      <w:rFonts w:ascii="宋体" w:hAnsi="宋体"/>
      <w:sz w:val="24"/>
    </w:rPr>
  </w:style>
  <w:style w:type="paragraph" w:styleId="7">
    <w:name w:val="envelope return"/>
    <w:basedOn w:val="1"/>
    <w:qFormat/>
    <w:uiPriority w:val="0"/>
    <w:pPr>
      <w:widowControl/>
      <w:snapToGrid w:val="0"/>
      <w:spacing w:line="312" w:lineRule="auto"/>
    </w:pPr>
    <w:rPr>
      <w:rFonts w:ascii="Arial" w:hAnsi="Arial" w:eastAsia="宋体" w:cs="Times New Roman"/>
      <w:szCs w:val="20"/>
    </w:rPr>
  </w:style>
  <w:style w:type="paragraph" w:styleId="8">
    <w:name w:val="Body Text First Indent 2"/>
    <w:basedOn w:val="6"/>
    <w:next w:val="1"/>
    <w:qFormat/>
    <w:uiPriority w:val="0"/>
    <w:pPr>
      <w:spacing w:after="120" w:afterLines="0" w:line="240" w:lineRule="auto"/>
      <w:ind w:left="200" w:leftChars="200"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3923</Words>
  <Characters>4109</Characters>
  <Lines>0</Lines>
  <Paragraphs>0</Paragraphs>
  <TotalTime>0</TotalTime>
  <ScaleCrop>false</ScaleCrop>
  <LinksUpToDate>false</LinksUpToDate>
  <CharactersWithSpaces>4211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2026-04-25T02:22:00Z</dcterms:created>
  <dc:creator>baby命犯小桃花</dc:creator>
  <cp:lastModifiedBy>mggLlQiii</cp:lastModifiedBy>
  <dcterms:modified xsi:type="dcterms:W3CDTF">2026-07-09T07:19:39Z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1D774A99F076400BBB87E5AEDBE3616F_13</vt:lpwstr>
  </property>
  <property fmtid="{D5CDD505-2E9C-101B-9397-08002B2CF9AE}" pid="4" name="KSOTemplateDocerSaveRecord">
    <vt:lpwstr>eyJoZGlkIjoiZTAzOTMyNzk1YmZjYTZhZTllMTA0MWNlNWZmOWI1NWYiLCJ1c2VySWQiOiIxNTMzNjg2MDc5In0=</vt:lpwstr>
  </property>
</Properties>
</file>