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A83E27">
      <w:pPr>
        <w:spacing w:after="240" w:afterLines="100"/>
        <w:jc w:val="center"/>
        <w:rPr>
          <w:rFonts w:hint="eastAsia" w:ascii="黑体" w:hAnsi="宋体" w:eastAsia="黑体"/>
          <w:sz w:val="36"/>
          <w:szCs w:val="36"/>
        </w:rPr>
      </w:pPr>
      <w:r>
        <w:rPr>
          <w:rFonts w:hint="eastAsia" w:ascii="黑体" w:hAnsi="宋体" w:eastAsia="黑体"/>
          <w:bCs/>
          <w:sz w:val="36"/>
          <w:szCs w:val="36"/>
        </w:rPr>
        <w:t>2026年度陕西省应急领域地方标准申报和制修订项目第一标段分项报价表</w:t>
      </w:r>
    </w:p>
    <w:p w14:paraId="52DFADC1">
      <w:pPr>
        <w:spacing w:after="120" w:afterLines="50" w:line="360" w:lineRule="exact"/>
        <w:ind w:firstLine="210" w:firstLineChars="100"/>
        <w:rPr>
          <w:rFonts w:hint="eastAsia" w:ascii="宋体" w:hAnsi="宋体"/>
        </w:rPr>
      </w:pPr>
      <w:r>
        <w:rPr>
          <w:rFonts w:hint="eastAsia" w:ascii="宋体" w:hAnsi="宋体"/>
        </w:rPr>
        <w:t xml:space="preserve">投标人名称：                             </w:t>
      </w:r>
      <w:bookmarkStart w:id="0" w:name="_GoBack"/>
      <w:bookmarkEnd w:id="0"/>
      <w:r>
        <w:rPr>
          <w:rFonts w:hint="eastAsia" w:ascii="宋体" w:hAnsi="宋体"/>
        </w:rPr>
        <w:t xml:space="preserve">      </w:t>
      </w:r>
      <w:r>
        <w:rPr>
          <w:rFonts w:hint="eastAsia" w:ascii="宋体" w:hAnsi="宋体"/>
          <w:lang w:val="en-US" w:eastAsia="zh-CN"/>
        </w:rPr>
        <w:t xml:space="preserve">    </w:t>
      </w:r>
      <w:r>
        <w:rPr>
          <w:rFonts w:hint="eastAsia" w:ascii="宋体" w:hAnsi="宋体"/>
        </w:rPr>
        <w:t>采购项目编号：</w:t>
      </w:r>
    </w:p>
    <w:tbl>
      <w:tblPr>
        <w:tblStyle w:val="2"/>
        <w:tblW w:w="1363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5236"/>
        <w:gridCol w:w="1530"/>
        <w:gridCol w:w="3165"/>
        <w:gridCol w:w="1665"/>
        <w:gridCol w:w="1365"/>
      </w:tblGrid>
      <w:tr w14:paraId="32545C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71" w:type="dxa"/>
            <w:noWrap w:val="0"/>
            <w:vAlign w:val="center"/>
          </w:tcPr>
          <w:p w14:paraId="6FCF648B">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5236" w:type="dxa"/>
            <w:noWrap w:val="0"/>
            <w:vAlign w:val="center"/>
          </w:tcPr>
          <w:p w14:paraId="7F7E78E5">
            <w:pPr>
              <w:adjustRightInd w:val="0"/>
              <w:snapToGrid w:val="0"/>
              <w:spacing w:line="360" w:lineRule="exact"/>
              <w:jc w:val="center"/>
              <w:rPr>
                <w:rFonts w:hint="eastAsia" w:ascii="宋体" w:hAnsi="宋体" w:eastAsia="宋体"/>
                <w:b/>
                <w:szCs w:val="21"/>
                <w:lang w:eastAsia="zh-CN"/>
              </w:rPr>
            </w:pPr>
            <w:r>
              <w:rPr>
                <w:rFonts w:hint="eastAsia" w:ascii="宋体" w:hAnsi="宋体"/>
                <w:b/>
                <w:szCs w:val="21"/>
                <w:lang w:val="en-US" w:eastAsia="zh-CN"/>
              </w:rPr>
              <w:t>服务名称</w:t>
            </w:r>
          </w:p>
        </w:tc>
        <w:tc>
          <w:tcPr>
            <w:tcW w:w="1530" w:type="dxa"/>
            <w:noWrap w:val="0"/>
            <w:vAlign w:val="center"/>
          </w:tcPr>
          <w:p w14:paraId="64CBC302">
            <w:pPr>
              <w:adjustRightInd w:val="0"/>
              <w:snapToGrid w:val="0"/>
              <w:spacing w:line="360" w:lineRule="exact"/>
              <w:jc w:val="center"/>
              <w:rPr>
                <w:rFonts w:hint="eastAsia" w:ascii="宋体" w:hAnsi="宋体"/>
                <w:b/>
                <w:szCs w:val="21"/>
              </w:rPr>
            </w:pPr>
            <w:r>
              <w:rPr>
                <w:rFonts w:hint="eastAsia" w:ascii="宋体" w:hAnsi="宋体"/>
                <w:b/>
                <w:szCs w:val="21"/>
              </w:rPr>
              <w:t>数量</w:t>
            </w:r>
          </w:p>
        </w:tc>
        <w:tc>
          <w:tcPr>
            <w:tcW w:w="3165" w:type="dxa"/>
            <w:noWrap w:val="0"/>
            <w:vAlign w:val="center"/>
          </w:tcPr>
          <w:p w14:paraId="04EF1AB9">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1665" w:type="dxa"/>
            <w:noWrap w:val="0"/>
            <w:vAlign w:val="center"/>
          </w:tcPr>
          <w:p w14:paraId="71B65667">
            <w:pPr>
              <w:adjustRightInd w:val="0"/>
              <w:snapToGrid w:val="0"/>
              <w:spacing w:line="360" w:lineRule="exact"/>
              <w:jc w:val="center"/>
              <w:rPr>
                <w:rFonts w:hint="eastAsia" w:ascii="宋体" w:hAnsi="宋体"/>
                <w:b/>
                <w:szCs w:val="21"/>
              </w:rPr>
            </w:pPr>
            <w:r>
              <w:rPr>
                <w:rFonts w:hint="eastAsia" w:ascii="宋体" w:hAnsi="宋体"/>
                <w:b/>
                <w:szCs w:val="21"/>
              </w:rPr>
              <w:t>报价（元）</w:t>
            </w:r>
          </w:p>
        </w:tc>
        <w:tc>
          <w:tcPr>
            <w:tcW w:w="1365" w:type="dxa"/>
            <w:noWrap w:val="0"/>
            <w:vAlign w:val="center"/>
          </w:tcPr>
          <w:p w14:paraId="6E4D33D8">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14:paraId="39E65E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3EDB7C10">
            <w:pPr>
              <w:adjustRightInd w:val="0"/>
              <w:snapToGrid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1</w:t>
            </w:r>
          </w:p>
        </w:tc>
        <w:tc>
          <w:tcPr>
            <w:tcW w:w="5236" w:type="dxa"/>
            <w:noWrap w:val="0"/>
            <w:vAlign w:val="center"/>
          </w:tcPr>
          <w:p w14:paraId="78112A42">
            <w:pPr>
              <w:adjustRightInd w:val="0"/>
              <w:snapToGrid w:val="0"/>
              <w:spacing w:line="360" w:lineRule="auto"/>
              <w:jc w:val="center"/>
              <w:rPr>
                <w:rFonts w:hint="eastAsia" w:ascii="宋体" w:hAnsi="宋体" w:cs="Times New Roman"/>
                <w:szCs w:val="21"/>
                <w:lang w:val="en-US" w:eastAsia="zh-CN"/>
              </w:rPr>
            </w:pPr>
            <w:r>
              <w:rPr>
                <w:rFonts w:hint="eastAsia" w:ascii="宋体" w:hAnsi="宋体" w:cs="Times New Roman"/>
                <w:szCs w:val="21"/>
                <w:lang w:val="en-US" w:eastAsia="zh-CN"/>
              </w:rPr>
              <w:t>秦岭区域尾矿库安全管理规范</w:t>
            </w:r>
          </w:p>
        </w:tc>
        <w:tc>
          <w:tcPr>
            <w:tcW w:w="1530" w:type="dxa"/>
            <w:noWrap w:val="0"/>
            <w:vAlign w:val="top"/>
          </w:tcPr>
          <w:p w14:paraId="3DAB8596">
            <w:pPr>
              <w:adjustRightInd w:val="0"/>
              <w:snapToGrid w:val="0"/>
              <w:spacing w:line="360" w:lineRule="auto"/>
              <w:jc w:val="center"/>
              <w:rPr>
                <w:rFonts w:hint="eastAsia" w:ascii="宋体" w:hAnsi="宋体"/>
                <w:szCs w:val="21"/>
              </w:rPr>
            </w:pPr>
          </w:p>
        </w:tc>
        <w:tc>
          <w:tcPr>
            <w:tcW w:w="3165" w:type="dxa"/>
            <w:noWrap w:val="0"/>
            <w:vAlign w:val="center"/>
          </w:tcPr>
          <w:p w14:paraId="44C1B163">
            <w:pPr>
              <w:adjustRightInd w:val="0"/>
              <w:snapToGrid w:val="0"/>
              <w:spacing w:line="360" w:lineRule="auto"/>
              <w:jc w:val="center"/>
              <w:rPr>
                <w:rFonts w:hint="eastAsia" w:ascii="宋体" w:hAnsi="宋体"/>
                <w:szCs w:val="21"/>
              </w:rPr>
            </w:pPr>
          </w:p>
        </w:tc>
        <w:tc>
          <w:tcPr>
            <w:tcW w:w="1665" w:type="dxa"/>
            <w:noWrap w:val="0"/>
            <w:vAlign w:val="top"/>
          </w:tcPr>
          <w:p w14:paraId="68541C2D">
            <w:pPr>
              <w:adjustRightInd w:val="0"/>
              <w:snapToGrid w:val="0"/>
              <w:spacing w:line="360" w:lineRule="auto"/>
              <w:jc w:val="center"/>
              <w:rPr>
                <w:rFonts w:hint="eastAsia" w:ascii="宋体" w:hAnsi="宋体"/>
                <w:szCs w:val="21"/>
              </w:rPr>
            </w:pPr>
          </w:p>
        </w:tc>
        <w:tc>
          <w:tcPr>
            <w:tcW w:w="1365" w:type="dxa"/>
            <w:noWrap w:val="0"/>
            <w:vAlign w:val="center"/>
          </w:tcPr>
          <w:p w14:paraId="73DD9648">
            <w:pPr>
              <w:adjustRightInd w:val="0"/>
              <w:snapToGrid w:val="0"/>
              <w:spacing w:line="360" w:lineRule="auto"/>
              <w:jc w:val="center"/>
              <w:rPr>
                <w:rFonts w:hint="eastAsia" w:ascii="宋体" w:hAnsi="宋体"/>
                <w:szCs w:val="21"/>
              </w:rPr>
            </w:pPr>
          </w:p>
        </w:tc>
      </w:tr>
      <w:tr w14:paraId="212C0F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3DDE127">
            <w:pPr>
              <w:adjustRightInd w:val="0"/>
              <w:snapToGrid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2</w:t>
            </w:r>
          </w:p>
        </w:tc>
        <w:tc>
          <w:tcPr>
            <w:tcW w:w="5236" w:type="dxa"/>
            <w:noWrap w:val="0"/>
            <w:vAlign w:val="center"/>
          </w:tcPr>
          <w:p w14:paraId="3DABAE37">
            <w:pPr>
              <w:adjustRightInd w:val="0"/>
              <w:snapToGrid w:val="0"/>
              <w:spacing w:line="360" w:lineRule="auto"/>
              <w:jc w:val="center"/>
              <w:rPr>
                <w:rFonts w:hint="eastAsia" w:ascii="宋体" w:hAnsi="宋体" w:cs="Times New Roman"/>
                <w:szCs w:val="21"/>
                <w:lang w:val="en-US" w:eastAsia="zh-CN"/>
              </w:rPr>
            </w:pPr>
            <w:r>
              <w:rPr>
                <w:rFonts w:hint="eastAsia" w:ascii="宋体" w:hAnsi="宋体" w:cs="Times New Roman"/>
                <w:szCs w:val="21"/>
                <w:lang w:val="en-US" w:eastAsia="zh-CN"/>
              </w:rPr>
              <w:t>金属非金属地下矿山采场爆破落矿作业安全技术规范</w:t>
            </w:r>
          </w:p>
        </w:tc>
        <w:tc>
          <w:tcPr>
            <w:tcW w:w="1530" w:type="dxa"/>
            <w:noWrap w:val="0"/>
            <w:vAlign w:val="top"/>
          </w:tcPr>
          <w:p w14:paraId="00DA70B1">
            <w:pPr>
              <w:adjustRightInd w:val="0"/>
              <w:snapToGrid w:val="0"/>
              <w:spacing w:line="360" w:lineRule="auto"/>
              <w:jc w:val="center"/>
              <w:rPr>
                <w:rFonts w:hint="eastAsia" w:ascii="宋体" w:hAnsi="宋体"/>
                <w:szCs w:val="21"/>
              </w:rPr>
            </w:pPr>
          </w:p>
        </w:tc>
        <w:tc>
          <w:tcPr>
            <w:tcW w:w="3165" w:type="dxa"/>
            <w:noWrap w:val="0"/>
            <w:vAlign w:val="center"/>
          </w:tcPr>
          <w:p w14:paraId="0B9D1E17">
            <w:pPr>
              <w:adjustRightInd w:val="0"/>
              <w:snapToGrid w:val="0"/>
              <w:spacing w:line="360" w:lineRule="auto"/>
              <w:jc w:val="center"/>
              <w:rPr>
                <w:rFonts w:hint="eastAsia" w:ascii="宋体" w:hAnsi="宋体"/>
                <w:szCs w:val="21"/>
              </w:rPr>
            </w:pPr>
          </w:p>
        </w:tc>
        <w:tc>
          <w:tcPr>
            <w:tcW w:w="1665" w:type="dxa"/>
            <w:noWrap w:val="0"/>
            <w:vAlign w:val="top"/>
          </w:tcPr>
          <w:p w14:paraId="729450B1">
            <w:pPr>
              <w:adjustRightInd w:val="0"/>
              <w:snapToGrid w:val="0"/>
              <w:spacing w:line="360" w:lineRule="auto"/>
              <w:jc w:val="center"/>
              <w:rPr>
                <w:rFonts w:hint="eastAsia" w:ascii="宋体" w:hAnsi="宋体"/>
                <w:szCs w:val="21"/>
              </w:rPr>
            </w:pPr>
          </w:p>
        </w:tc>
        <w:tc>
          <w:tcPr>
            <w:tcW w:w="1365" w:type="dxa"/>
            <w:noWrap w:val="0"/>
            <w:vAlign w:val="center"/>
          </w:tcPr>
          <w:p w14:paraId="7615D3E2">
            <w:pPr>
              <w:adjustRightInd w:val="0"/>
              <w:snapToGrid w:val="0"/>
              <w:spacing w:line="360" w:lineRule="auto"/>
              <w:jc w:val="center"/>
              <w:rPr>
                <w:rFonts w:hint="eastAsia" w:ascii="宋体" w:hAnsi="宋体"/>
                <w:szCs w:val="21"/>
              </w:rPr>
            </w:pPr>
          </w:p>
        </w:tc>
      </w:tr>
      <w:tr w14:paraId="250BB0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7CCB734">
            <w:pPr>
              <w:adjustRightInd w:val="0"/>
              <w:snapToGrid w:val="0"/>
              <w:spacing w:line="360" w:lineRule="auto"/>
              <w:jc w:val="center"/>
              <w:rPr>
                <w:rFonts w:hint="eastAsia" w:ascii="宋体" w:hAnsi="宋体" w:eastAsia="宋体"/>
                <w:szCs w:val="21"/>
                <w:lang w:val="en-US" w:eastAsia="zh-CN"/>
              </w:rPr>
            </w:pPr>
            <w:r>
              <w:rPr>
                <w:rFonts w:hint="eastAsia" w:ascii="宋体" w:hAnsi="宋体"/>
                <w:szCs w:val="21"/>
                <w:lang w:val="en-US" w:eastAsia="zh-CN"/>
              </w:rPr>
              <w:t>3</w:t>
            </w:r>
          </w:p>
        </w:tc>
        <w:tc>
          <w:tcPr>
            <w:tcW w:w="5236" w:type="dxa"/>
            <w:noWrap w:val="0"/>
            <w:vAlign w:val="center"/>
          </w:tcPr>
          <w:p w14:paraId="2CF07C9C">
            <w:pPr>
              <w:adjustRightInd w:val="0"/>
              <w:snapToGrid w:val="0"/>
              <w:spacing w:line="360" w:lineRule="auto"/>
              <w:jc w:val="center"/>
              <w:rPr>
                <w:rFonts w:hint="eastAsia" w:ascii="宋体" w:hAnsi="宋体" w:cs="Times New Roman"/>
                <w:szCs w:val="21"/>
                <w:lang w:val="en-US" w:eastAsia="zh-CN"/>
              </w:rPr>
            </w:pPr>
            <w:r>
              <w:rPr>
                <w:rFonts w:hint="eastAsia" w:ascii="宋体" w:hAnsi="宋体" w:cs="Times New Roman"/>
                <w:szCs w:val="21"/>
                <w:lang w:val="en-US" w:eastAsia="zh-CN"/>
              </w:rPr>
              <w:t>尾矿库溃坝数值模拟技术规程</w:t>
            </w:r>
          </w:p>
        </w:tc>
        <w:tc>
          <w:tcPr>
            <w:tcW w:w="1530" w:type="dxa"/>
            <w:noWrap w:val="0"/>
            <w:vAlign w:val="top"/>
          </w:tcPr>
          <w:p w14:paraId="6218EB28">
            <w:pPr>
              <w:adjustRightInd w:val="0"/>
              <w:snapToGrid w:val="0"/>
              <w:spacing w:line="360" w:lineRule="auto"/>
              <w:jc w:val="center"/>
              <w:rPr>
                <w:rFonts w:hint="eastAsia" w:ascii="宋体" w:hAnsi="宋体"/>
                <w:szCs w:val="21"/>
              </w:rPr>
            </w:pPr>
          </w:p>
        </w:tc>
        <w:tc>
          <w:tcPr>
            <w:tcW w:w="3165" w:type="dxa"/>
            <w:noWrap w:val="0"/>
            <w:vAlign w:val="center"/>
          </w:tcPr>
          <w:p w14:paraId="7AFE426A">
            <w:pPr>
              <w:adjustRightInd w:val="0"/>
              <w:snapToGrid w:val="0"/>
              <w:spacing w:line="360" w:lineRule="auto"/>
              <w:jc w:val="center"/>
              <w:rPr>
                <w:rFonts w:hint="eastAsia" w:ascii="宋体" w:hAnsi="宋体"/>
                <w:szCs w:val="21"/>
              </w:rPr>
            </w:pPr>
          </w:p>
        </w:tc>
        <w:tc>
          <w:tcPr>
            <w:tcW w:w="1665" w:type="dxa"/>
            <w:noWrap w:val="0"/>
            <w:vAlign w:val="top"/>
          </w:tcPr>
          <w:p w14:paraId="63F953F4">
            <w:pPr>
              <w:adjustRightInd w:val="0"/>
              <w:snapToGrid w:val="0"/>
              <w:spacing w:line="360" w:lineRule="auto"/>
              <w:jc w:val="center"/>
              <w:rPr>
                <w:rFonts w:hint="eastAsia" w:ascii="宋体" w:hAnsi="宋体"/>
                <w:szCs w:val="21"/>
              </w:rPr>
            </w:pPr>
          </w:p>
        </w:tc>
        <w:tc>
          <w:tcPr>
            <w:tcW w:w="1365" w:type="dxa"/>
            <w:noWrap w:val="0"/>
            <w:vAlign w:val="center"/>
          </w:tcPr>
          <w:p w14:paraId="7AE15626">
            <w:pPr>
              <w:adjustRightInd w:val="0"/>
              <w:snapToGrid w:val="0"/>
              <w:spacing w:line="360" w:lineRule="auto"/>
              <w:jc w:val="center"/>
              <w:rPr>
                <w:rFonts w:hint="eastAsia" w:ascii="宋体" w:hAnsi="宋体"/>
                <w:szCs w:val="21"/>
              </w:rPr>
            </w:pPr>
          </w:p>
        </w:tc>
      </w:tr>
      <w:tr w14:paraId="3E0CD9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33A72CD">
            <w:pPr>
              <w:adjustRightInd w:val="0"/>
              <w:snapToGrid w:val="0"/>
              <w:spacing w:line="360" w:lineRule="auto"/>
              <w:jc w:val="center"/>
              <w:rPr>
                <w:rFonts w:hint="default" w:ascii="宋体" w:hAnsi="宋体" w:eastAsia="宋体"/>
                <w:szCs w:val="21"/>
                <w:lang w:val="en-US" w:eastAsia="zh-CN"/>
              </w:rPr>
            </w:pPr>
            <w:r>
              <w:rPr>
                <w:rFonts w:hint="eastAsia" w:ascii="宋体" w:hAnsi="宋体"/>
                <w:szCs w:val="21"/>
                <w:lang w:val="en-US" w:eastAsia="zh-CN"/>
              </w:rPr>
              <w:t>4</w:t>
            </w:r>
          </w:p>
        </w:tc>
        <w:tc>
          <w:tcPr>
            <w:tcW w:w="5236" w:type="dxa"/>
            <w:noWrap w:val="0"/>
            <w:vAlign w:val="center"/>
          </w:tcPr>
          <w:p w14:paraId="2945332E">
            <w:pPr>
              <w:adjustRightInd w:val="0"/>
              <w:snapToGrid w:val="0"/>
              <w:spacing w:line="360" w:lineRule="auto"/>
              <w:jc w:val="center"/>
              <w:rPr>
                <w:rFonts w:hint="eastAsia" w:ascii="宋体" w:hAnsi="宋体" w:cs="Times New Roman"/>
                <w:szCs w:val="21"/>
                <w:lang w:val="en-US" w:eastAsia="zh-CN"/>
              </w:rPr>
            </w:pPr>
            <w:r>
              <w:rPr>
                <w:rFonts w:hint="eastAsia" w:ascii="宋体" w:hAnsi="宋体" w:cs="Times New Roman"/>
                <w:szCs w:val="21"/>
                <w:lang w:val="en-US" w:eastAsia="zh-CN"/>
              </w:rPr>
              <w:t>安全生产考试点建设管理规范</w:t>
            </w:r>
          </w:p>
        </w:tc>
        <w:tc>
          <w:tcPr>
            <w:tcW w:w="1530" w:type="dxa"/>
            <w:noWrap w:val="0"/>
            <w:vAlign w:val="top"/>
          </w:tcPr>
          <w:p w14:paraId="40E437C1">
            <w:pPr>
              <w:adjustRightInd w:val="0"/>
              <w:snapToGrid w:val="0"/>
              <w:spacing w:line="360" w:lineRule="auto"/>
              <w:jc w:val="center"/>
              <w:rPr>
                <w:rFonts w:hint="eastAsia" w:ascii="宋体" w:hAnsi="宋体"/>
                <w:szCs w:val="21"/>
              </w:rPr>
            </w:pPr>
          </w:p>
        </w:tc>
        <w:tc>
          <w:tcPr>
            <w:tcW w:w="3165" w:type="dxa"/>
            <w:noWrap w:val="0"/>
            <w:vAlign w:val="center"/>
          </w:tcPr>
          <w:p w14:paraId="485D5C4D">
            <w:pPr>
              <w:adjustRightInd w:val="0"/>
              <w:snapToGrid w:val="0"/>
              <w:spacing w:line="360" w:lineRule="auto"/>
              <w:jc w:val="center"/>
              <w:rPr>
                <w:rFonts w:hint="eastAsia" w:ascii="宋体" w:hAnsi="宋体"/>
                <w:szCs w:val="21"/>
              </w:rPr>
            </w:pPr>
          </w:p>
        </w:tc>
        <w:tc>
          <w:tcPr>
            <w:tcW w:w="1665" w:type="dxa"/>
            <w:noWrap w:val="0"/>
            <w:vAlign w:val="top"/>
          </w:tcPr>
          <w:p w14:paraId="68602BC4">
            <w:pPr>
              <w:adjustRightInd w:val="0"/>
              <w:snapToGrid w:val="0"/>
              <w:spacing w:line="360" w:lineRule="auto"/>
              <w:jc w:val="center"/>
              <w:rPr>
                <w:rFonts w:hint="eastAsia" w:ascii="宋体" w:hAnsi="宋体"/>
                <w:szCs w:val="21"/>
              </w:rPr>
            </w:pPr>
          </w:p>
        </w:tc>
        <w:tc>
          <w:tcPr>
            <w:tcW w:w="1365" w:type="dxa"/>
            <w:noWrap w:val="0"/>
            <w:vAlign w:val="center"/>
          </w:tcPr>
          <w:p w14:paraId="094E3B6F">
            <w:pPr>
              <w:adjustRightInd w:val="0"/>
              <w:snapToGrid w:val="0"/>
              <w:spacing w:line="360" w:lineRule="auto"/>
              <w:jc w:val="center"/>
              <w:rPr>
                <w:rFonts w:hint="eastAsia" w:ascii="宋体" w:hAnsi="宋体"/>
                <w:szCs w:val="21"/>
              </w:rPr>
            </w:pPr>
          </w:p>
        </w:tc>
      </w:tr>
      <w:tr w14:paraId="383AA9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248182B5">
            <w:pPr>
              <w:adjustRightInd w:val="0"/>
              <w:snapToGrid w:val="0"/>
              <w:spacing w:line="360" w:lineRule="auto"/>
              <w:jc w:val="center"/>
              <w:rPr>
                <w:rFonts w:hint="eastAsia" w:ascii="宋体" w:hAnsi="宋体"/>
                <w:szCs w:val="21"/>
                <w:lang w:val="en-US" w:eastAsia="zh-CN"/>
              </w:rPr>
            </w:pPr>
          </w:p>
        </w:tc>
        <w:tc>
          <w:tcPr>
            <w:tcW w:w="5236" w:type="dxa"/>
            <w:noWrap w:val="0"/>
            <w:vAlign w:val="center"/>
          </w:tcPr>
          <w:p w14:paraId="4BCEBDD2">
            <w:pPr>
              <w:adjustRightInd w:val="0"/>
              <w:snapToGrid w:val="0"/>
              <w:spacing w:line="240" w:lineRule="exact"/>
              <w:jc w:val="center"/>
              <w:rPr>
                <w:rFonts w:hint="eastAsia" w:ascii="宋体" w:hAnsi="宋体"/>
                <w:szCs w:val="21"/>
              </w:rPr>
            </w:pPr>
            <w:r>
              <w:rPr>
                <w:rFonts w:hint="eastAsia" w:ascii="宋体" w:hAnsi="宋体"/>
                <w:szCs w:val="21"/>
              </w:rPr>
              <w:t>合计报价</w:t>
            </w:r>
          </w:p>
          <w:p w14:paraId="4301DEEE">
            <w:pPr>
              <w:adjustRightInd w:val="0"/>
              <w:snapToGrid w:val="0"/>
              <w:spacing w:line="360" w:lineRule="auto"/>
              <w:jc w:val="center"/>
              <w:rPr>
                <w:rFonts w:hint="eastAsia" w:ascii="宋体" w:hAnsi="宋体"/>
                <w:szCs w:val="21"/>
              </w:rPr>
            </w:pPr>
            <w:r>
              <w:rPr>
                <w:rFonts w:hint="eastAsia" w:ascii="宋体" w:hAnsi="宋体"/>
                <w:szCs w:val="21"/>
              </w:rPr>
              <w:t>（大写）</w:t>
            </w:r>
          </w:p>
        </w:tc>
        <w:tc>
          <w:tcPr>
            <w:tcW w:w="1530" w:type="dxa"/>
            <w:noWrap w:val="0"/>
            <w:vAlign w:val="top"/>
          </w:tcPr>
          <w:p w14:paraId="54A17648">
            <w:pPr>
              <w:adjustRightInd w:val="0"/>
              <w:snapToGrid w:val="0"/>
              <w:spacing w:line="360" w:lineRule="auto"/>
              <w:jc w:val="center"/>
              <w:rPr>
                <w:rFonts w:hint="eastAsia" w:ascii="宋体" w:hAnsi="宋体"/>
                <w:szCs w:val="21"/>
              </w:rPr>
            </w:pPr>
          </w:p>
        </w:tc>
        <w:tc>
          <w:tcPr>
            <w:tcW w:w="3165" w:type="dxa"/>
            <w:noWrap w:val="0"/>
            <w:vAlign w:val="center"/>
          </w:tcPr>
          <w:p w14:paraId="058BD5BC">
            <w:pPr>
              <w:adjustRightInd w:val="0"/>
              <w:snapToGrid w:val="0"/>
              <w:spacing w:line="360" w:lineRule="auto"/>
              <w:jc w:val="center"/>
              <w:rPr>
                <w:rFonts w:hint="eastAsia" w:ascii="宋体" w:hAnsi="宋体"/>
                <w:szCs w:val="21"/>
              </w:rPr>
            </w:pPr>
          </w:p>
        </w:tc>
        <w:tc>
          <w:tcPr>
            <w:tcW w:w="1665" w:type="dxa"/>
            <w:noWrap w:val="0"/>
            <w:vAlign w:val="top"/>
          </w:tcPr>
          <w:p w14:paraId="71724E57">
            <w:pPr>
              <w:adjustRightInd w:val="0"/>
              <w:snapToGrid w:val="0"/>
              <w:spacing w:line="360" w:lineRule="auto"/>
              <w:jc w:val="center"/>
              <w:rPr>
                <w:rFonts w:hint="eastAsia" w:ascii="宋体" w:hAnsi="宋体"/>
                <w:szCs w:val="21"/>
              </w:rPr>
            </w:pPr>
          </w:p>
        </w:tc>
        <w:tc>
          <w:tcPr>
            <w:tcW w:w="1365" w:type="dxa"/>
            <w:noWrap w:val="0"/>
            <w:vAlign w:val="center"/>
          </w:tcPr>
          <w:p w14:paraId="04901150">
            <w:pPr>
              <w:adjustRightInd w:val="0"/>
              <w:snapToGrid w:val="0"/>
              <w:spacing w:line="360" w:lineRule="auto"/>
              <w:jc w:val="center"/>
              <w:rPr>
                <w:rFonts w:hint="eastAsia" w:ascii="宋体" w:hAnsi="宋体"/>
                <w:szCs w:val="21"/>
              </w:rPr>
            </w:pPr>
          </w:p>
        </w:tc>
      </w:tr>
    </w:tbl>
    <w:p w14:paraId="21F3E9C8">
      <w:pPr>
        <w:adjustRightInd w:val="0"/>
        <w:snapToGrid w:val="0"/>
        <w:ind w:left="-88" w:leftChars="-42" w:firstLine="840" w:firstLineChars="400"/>
        <w:rPr>
          <w:rFonts w:hint="eastAsia" w:ascii="宋体" w:hAnsi="宋体"/>
          <w:szCs w:val="21"/>
        </w:rPr>
      </w:pPr>
      <w:r>
        <w:rPr>
          <w:rFonts w:hint="eastAsia" w:ascii="宋体" w:hAnsi="宋体"/>
          <w:szCs w:val="21"/>
        </w:rPr>
        <w:t>注：</w:t>
      </w:r>
    </w:p>
    <w:p w14:paraId="68F25C50">
      <w:pPr>
        <w:adjustRightInd w:val="0"/>
        <w:snapToGrid w:val="0"/>
        <w:ind w:left="-88" w:leftChars="-42" w:firstLine="840" w:firstLineChars="400"/>
        <w:rPr>
          <w:rFonts w:hint="eastAsia" w:ascii="宋体" w:hAnsi="宋体"/>
          <w:szCs w:val="21"/>
        </w:rPr>
      </w:pPr>
      <w:r>
        <w:rPr>
          <w:rFonts w:hint="eastAsia" w:ascii="宋体" w:hAnsi="宋体"/>
          <w:szCs w:val="21"/>
        </w:rPr>
        <w:t>1.报价精确到小数点后两位；</w:t>
      </w:r>
    </w:p>
    <w:p w14:paraId="0A692914">
      <w:pPr>
        <w:adjustRightInd w:val="0"/>
        <w:snapToGrid w:val="0"/>
        <w:ind w:left="-88" w:leftChars="-42" w:firstLine="840" w:firstLineChars="400"/>
        <w:rPr>
          <w:rFonts w:hint="eastAsia" w:ascii="宋体" w:hAnsi="宋体"/>
          <w:bCs/>
          <w:szCs w:val="21"/>
        </w:rPr>
      </w:pPr>
      <w:r>
        <w:rPr>
          <w:rFonts w:hint="eastAsia" w:ascii="宋体" w:hAnsi="宋体"/>
          <w:szCs w:val="21"/>
          <w:lang w:val="en-US" w:eastAsia="zh-CN"/>
        </w:rPr>
        <w:t>2</w:t>
      </w:r>
      <w:r>
        <w:rPr>
          <w:rFonts w:hint="eastAsia" w:ascii="宋体" w:hAnsi="宋体"/>
          <w:szCs w:val="21"/>
        </w:rPr>
        <w:t>.本</w:t>
      </w:r>
      <w:r>
        <w:rPr>
          <w:rFonts w:hint="eastAsia" w:ascii="宋体" w:hAnsi="宋体"/>
          <w:bCs/>
          <w:szCs w:val="21"/>
        </w:rPr>
        <w:t>表各分项报价合计应当与“开标一览表”投标报价相等；</w:t>
      </w:r>
    </w:p>
    <w:p w14:paraId="6B1E24AE">
      <w:pPr>
        <w:adjustRightInd w:val="0"/>
        <w:spacing w:before="360" w:beforeLines="150" w:line="360" w:lineRule="auto"/>
        <w:ind w:firstLine="420" w:firstLineChars="200"/>
        <w:jc w:val="left"/>
        <w:rPr>
          <w:rFonts w:hint="eastAsia" w:ascii="宋体" w:hAnsi="宋体"/>
          <w:color w:val="000000"/>
          <w:szCs w:val="21"/>
        </w:rPr>
      </w:pPr>
      <w:r>
        <w:rPr>
          <w:rFonts w:hint="eastAsia" w:ascii="宋体" w:hAnsi="宋体"/>
          <w:color w:val="000000"/>
          <w:szCs w:val="21"/>
        </w:rPr>
        <w:t>投 标 人：</w:t>
      </w:r>
      <w:r>
        <w:rPr>
          <w:rFonts w:hint="eastAsia" w:ascii="宋体" w:hAnsi="宋体"/>
          <w:color w:val="000000"/>
          <w:szCs w:val="21"/>
          <w:u w:val="single"/>
        </w:rPr>
        <w:t xml:space="preserve">                     </w:t>
      </w:r>
      <w:r>
        <w:rPr>
          <w:rFonts w:hint="eastAsia" w:ascii="宋体" w:hAnsi="宋体"/>
          <w:color w:val="000000"/>
          <w:szCs w:val="21"/>
        </w:rPr>
        <w:t xml:space="preserve">（盖单位章） </w:t>
      </w:r>
    </w:p>
    <w:p w14:paraId="7A6D3D8B">
      <w:pPr>
        <w:adjustRightInd w:val="0"/>
        <w:spacing w:before="120" w:beforeLines="50" w:line="360" w:lineRule="auto"/>
        <w:ind w:firstLine="420" w:firstLineChars="200"/>
        <w:jc w:val="left"/>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 xml:space="preserve">（签名） </w:t>
      </w:r>
    </w:p>
    <w:p w14:paraId="2C842886">
      <w:pPr>
        <w:adjustRightInd w:val="0"/>
        <w:spacing w:before="120" w:beforeLines="50" w:line="360" w:lineRule="auto"/>
        <w:ind w:firstLine="420" w:firstLineChars="200"/>
        <w:jc w:val="left"/>
        <w:rPr>
          <w:rFonts w:hint="eastAsia" w:ascii="宋体" w:hAnsi="宋体"/>
          <w:color w:val="000000"/>
          <w:szCs w:val="21"/>
        </w:rPr>
      </w:pPr>
      <w:r>
        <w:rPr>
          <w:rFonts w:hint="eastAsia" w:ascii="宋体" w:hAnsi="宋体"/>
          <w:color w:val="000000"/>
          <w:szCs w:val="21"/>
        </w:rPr>
        <w:t>日    期：</w:t>
      </w:r>
      <w:r>
        <w:rPr>
          <w:rFonts w:hint="eastAsia" w:ascii="宋体" w:hAnsi="宋体"/>
          <w:color w:val="000000"/>
          <w:szCs w:val="21"/>
          <w:lang w:val="en-US" w:eastAsia="zh-CN"/>
        </w:rPr>
        <w:t xml:space="preserve"> </w:t>
      </w:r>
      <w:r>
        <w:rPr>
          <w:rFonts w:hint="eastAsia" w:ascii="宋体" w:hAnsi="宋体"/>
          <w:color w:val="000000"/>
          <w:szCs w:val="21"/>
          <w:u w:val="single"/>
        </w:rPr>
        <w:t xml:space="preserve">   </w:t>
      </w:r>
      <w:r>
        <w:rPr>
          <w:rFonts w:hint="eastAsia" w:ascii="宋体" w:hAnsi="宋体"/>
          <w:color w:val="000000"/>
          <w:szCs w:val="21"/>
        </w:rPr>
        <w:t xml:space="preserve"> 年</w:t>
      </w:r>
      <w:r>
        <w:rPr>
          <w:rFonts w:hint="eastAsia" w:ascii="宋体" w:hAnsi="宋体"/>
          <w:color w:val="000000"/>
          <w:szCs w:val="21"/>
          <w:u w:val="single"/>
        </w:rPr>
        <w:t xml:space="preserve">   </w:t>
      </w:r>
      <w:r>
        <w:rPr>
          <w:rFonts w:hint="eastAsia" w:ascii="宋体" w:hAnsi="宋体"/>
          <w:color w:val="000000"/>
          <w:szCs w:val="21"/>
        </w:rPr>
        <w:t xml:space="preserve"> 月</w:t>
      </w:r>
      <w:r>
        <w:rPr>
          <w:rFonts w:hint="eastAsia" w:ascii="宋体" w:hAnsi="宋体"/>
          <w:color w:val="000000"/>
          <w:szCs w:val="21"/>
          <w:u w:val="single"/>
        </w:rPr>
        <w:t xml:space="preserve">   </w:t>
      </w:r>
      <w:r>
        <w:rPr>
          <w:rFonts w:hint="eastAsia" w:ascii="宋体" w:hAnsi="宋体"/>
          <w:color w:val="000000"/>
          <w:szCs w:val="21"/>
        </w:rPr>
        <w:t>日</w:t>
      </w:r>
    </w:p>
    <w:p w14:paraId="384F52E7"/>
    <w:p w14:paraId="4A989287">
      <w:r>
        <w:rPr>
          <w:rFonts w:hint="eastAsia"/>
          <w:b/>
          <w:bCs/>
          <w:lang w:val="en-US" w:eastAsia="zh-CN"/>
        </w:rPr>
        <w:t>备注：供应商二次报价环节，须按照此表进行分项二次报价，上传此表。</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47A0F"/>
    <w:rsid w:val="1EDF1B32"/>
    <w:rsid w:val="67D81E87"/>
    <w:rsid w:val="6E403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230</Words>
  <Characters>236</Characters>
  <Lines>0</Lines>
  <Paragraphs>0</Paragraphs>
  <TotalTime>0</TotalTime>
  <ScaleCrop>false</ScaleCrop>
  <LinksUpToDate>false</LinksUpToDate>
  <CharactersWithSpaces>355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2025-10-14T02:12:00Z</dcterms:created>
  <dc:creator>Administrator</dc:creator>
  <cp:lastModifiedBy>mggLlQiii</cp:lastModifiedBy>
  <dcterms:modified xsi:type="dcterms:W3CDTF">2026-07-09T09:40:46Z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eyJoZGlkIjoiZTAzOTMyNzk1YmZjYTZhZTllMTA0MWNlNWZmOWI1NWYiLCJ1c2VySWQiOiIxNTMzNjg2MDc5In0=</vt:lpwstr>
  </property>
  <property fmtid="{D5CDD505-2E9C-101B-9397-08002B2CF9AE}" pid="4" name="ICV">
    <vt:lpwstr>8EFDBF81251F495B9862ABE38975A31B_12</vt:lpwstr>
  </property>
</Properties>
</file>