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版本号：ZCSP-合阳县-2026-0006120260509002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2026年合阳县小麦“一喷三防”项目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ZCSP-合阳县-2026-00061</w:t>
      </w:r>
      <w:r>
        <w:br/>
      </w:r>
      <w:r>
        <w:br/>
      </w:r>
      <w:r>
        <w:br/>
      </w:r>
    </w:p>
    <w:p>
      <w:pPr>
        <w:pStyle w:val="null3"/>
        <w:jc w:val="center"/>
        <w:outlineLvl w:val="2"/>
      </w:pPr>
      <w:r>
        <w:rPr>
          <w:rFonts w:ascii="仿宋_GB2312" w:hAnsi="仿宋_GB2312" w:cs="仿宋_GB2312" w:eastAsia="仿宋_GB2312"/>
          <w:sz w:val="28"/>
          <w:b/>
        </w:rPr>
        <w:t>合阳县农业技术推广中心</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合阳县农业技术推广中心</w:t>
      </w:r>
      <w:r>
        <w:rPr>
          <w:rFonts w:ascii="仿宋_GB2312" w:hAnsi="仿宋_GB2312" w:cs="仿宋_GB2312" w:eastAsia="仿宋_GB2312"/>
        </w:rPr>
        <w:t>委托，拟对</w:t>
      </w:r>
      <w:r>
        <w:rPr>
          <w:rFonts w:ascii="仿宋_GB2312" w:hAnsi="仿宋_GB2312" w:cs="仿宋_GB2312" w:eastAsia="仿宋_GB2312"/>
        </w:rPr>
        <w:t>2026年合阳县小麦“一喷三防”项目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ZCSP-合阳县-2026-00061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2026年合阳县小麦“一喷三防”项目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小麦穗期一次性喷施杀虫剂、杀菌剂、生长调节剂等药剂，达到防病、治虫、增粒重、稳产量的目的，提高病虫害防治率，促进小麦丰产丰收，稳定提高粮食产量。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采购包1（2026年合阳县小麦“一喷三防”项目）：属于专门面向中小企业采购。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1、法定代表人授权书/法定代表人身份证明：法定代表人参与投标时需提供法定代表人身份证明；被授权人参与投标时需提供法定代表人身份证明及法定代表人授权委托书</w:t>
      </w:r>
    </w:p>
    <w:p>
      <w:pPr>
        <w:pStyle w:val="null3"/>
      </w:pPr>
      <w:r>
        <w:rPr>
          <w:rFonts w:ascii="仿宋_GB2312" w:hAnsi="仿宋_GB2312" w:cs="仿宋_GB2312" w:eastAsia="仿宋_GB2312"/>
        </w:rPr>
        <w:t>2、磋商保证金交纳凭证：磋商保证金交纳凭证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合阳县东新街75号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15399311616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任佩华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17719777728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秦股长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13409130025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采购包1：373,400.00元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合阳县农业技术推广中心</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合阳县农业技术推广中心</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联系人：任佩华</w:t>
      </w:r>
    </w:p>
    <w:p>
      <w:pPr>
        <w:pStyle w:val="null3"/>
      </w:pPr>
      <w:r>
        <w:rPr>
          <w:rFonts w:ascii="仿宋_GB2312" w:hAnsi="仿宋_GB2312" w:cs="仿宋_GB2312" w:eastAsia="仿宋_GB2312"/>
        </w:rPr>
        <w:t>联系电话：17719777728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小麦穗期一次性喷施杀虫剂、杀菌剂、生长调节剂等药剂，达到防病、治虫、增粒重、稳产量的目的，提高病虫害防治率，促进小麦丰产丰收，稳定提高粮食产量。</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373,400.00</w:t>
      </w:r>
    </w:p>
    <w:p>
      <w:pPr>
        <w:pStyle w:val="null3"/>
      </w:pPr>
      <w:r>
        <w:rPr>
          <w:rFonts w:ascii="仿宋_GB2312" w:hAnsi="仿宋_GB2312" w:cs="仿宋_GB2312" w:eastAsia="仿宋_GB2312"/>
        </w:rPr>
        <w:t>采购包最高限价（元）: 373,400.00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小麦一喷三防</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373,400.00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标的名称：小麦一喷三防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1.项目概况</w:t>
            </w:r>
          </w:p>
          <w:p>
            <w:pPr>
              <w:pStyle w:val="null3"/>
            </w:pPr>
            <w:r>
              <w:rPr>
                <w:rFonts w:ascii="仿宋_GB2312" w:hAnsi="仿宋_GB2312" w:cs="仿宋_GB2312" w:eastAsia="仿宋_GB2312"/>
              </w:rPr>
              <w:t>小麦穗期一次性喷施杀虫剂、杀菌剂、植物生长调节剂等，达到防病、治虫、增粒重、稳产量的目的，提高病虫害防治率，促进小麦丰产丰收，稳定提高粮食产量。</w:t>
            </w:r>
          </w:p>
          <w:p>
            <w:pPr>
              <w:pStyle w:val="null3"/>
            </w:pPr>
            <w:r>
              <w:rPr>
                <w:rFonts w:ascii="仿宋_GB2312" w:hAnsi="仿宋_GB2312" w:cs="仿宋_GB2312" w:eastAsia="仿宋_GB2312"/>
              </w:rPr>
              <w:t>2.服务内容</w:t>
            </w:r>
          </w:p>
          <w:p>
            <w:pPr>
              <w:pStyle w:val="null3"/>
            </w:pPr>
            <w:r>
              <w:rPr>
                <w:rFonts w:ascii="仿宋_GB2312" w:hAnsi="仿宋_GB2312" w:cs="仿宋_GB2312" w:eastAsia="仿宋_GB2312"/>
              </w:rPr>
              <w:t>建立小麦应急防治示范区，有效防治条锈病、茎基腐病、赤霉病、白粉病、麦穗蚜、吸浆虫等病虫害等。</w:t>
            </w:r>
          </w:p>
          <w:p>
            <w:pPr>
              <w:pStyle w:val="null3"/>
            </w:pPr>
            <w:r>
              <w:rPr>
                <w:rFonts w:ascii="仿宋_GB2312" w:hAnsi="仿宋_GB2312" w:cs="仿宋_GB2312" w:eastAsia="仿宋_GB2312"/>
              </w:rPr>
              <w:t>3.服务面积</w:t>
            </w:r>
          </w:p>
          <w:p>
            <w:pPr>
              <w:pStyle w:val="null3"/>
            </w:pPr>
            <w:r>
              <w:rPr>
                <w:rFonts w:ascii="仿宋_GB2312" w:hAnsi="仿宋_GB2312" w:cs="仿宋_GB2312" w:eastAsia="仿宋_GB2312"/>
              </w:rPr>
              <w:t>14936亩（实际喷施面积以最终喷施亩数为准）</w:t>
            </w:r>
          </w:p>
          <w:p>
            <w:pPr>
              <w:pStyle w:val="null3"/>
            </w:pPr>
            <w:r>
              <w:rPr>
                <w:rFonts w:ascii="仿宋_GB2312" w:hAnsi="仿宋_GB2312" w:cs="仿宋_GB2312" w:eastAsia="仿宋_GB2312"/>
              </w:rPr>
              <w:t>4.药剂使用要求</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药剂名称</w:t>
                  </w:r>
                </w:p>
              </w:tc>
              <w:tc>
                <w:tcPr>
                  <w:tcW w:type="dxa" w:w="511"/>
                </w:tcPr>
                <w:p>
                  <w:pPr>
                    <w:pStyle w:val="null3"/>
                  </w:pPr>
                  <w:r>
                    <w:rPr>
                      <w:rFonts w:ascii="仿宋_GB2312" w:hAnsi="仿宋_GB2312" w:cs="仿宋_GB2312" w:eastAsia="仿宋_GB2312"/>
                    </w:rPr>
                    <w:t>亩用量</w:t>
                  </w:r>
                </w:p>
              </w:tc>
              <w:tc>
                <w:tcPr>
                  <w:tcW w:type="dxa" w:w="511"/>
                </w:tcPr>
                <w:p>
                  <w:pPr>
                    <w:pStyle w:val="null3"/>
                  </w:pPr>
                  <w:r>
                    <w:rPr>
                      <w:rFonts w:ascii="仿宋_GB2312" w:hAnsi="仿宋_GB2312" w:cs="仿宋_GB2312" w:eastAsia="仿宋_GB2312"/>
                    </w:rPr>
                    <w:t>服务面积</w:t>
                  </w:r>
                </w:p>
              </w:tc>
              <w:tc>
                <w:tcPr>
                  <w:tcW w:type="dxa" w:w="511"/>
                </w:tcPr>
                <w:p>
                  <w:pPr>
                    <w:pStyle w:val="null3"/>
                  </w:pPr>
                  <w:r>
                    <w:rPr>
                      <w:rFonts w:ascii="仿宋_GB2312" w:hAnsi="仿宋_GB2312" w:cs="仿宋_GB2312" w:eastAsia="仿宋_GB2312"/>
                    </w:rPr>
                    <w:t>技术指标、参数</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杀虫剂</w:t>
                  </w:r>
                </w:p>
              </w:tc>
              <w:tc>
                <w:tcPr>
                  <w:tcW w:type="dxa" w:w="511"/>
                </w:tcPr>
                <w:p>
                  <w:pPr>
                    <w:pStyle w:val="null3"/>
                  </w:pPr>
                  <w:r>
                    <w:rPr>
                      <w:rFonts w:ascii="仿宋_GB2312" w:hAnsi="仿宋_GB2312" w:cs="仿宋_GB2312" w:eastAsia="仿宋_GB2312"/>
                    </w:rPr>
                    <w:t>每亩用量不低于8ml</w:t>
                  </w:r>
                </w:p>
              </w:tc>
              <w:tc>
                <w:tcPr>
                  <w:tcW w:type="dxa" w:w="511"/>
                </w:tcPr>
                <w:p>
                  <w:pPr>
                    <w:pStyle w:val="null3"/>
                  </w:pPr>
                  <w:r>
                    <w:rPr>
                      <w:rFonts w:ascii="仿宋_GB2312" w:hAnsi="仿宋_GB2312" w:cs="仿宋_GB2312" w:eastAsia="仿宋_GB2312"/>
                    </w:rPr>
                    <w:t xml:space="preserve"> 按农业部登记药剂的推荐剂量，约14936亩。</w:t>
                  </w:r>
                </w:p>
              </w:tc>
              <w:tc>
                <w:tcPr>
                  <w:tcW w:type="dxa" w:w="511"/>
                </w:tcPr>
                <w:p>
                  <w:pPr>
                    <w:pStyle w:val="null3"/>
                  </w:pPr>
                  <w:r>
                    <w:rPr>
                      <w:rFonts w:ascii="仿宋_GB2312" w:hAnsi="仿宋_GB2312" w:cs="仿宋_GB2312" w:eastAsia="仿宋_GB2312"/>
                    </w:rPr>
                    <w:t>联苯·噻虫嗪</w:t>
                  </w:r>
                </w:p>
                <w:p>
                  <w:pPr>
                    <w:pStyle w:val="null3"/>
                  </w:pPr>
                  <w:r>
                    <w:rPr>
                      <w:rFonts w:ascii="仿宋_GB2312" w:hAnsi="仿宋_GB2312" w:cs="仿宋_GB2312" w:eastAsia="仿宋_GB2312"/>
                    </w:rPr>
                    <w:t>含量：≥20%</w:t>
                  </w:r>
                </w:p>
                <w:p>
                  <w:pPr>
                    <w:pStyle w:val="null3"/>
                  </w:pPr>
                  <w:r>
                    <w:rPr>
                      <w:rFonts w:ascii="仿宋_GB2312" w:hAnsi="仿宋_GB2312" w:cs="仿宋_GB2312" w:eastAsia="仿宋_GB2312"/>
                    </w:rPr>
                    <w:t>剂型：悬浮剂</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杀菌剂</w:t>
                  </w:r>
                </w:p>
              </w:tc>
              <w:tc>
                <w:tcPr>
                  <w:tcW w:type="dxa" w:w="511"/>
                </w:tcPr>
                <w:p>
                  <w:pPr>
                    <w:pStyle w:val="null3"/>
                  </w:pPr>
                  <w:r>
                    <w:rPr>
                      <w:rFonts w:ascii="仿宋_GB2312" w:hAnsi="仿宋_GB2312" w:cs="仿宋_GB2312" w:eastAsia="仿宋_GB2312"/>
                    </w:rPr>
                    <w:t>每亩用量不低于40ml</w:t>
                  </w:r>
                </w:p>
              </w:tc>
              <w:tc>
                <w:tcPr>
                  <w:tcW w:type="dxa" w:w="511"/>
                </w:tcPr>
                <w:p>
                  <w:pPr>
                    <w:pStyle w:val="null3"/>
                  </w:pPr>
                  <w:r>
                    <w:rPr>
                      <w:rFonts w:ascii="仿宋_GB2312" w:hAnsi="仿宋_GB2312" w:cs="仿宋_GB2312" w:eastAsia="仿宋_GB2312"/>
                    </w:rPr>
                    <w:t>按农业部登记药剂的推荐剂量，约14936亩。</w:t>
                  </w:r>
                </w:p>
              </w:tc>
              <w:tc>
                <w:tcPr>
                  <w:tcW w:type="dxa" w:w="511"/>
                </w:tcPr>
                <w:p>
                  <w:pPr>
                    <w:pStyle w:val="null3"/>
                  </w:pPr>
                  <w:r>
                    <w:rPr>
                      <w:rFonts w:ascii="仿宋_GB2312" w:hAnsi="仿宋_GB2312" w:cs="仿宋_GB2312" w:eastAsia="仿宋_GB2312"/>
                    </w:rPr>
                    <w:t>丙硫菌唑·戊唑醇；</w:t>
                  </w:r>
                </w:p>
                <w:p>
                  <w:pPr>
                    <w:pStyle w:val="null3"/>
                  </w:pPr>
                  <w:r>
                    <w:rPr>
                      <w:rFonts w:ascii="仿宋_GB2312" w:hAnsi="仿宋_GB2312" w:cs="仿宋_GB2312" w:eastAsia="仿宋_GB2312"/>
                    </w:rPr>
                    <w:t>含量：≥40%</w:t>
                  </w:r>
                </w:p>
                <w:p>
                  <w:pPr>
                    <w:pStyle w:val="null3"/>
                  </w:pPr>
                  <w:r>
                    <w:rPr>
                      <w:rFonts w:ascii="仿宋_GB2312" w:hAnsi="仿宋_GB2312" w:cs="仿宋_GB2312" w:eastAsia="仿宋_GB2312"/>
                    </w:rPr>
                    <w:t>剂型：悬浮剂</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叶面肥</w:t>
                  </w:r>
                </w:p>
              </w:tc>
              <w:tc>
                <w:tcPr>
                  <w:tcW w:type="dxa" w:w="511"/>
                </w:tcPr>
                <w:p>
                  <w:pPr>
                    <w:pStyle w:val="null3"/>
                  </w:pPr>
                  <w:r>
                    <w:rPr>
                      <w:rFonts w:ascii="仿宋_GB2312" w:hAnsi="仿宋_GB2312" w:cs="仿宋_GB2312" w:eastAsia="仿宋_GB2312"/>
                    </w:rPr>
                    <w:t>每亩用量不低于100g</w:t>
                  </w:r>
                </w:p>
              </w:tc>
              <w:tc>
                <w:tcPr>
                  <w:tcW w:type="dxa" w:w="511"/>
                </w:tcPr>
                <w:p>
                  <w:pPr>
                    <w:pStyle w:val="null3"/>
                  </w:pPr>
                  <w:r>
                    <w:rPr>
                      <w:rFonts w:ascii="仿宋_GB2312" w:hAnsi="仿宋_GB2312" w:cs="仿宋_GB2312" w:eastAsia="仿宋_GB2312"/>
                    </w:rPr>
                    <w:t>按农业部登记药剂的推荐剂量，约14936亩。</w:t>
                  </w:r>
                </w:p>
              </w:tc>
              <w:tc>
                <w:tcPr>
                  <w:tcW w:type="dxa" w:w="511"/>
                </w:tcPr>
                <w:p>
                  <w:pPr>
                    <w:pStyle w:val="null3"/>
                  </w:pPr>
                  <w:r>
                    <w:rPr>
                      <w:rFonts w:ascii="仿宋_GB2312" w:hAnsi="仿宋_GB2312" w:cs="仿宋_GB2312" w:eastAsia="仿宋_GB2312"/>
                    </w:rPr>
                    <w:t>磷酸二氢钾</w:t>
                  </w:r>
                </w:p>
                <w:p>
                  <w:pPr>
                    <w:pStyle w:val="null3"/>
                  </w:pPr>
                  <w:r>
                    <w:rPr>
                      <w:rFonts w:ascii="仿宋_GB2312" w:hAnsi="仿宋_GB2312" w:cs="仿宋_GB2312" w:eastAsia="仿宋_GB2312"/>
                    </w:rPr>
                    <w:t>含量：≥99%</w:t>
                  </w:r>
                </w:p>
                <w:p>
                  <w:pPr>
                    <w:pStyle w:val="null3"/>
                  </w:pPr>
                  <w:r>
                    <w:rPr>
                      <w:rFonts w:ascii="仿宋_GB2312" w:hAnsi="仿宋_GB2312" w:cs="仿宋_GB2312" w:eastAsia="仿宋_GB2312"/>
                    </w:rPr>
                    <w:t>剂型：膨化型</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生长调节剂</w:t>
                  </w:r>
                </w:p>
              </w:tc>
              <w:tc>
                <w:tcPr>
                  <w:tcW w:type="dxa" w:w="511"/>
                </w:tcPr>
                <w:p>
                  <w:pPr>
                    <w:pStyle w:val="null3"/>
                  </w:pPr>
                  <w:r>
                    <w:rPr>
                      <w:rFonts w:ascii="仿宋_GB2312" w:hAnsi="仿宋_GB2312" w:cs="仿宋_GB2312" w:eastAsia="仿宋_GB2312"/>
                    </w:rPr>
                    <w:t>每亩有效成份含量不低于10ml</w:t>
                  </w:r>
                </w:p>
              </w:tc>
              <w:tc>
                <w:tcPr>
                  <w:tcW w:type="dxa" w:w="511"/>
                </w:tcPr>
                <w:p>
                  <w:pPr>
                    <w:pStyle w:val="null3"/>
                  </w:pPr>
                  <w:r>
                    <w:rPr>
                      <w:rFonts w:ascii="仿宋_GB2312" w:hAnsi="仿宋_GB2312" w:cs="仿宋_GB2312" w:eastAsia="仿宋_GB2312"/>
                    </w:rPr>
                    <w:t>按农业部登记药剂的推荐剂量，约14936亩。</w:t>
                  </w:r>
                </w:p>
              </w:tc>
              <w:tc>
                <w:tcPr>
                  <w:tcW w:type="dxa" w:w="511"/>
                </w:tcPr>
                <w:p>
                  <w:pPr>
                    <w:pStyle w:val="null3"/>
                  </w:pPr>
                  <w:r>
                    <w:rPr>
                      <w:rFonts w:ascii="仿宋_GB2312" w:hAnsi="仿宋_GB2312" w:cs="仿宋_GB2312" w:eastAsia="仿宋_GB2312"/>
                    </w:rPr>
                    <w:t>14-羟基芸苔素甾醇；</w:t>
                  </w:r>
                </w:p>
                <w:p>
                  <w:pPr>
                    <w:pStyle w:val="null3"/>
                  </w:pPr>
                  <w:r>
                    <w:rPr>
                      <w:rFonts w:ascii="仿宋_GB2312" w:hAnsi="仿宋_GB2312" w:cs="仿宋_GB2312" w:eastAsia="仿宋_GB2312"/>
                    </w:rPr>
                    <w:t>含量：≥0.01%</w:t>
                  </w:r>
                </w:p>
                <w:p>
                  <w:pPr>
                    <w:pStyle w:val="null3"/>
                  </w:pPr>
                  <w:r>
                    <w:rPr>
                      <w:rFonts w:ascii="仿宋_GB2312" w:hAnsi="仿宋_GB2312" w:cs="仿宋_GB2312" w:eastAsia="仿宋_GB2312"/>
                    </w:rPr>
                    <w:t>剂型：可溶液剂；</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助剂</w:t>
                  </w:r>
                </w:p>
              </w:tc>
              <w:tc>
                <w:tcPr>
                  <w:tcW w:type="dxa" w:w="511"/>
                </w:tcPr>
                <w:p>
                  <w:pPr>
                    <w:pStyle w:val="null3"/>
                  </w:pPr>
                  <w:r>
                    <w:rPr>
                      <w:rFonts w:ascii="仿宋_GB2312" w:hAnsi="仿宋_GB2312" w:cs="仿宋_GB2312" w:eastAsia="仿宋_GB2312"/>
                    </w:rPr>
                    <w:t>每亩用量不低于10ml</w:t>
                  </w:r>
                </w:p>
              </w:tc>
              <w:tc>
                <w:tcPr>
                  <w:tcW w:type="dxa" w:w="511"/>
                </w:tcPr>
                <w:p>
                  <w:pPr>
                    <w:pStyle w:val="null3"/>
                  </w:pPr>
                  <w:r>
                    <w:rPr>
                      <w:rFonts w:ascii="仿宋_GB2312" w:hAnsi="仿宋_GB2312" w:cs="仿宋_GB2312" w:eastAsia="仿宋_GB2312"/>
                    </w:rPr>
                    <w:t>按农业部登记药剂的推荐剂量，约14936亩。</w:t>
                  </w:r>
                </w:p>
              </w:tc>
              <w:tc>
                <w:tcPr>
                  <w:tcW w:type="dxa" w:w="511"/>
                </w:tcPr>
                <w:p>
                  <w:pPr>
                    <w:pStyle w:val="null3"/>
                  </w:pPr>
                  <w:r>
                    <w:rPr>
                      <w:rFonts w:ascii="仿宋_GB2312" w:hAnsi="仿宋_GB2312" w:cs="仿宋_GB2312" w:eastAsia="仿宋_GB2312"/>
                    </w:rPr>
                    <w:t>农用飞防增效助剂</w:t>
                  </w:r>
                </w:p>
                <w:p>
                  <w:pPr>
                    <w:pStyle w:val="null3"/>
                  </w:pPr>
                  <w:r>
                    <w:rPr>
                      <w:rFonts w:ascii="仿宋_GB2312" w:hAnsi="仿宋_GB2312" w:cs="仿宋_GB2312" w:eastAsia="仿宋_GB2312"/>
                    </w:rPr>
                    <w:t>剂型：水剂</w:t>
                  </w:r>
                </w:p>
              </w:tc>
            </w:tr>
            <w:tr>
              <w:tc>
                <w:tcPr>
                  <w:tcW w:type="dxa" w:w="2555"/>
                  <w:gridSpan w:val="5"/>
                </w:tcPr>
                <w:p>
                  <w:pPr>
                    <w:pStyle w:val="null3"/>
                  </w:pPr>
                  <w:r>
                    <w:rPr>
                      <w:rFonts w:ascii="仿宋_GB2312" w:hAnsi="仿宋_GB2312" w:cs="仿宋_GB2312" w:eastAsia="仿宋_GB2312"/>
                    </w:rPr>
                    <w:t>注:本次药剂使用数量根据面积配备，采购杀虫剂+杀菌剂+叶面肥+生长调节剂+助剂，配备的每种药剂亩用量须符合农业农村部登记药剂的推荐剂量。</w:t>
                  </w:r>
                </w:p>
              </w:tc>
            </w:tr>
          </w:tbl>
          <w:p>
            <w:pPr>
              <w:pStyle w:val="null3"/>
            </w:pPr>
            <w:r>
              <w:rPr>
                <w:rFonts w:ascii="仿宋_GB2312" w:hAnsi="仿宋_GB2312" w:cs="仿宋_GB2312" w:eastAsia="仿宋_GB2312"/>
              </w:rPr>
              <w:t>5.服务要求</w:t>
            </w:r>
          </w:p>
          <w:p>
            <w:pPr>
              <w:pStyle w:val="null3"/>
            </w:pPr>
            <w:r>
              <w:rPr>
                <w:rFonts w:ascii="仿宋_GB2312" w:hAnsi="仿宋_GB2312" w:cs="仿宋_GB2312" w:eastAsia="仿宋_GB2312"/>
              </w:rPr>
              <w:t>（1）以机械为主的植保器械，作业能力强，制度健全，管理规范。</w:t>
            </w:r>
          </w:p>
          <w:p>
            <w:pPr>
              <w:pStyle w:val="null3"/>
            </w:pPr>
            <w:r>
              <w:rPr>
                <w:rFonts w:ascii="仿宋_GB2312" w:hAnsi="仿宋_GB2312" w:cs="仿宋_GB2312" w:eastAsia="仿宋_GB2312"/>
              </w:rPr>
              <w:t>（2）针对2026年小麦病虫特点及生长性状，防效达到95％以上。</w:t>
            </w:r>
          </w:p>
          <w:p>
            <w:pPr>
              <w:pStyle w:val="null3"/>
            </w:pPr>
            <w:r>
              <w:rPr>
                <w:rFonts w:ascii="仿宋_GB2312" w:hAnsi="仿宋_GB2312" w:cs="仿宋_GB2312" w:eastAsia="仿宋_GB2312"/>
              </w:rPr>
              <w:t>（3）选择的药剂要符合国家标准，三证齐全，高效低毒、安全环保。</w:t>
            </w:r>
          </w:p>
          <w:p>
            <w:pPr>
              <w:pStyle w:val="null3"/>
            </w:pPr>
            <w:r>
              <w:rPr>
                <w:rFonts w:ascii="仿宋_GB2312" w:hAnsi="仿宋_GB2312" w:cs="仿宋_GB2312" w:eastAsia="仿宋_GB2312"/>
              </w:rPr>
              <w:t>（4）要在防治的关键时期完成防治任务，总体防效达95%以上，危害损失率控制在3%以内。</w:t>
            </w:r>
          </w:p>
          <w:p>
            <w:pPr>
              <w:pStyle w:val="null3"/>
            </w:pPr>
            <w:r>
              <w:rPr>
                <w:rFonts w:ascii="仿宋_GB2312" w:hAnsi="仿宋_GB2312" w:cs="仿宋_GB2312" w:eastAsia="仿宋_GB2312"/>
              </w:rPr>
              <w:t>6.本项目总价最高限价：373400.00元；单价最高限价：防治服务（含药剂）：25元/亩。磋商总价及单价均不应超过最高限价，若超过最高限价，其响应文件按无效处理。</w:t>
            </w:r>
          </w:p>
          <w:p>
            <w:pPr>
              <w:pStyle w:val="null3"/>
            </w:pPr>
            <w:r>
              <w:rPr>
                <w:rFonts w:ascii="仿宋_GB2312" w:hAnsi="仿宋_GB2312" w:cs="仿宋_GB2312" w:eastAsia="仿宋_GB2312"/>
              </w:rPr>
              <w:t>注：本项目最终结算价款=成交综合单价×实际喷施亩数；成交综合单价=最终磋商报价（总价）÷14936亩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后，供应商派驻一名项目负责人，一名技术负责人对作业过程中作业进度、服务质量、作业人员管理进行总协调，确保技术措施的落实，按时参加采购人组织的相关会议和活动，服从采购人的工作制度和工作规范。2.人员配备合理。有针对本项目的专项服务小组，项目负责人、工作人员分工明确（应有具体成员名单，包括姓名、工作职责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1.农药选择：选择三证齐全（农药登记证、农药生产批准证、企业标准），符合国家《农药安全使用标准》、《农药合理使用准则》和农药安全使用规范总则的农药产品。 2.成交后，供应商向采购人提供项目作业计划和安全责任协议等，其内容包括管理机构的设置、各主要岗位的技术和管理员名单、资质、联系方式及各工种技术工人的安排、项目实施进度安排、技术措施等状况。 3.严格按照服务要求进行作业，作业前按项目要求筹备各项防治器械、材料、工具等，按技术规定进行作业。 4.协助采购人及时组织召开检查验收、防治效果评价和防治竣工验收工作会议。 5.成交供应商向采购人提交施工作业过程性资料和防效报告，按相关要求执行。 6.有各类突发事件的应急预案和措施，有明确具体的承诺。</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渭南市合阳县（采购人指定地点）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1.质量标准：防治服务达到国家及行业验收合格标准。 2.存在未防、漏防、防治效果未达到项目要求的，立即进行人工地面补防，如因未防、漏防、飞防未达到要求的或造成损失的，由供应商承担相应的法律责任。 3.本项目由采购人及相关部门定期对项目进行阶段性验收。 4.验收标准：按采购文件、投标文件及澄清函、项目检查情况等综合指标进行验收。各项指标均应符合验收标准及要求。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服务结束后经采购人邀请相关部门验收合格后，一次性付支付合同总价款的100%。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的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应商的违法行为进行相应的处罚。 （二）其他未尽事宜，按《中华人民共和国民法典》中的相关条款执行。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纸质版文件要求：中标（成交）供应商在中标（成交）结果公告发布后3个工作日内提供叁套纸质投标文件（经编标工具生成的文件直接打印并胶装成册），递交的纸质版文件内容确保与线上电子文件保持一致，不允许修改和补充。同时须提供最终磋商报价明细（分项报价表）一份。（2）根据《政府采购法实施条例》释义，银行、保险、石油石化、电力、电信等有行业特殊情况的，允许法人的分支机构参加政府采购活动；（3）本项目专门面向中小企业采购，本项目所属行业：农、林、牧、渔业，根据关于印发中小企业划型标准规定的通知 （工信部联企业〔2011〕300号）中小企业划型标准规定：（一）农、林、牧、渔业。营业收入20000万元以下的为中小微型企业。其中，营业收入500万元及以上的为中型企业，营业收入50万元及以上的为小型企业，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供应商需提供合法有效，具有独立承担民事责任的能力且具备向采购人提供相关服务的证明资料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投标文件截止时间前六个月内其基本账户银行出具的资信证明（附基本账户证明）或政府采购信用担保机构出具的投标担保函； 税收缴纳证明：提供投标文件递交截止时间前一年内任意一个月的缴费凭据；依法免税的应提供相关文件证明； 社会保障资金缴纳证明：提供投标文件递交截止时间前一年内任意一个月的社保缴费凭据或社保机构开具的社会保险参保缴费情况证明；依法不需要缴纳社会保障资金的供应商应提供相关文件证明；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招标文件格式要求出具承诺书，提供相关证明材料不需要提供本承诺书；若同时提供证明材料与承诺书，评审时以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提供具有履行本合同所必需的设备和专业技术能力的承诺；（格式自拟）</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参加政府采购活动前三年内在经营活动中无重大违法记录的承诺；（格式自拟）</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本项目专门面向中小企业采购，参与的供应商服务全部由符合政策要求的中小企业承接。本项目所属行业：农、林、牧、渔业。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法定代表人参与投标时需提供法定代表人身份证明；被授权人参与投标时需提供法定代表人身份证明及法定代表人授权委托书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服务内容及服务邀请应答表 供应商其它资料.docx 中小企业声明函 商务应答表 报价表 资格证明文件.docx 响应文件封面 政府采购供应商拒绝政府采购领域商业贿赂承诺书.docx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服务内容及服务邀请应答表 供应商其它资料.docx 中小企业声明函 商务应答表 报价表 资格证明文件.docx 响应文件封面 政府采购供应商拒绝政府采购领域商业贿赂承诺书.docx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无其他做无效磋商处理的情况</w:t>
            </w:r>
          </w:p>
        </w:tc>
        <w:tc>
          <w:tcPr>
            <w:tcW w:type="dxa" w:w="1661"/>
          </w:tcPr>
          <w:p>
            <w:pPr>
              <w:pStyle w:val="null3"/>
            </w:pPr>
            <w:r>
              <w:rPr>
                <w:rFonts w:ascii="仿宋_GB2312" w:hAnsi="仿宋_GB2312" w:cs="仿宋_GB2312" w:eastAsia="仿宋_GB2312"/>
              </w:rPr>
              <w:t>服务内容及服务邀请应答表 供应商其它资料.docx 中小企业声明函 商务应答表 报价表 资格证明文件.docx 响应文件封面 政府采购供应商拒绝政府采购领域商业贿赂承诺书.docx 分项报价表.docx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 供应商针对本项目制定的总体方案，包含①项目需求理解；②作业进度安排；③技术组织保障措施；④整体管理措施。 评审标准： 每一条评审内容不存在缺陷得3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作业方法</w:t>
            </w:r>
          </w:p>
        </w:tc>
        <w:tc>
          <w:tcPr>
            <w:tcW w:type="dxa" w:w="2492"/>
          </w:tcPr>
          <w:p>
            <w:pPr>
              <w:pStyle w:val="null3"/>
            </w:pPr>
            <w:r>
              <w:rPr>
                <w:rFonts w:ascii="仿宋_GB2312" w:hAnsi="仿宋_GB2312" w:cs="仿宋_GB2312" w:eastAsia="仿宋_GB2312"/>
              </w:rPr>
              <w:t>评审内容： 方案包含①作业器械选择方案；②无人机作业方案；③水肥一体化作业方法。 评审标准： 按照供应商编制内容依据评审标准每项得3分；每有一项内容出现一处存在缺陷的扣0.5分，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供应商针对本项目制定的总体方案，包含①作业面的划分；②病虫害防治； ③人员培训方案；④人员职责划分。评审标准： 每一条评审内容不存在缺陷得3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 质量保证措施包含①服务质量保障体系；②肥料用量标准；③效果验收措施。 评审标准： 按照供应商编制内容依据评审标准每项得3分；每有一项内容出现一处存在缺陷的扣0.5分，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评审内容： 包含：①在作业过程中出现突发问题的应急处置方案；②应急响应时间；③出现突发状况应急人员安排。 评审标准： 按照供应商编制内容依据评审标准每项得3分；每有一项内容出现一处存在缺陷的扣0.5分，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评审内容： 包含：①在作业过程中人员安全保障措施；②作业环境安全防范；③肥料使用安全保障。 评审标准： 按照供应商编制内容依据评审标准每项得3分；每有一项内容出现一处存在缺陷的扣0.5分，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其他人员配备情况</w:t>
            </w:r>
          </w:p>
        </w:tc>
        <w:tc>
          <w:tcPr>
            <w:tcW w:type="dxa" w:w="2492"/>
          </w:tcPr>
          <w:p>
            <w:pPr>
              <w:pStyle w:val="null3"/>
            </w:pPr>
            <w:r>
              <w:rPr>
                <w:rFonts w:ascii="仿宋_GB2312" w:hAnsi="仿宋_GB2312" w:cs="仿宋_GB2312" w:eastAsia="仿宋_GB2312"/>
              </w:rPr>
              <w:t>项目组人员中（项目负责人除外）每具有一个农业方面专业技术人员得1分，本项最高得6分。提供人员专业技术能力证明材料，未提供不得分。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供应商针对本项目制定的总体方案，包含①服务中严格按照国家及行业标准进行服务；②配合采购人进行汇报、验收、必要的外勤配合等工作；③及时响应本服务中采购人所需的远程指导及协助需求等施。 评审标准： 每一条评审内容不存在缺陷得3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拟派项目负责人具有农业类相关专业高级证书得2分；具有农业类相关专业中级证书得1分。提供人员专业技术能力证明材料，未提供不得分。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满足磋商文件要求且最后投标总报价最低的投标人的价格为基准价得20分，其他各投标人的最后报价得分按下列公式计算： 投标报价得分=（投标基准价/最后投标报价）×20%×100。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详见附件：供应商其它资料.docx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