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版本号：ZJGS-ZB-2026（43）.1B120260723001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学生宿舍用电系统改造(二次)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ZJGS-ZB-2026（43）.1B1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学生宿舍用电系统改造(二次)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ZJGS-ZB-2026（43）.1B1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学生宿舍用电系统改造(二次)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含港务校区、临潼校区、龙首校区、自强校区全部学生公寓宿舍用电回路改造、双回路计费电表/通讯网关、表箱、配电线路敷设、通讯布线、临潼、龙首、自强校区超市与港务校区水房计费电表改造、后台计费能耗管理系统平台建设等全部改造内容，统筹搭建四校区统一学生宿舍用电计费能耗管理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的能力：具有独立承担民事责任能力的法人、其他组织或自然人，并出具合法有效的营业执照或事业单位法人证书等国家规定的相关证明，自然人参与的提供其身份证明；(评审依据：附供应商加盖公章的复印件或扫描件)</w:t>
      </w:r>
    </w:p>
    <w:p>
      <w:pPr>
        <w:pStyle w:val="null3"/>
      </w:pPr>
      <w:r>
        <w:rPr>
          <w:rFonts w:ascii="仿宋_GB2312" w:hAnsi="仿宋_GB2312" w:cs="仿宋_GB2312" w:eastAsia="仿宋_GB2312"/>
        </w:rPr>
        <w:t>2、依法缴纳税收证明资料：提供2025年7月至今任意一个月依法缴纳税收的证明，依法免税的应提供相关证明文件；(评审依据：附供应商加盖公章的复印件或扫描件)</w:t>
      </w:r>
    </w:p>
    <w:p>
      <w:pPr>
        <w:pStyle w:val="null3"/>
      </w:pPr>
      <w:r>
        <w:rPr>
          <w:rFonts w:ascii="仿宋_GB2312" w:hAnsi="仿宋_GB2312" w:cs="仿宋_GB2312" w:eastAsia="仿宋_GB2312"/>
        </w:rPr>
        <w:t>3、依法缴纳社会保险证明资料：提供2025年7月至今任意一个月依法缴纳社会保险的证明，依法不需要缴纳社会保障资金的应提供相关证明文件；(评审依据：附供应商加盖公章的复印件或扫描件)</w:t>
      </w:r>
    </w:p>
    <w:p>
      <w:pPr>
        <w:pStyle w:val="null3"/>
      </w:pPr>
      <w:r>
        <w:rPr>
          <w:rFonts w:ascii="仿宋_GB2312" w:hAnsi="仿宋_GB2312" w:cs="仿宋_GB2312" w:eastAsia="仿宋_GB2312"/>
        </w:rPr>
        <w:t>4、法定授权书：法定代表人直接参加磋商的，须出具法定代表人身份证明。授权代表参加磋商的，须出具法定代表人授权书并附法定代表人身份证明，提供委托代理人在本单位开标前三个月至少一个月的基本养老保险参保缴费证明；(评审依据：附供应商加盖公章的复印件或扫描件)</w:t>
      </w:r>
    </w:p>
    <w:p>
      <w:pPr>
        <w:pStyle w:val="null3"/>
      </w:pPr>
      <w:r>
        <w:rPr>
          <w:rFonts w:ascii="仿宋_GB2312" w:hAnsi="仿宋_GB2312" w:cs="仿宋_GB2312" w:eastAsia="仿宋_GB2312"/>
        </w:rPr>
        <w:t>5、财务状况：提供赋码的2024年度或2025年度财务审计报告（提供的财务审计报告需在注册会计师行业统一监管平台（http：//acc.mof.gov.cn/）可查询）或其基本存款账户开户银行出具的开标前三个月内资信证明及基本存款账户的开户证明；(评审依据：附供应商加盖公章的复印件或扫描件)</w:t>
      </w:r>
    </w:p>
    <w:p>
      <w:pPr>
        <w:pStyle w:val="null3"/>
      </w:pPr>
      <w:r>
        <w:rPr>
          <w:rFonts w:ascii="仿宋_GB2312" w:hAnsi="仿宋_GB2312" w:cs="仿宋_GB2312" w:eastAsia="仿宋_GB2312"/>
        </w:rPr>
        <w:t>6、企业资质：供应商须具备建设行政主管部门颁发的电子与智能化工程专业承包二级或建筑机电安装工程专业承包二级及以上资质，同时具有有效的安全生产许可证。(评审依据：附供应商加盖公章的复印件或扫描件)</w:t>
      </w:r>
    </w:p>
    <w:p>
      <w:pPr>
        <w:pStyle w:val="null3"/>
      </w:pPr>
      <w:r>
        <w:rPr>
          <w:rFonts w:ascii="仿宋_GB2312" w:hAnsi="仿宋_GB2312" w:cs="仿宋_GB2312" w:eastAsia="仿宋_GB2312"/>
        </w:rPr>
        <w:t>7、项目经理资质：拟派本工程项目经理须具备机电工程专业一级注册建造师资格，同时具有合格有效的安全生产考核合格证（B证）,本单位注册且无在建工程。(评审依据：附供应商加盖公章的复印件或扫描件)</w:t>
      </w:r>
    </w:p>
    <w:p>
      <w:pPr>
        <w:pStyle w:val="null3"/>
      </w:pPr>
      <w:r>
        <w:rPr>
          <w:rFonts w:ascii="仿宋_GB2312" w:hAnsi="仿宋_GB2312" w:cs="仿宋_GB2312" w:eastAsia="仿宋_GB2312"/>
        </w:rPr>
        <w:t>8、无重大违法记录：参加政府采购活动前三年内在经营活动中没有重大违法记录的书面声明；(评审依据：附供应商加盖公章的书面声明)</w:t>
      </w:r>
    </w:p>
    <w:p>
      <w:pPr>
        <w:pStyle w:val="null3"/>
      </w:pPr>
      <w:r>
        <w:rPr>
          <w:rFonts w:ascii="仿宋_GB2312" w:hAnsi="仿宋_GB2312" w:cs="仿宋_GB2312" w:eastAsia="仿宋_GB2312"/>
        </w:rPr>
        <w:t>9、承诺：供应商须提供具有履行合同所必需的设备和专业技术能力的承诺；(评审依据：附供应商加盖公章的承诺)</w:t>
      </w:r>
    </w:p>
    <w:p>
      <w:pPr>
        <w:pStyle w:val="null3"/>
      </w:pPr>
      <w:r>
        <w:rPr>
          <w:rFonts w:ascii="仿宋_GB2312" w:hAnsi="仿宋_GB2312" w:cs="仿宋_GB2312" w:eastAsia="仿宋_GB2312"/>
        </w:rPr>
        <w:t>10、信用查询：供应商不得为“信用中国”网站中被列入失信被执行人、重大税收违法失信主体名单，不得被列为“中国政府采购网”中政府采购严重违法失信行为记录名单，以开标当日现场查询结果截图形式留存；(评审依据：开标当日现场查询结果)</w:t>
      </w:r>
    </w:p>
    <w:p>
      <w:pPr>
        <w:pStyle w:val="null3"/>
      </w:pPr>
      <w:r>
        <w:rPr>
          <w:rFonts w:ascii="仿宋_GB2312" w:hAnsi="仿宋_GB2312" w:cs="仿宋_GB2312" w:eastAsia="仿宋_GB2312"/>
        </w:rPr>
        <w:t>11、其他：单位负责人为同一人或者存在控股、管理关系的不同单位不得同时参加磋商。(评审依据：附供应商加盖公章的说明)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18092237582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西安市未央区汉城街道凤城十一路与文景路交汇处文景商务广场C座18楼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陈永存、李彤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18829517279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采购包1：1,607,600.00元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说明：占政府采购合同金额的5%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代理服务费收费标准：招标代理服务费根据国家计委关于印发《代理服务收费管理暂行办法的通知》（计价格[2002]1980 号）、《国家发展改革委办公厅关于招标代理服务收费有关问题的通知》（发改办价格〔2003〕857 号）以及《国家发展改革委关于降低部分建设项目收费标准规范收费行为等有关问题的通知》(发改价格〔2011〕534 号)规定的标准下浮15%计取。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本工程质量严格按照国家、行业、地方现行施工质量验收规范、标准及设计图纸要求施工，工程质量达到合格标准，顺利通过竣工验收及相关主管部门、审计部门核查。</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联系人：陈永存、李彤</w:t>
      </w:r>
    </w:p>
    <w:p>
      <w:pPr>
        <w:pStyle w:val="null3"/>
      </w:pPr>
      <w:r>
        <w:rPr>
          <w:rFonts w:ascii="仿宋_GB2312" w:hAnsi="仿宋_GB2312" w:cs="仿宋_GB2312" w:eastAsia="仿宋_GB2312"/>
        </w:rPr>
        <w:t>联系电话：18829517279</w:t>
      </w:r>
    </w:p>
    <w:p>
      <w:pPr>
        <w:pStyle w:val="null3"/>
      </w:pPr>
      <w:r>
        <w:rPr>
          <w:rFonts w:ascii="仿宋_GB2312" w:hAnsi="仿宋_GB2312" w:cs="仿宋_GB2312" w:eastAsia="仿宋_GB2312"/>
        </w:rPr>
        <w:t>地址：西安市未央区汉城街道凤城十一路与文景路交汇处文景商务广场C座18楼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1,607,600.00</w:t>
      </w:r>
    </w:p>
    <w:p>
      <w:pPr>
        <w:pStyle w:val="null3"/>
      </w:pPr>
      <w:r>
        <w:rPr>
          <w:rFonts w:ascii="仿宋_GB2312" w:hAnsi="仿宋_GB2312" w:cs="仿宋_GB2312" w:eastAsia="仿宋_GB2312"/>
        </w:rPr>
        <w:t>采购包最高限价（元）: 1,607,600.00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学生宿舍用电系统改造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1,607,600.00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标的名称：学生宿舍用电系统改造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一、工程概况</w:t>
            </w:r>
          </w:p>
          <w:p>
            <w:pPr>
              <w:pStyle w:val="null3"/>
            </w:pPr>
            <w:r>
              <w:rPr>
                <w:rFonts w:ascii="仿宋_GB2312" w:hAnsi="仿宋_GB2312" w:cs="仿宋_GB2312" w:eastAsia="仿宋_GB2312"/>
              </w:rPr>
              <w:t>（一）</w:t>
            </w:r>
            <w:r>
              <w:rPr>
                <w:rFonts w:ascii="仿宋_GB2312" w:hAnsi="仿宋_GB2312" w:cs="仿宋_GB2312" w:eastAsia="仿宋_GB2312"/>
              </w:rPr>
              <w:t>项目名称：学生宿舍用电系统改造</w:t>
            </w:r>
          </w:p>
          <w:p>
            <w:pPr>
              <w:pStyle w:val="null3"/>
            </w:pPr>
            <w:r>
              <w:rPr>
                <w:rFonts w:ascii="仿宋_GB2312" w:hAnsi="仿宋_GB2312" w:cs="仿宋_GB2312" w:eastAsia="仿宋_GB2312"/>
              </w:rPr>
              <w:t>（二）</w:t>
            </w:r>
            <w:r>
              <w:rPr>
                <w:rFonts w:ascii="仿宋_GB2312" w:hAnsi="仿宋_GB2312" w:cs="仿宋_GB2312" w:eastAsia="仿宋_GB2312"/>
              </w:rPr>
              <w:t>计价依据：执行《陕西省</w:t>
            </w:r>
            <w:r>
              <w:rPr>
                <w:rFonts w:ascii="仿宋_GB2312" w:hAnsi="仿宋_GB2312" w:cs="仿宋_GB2312" w:eastAsia="仿宋_GB2312"/>
              </w:rPr>
              <w:t>2025计价标准》《陕西省2025序列定额》，工程地区执行全省（延安、榆林除外）标准，计税方式采用增值税一般计税方法。</w:t>
            </w:r>
          </w:p>
          <w:p>
            <w:pPr>
              <w:pStyle w:val="null3"/>
            </w:pPr>
            <w:r>
              <w:rPr>
                <w:rFonts w:ascii="仿宋_GB2312" w:hAnsi="仿宋_GB2312" w:cs="仿宋_GB2312" w:eastAsia="仿宋_GB2312"/>
              </w:rPr>
              <w:t>（三）</w:t>
            </w:r>
            <w:r>
              <w:rPr>
                <w:rFonts w:ascii="仿宋_GB2312" w:hAnsi="仿宋_GB2312" w:cs="仿宋_GB2312" w:eastAsia="仿宋_GB2312"/>
              </w:rPr>
              <w:t>工程范围：包含港务校区、临潼校区、龙首校区、自强校区全部学生公寓宿舍用电回路改造、双回路计费电表</w:t>
            </w:r>
            <w:r>
              <w:rPr>
                <w:rFonts w:ascii="仿宋_GB2312" w:hAnsi="仿宋_GB2312" w:cs="仿宋_GB2312" w:eastAsia="仿宋_GB2312"/>
              </w:rPr>
              <w:t>/通讯网</w:t>
            </w:r>
            <w:r>
              <w:rPr>
                <w:rFonts w:ascii="仿宋_GB2312" w:hAnsi="仿宋_GB2312" w:cs="仿宋_GB2312" w:eastAsia="仿宋_GB2312"/>
              </w:rPr>
              <w:t>关、表箱、配电线路敷设、通讯布线、临潼、龙首、自强校区超市与港务校区水房计费电表改造、后台计费能耗管理系统平台建设等全部改造内容，统筹搭建四校区统一学生宿舍用电计费能耗管理系统。</w:t>
            </w:r>
          </w:p>
          <w:p>
            <w:pPr>
              <w:pStyle w:val="null3"/>
            </w:pPr>
            <w:r>
              <w:rPr>
                <w:rFonts w:ascii="仿宋_GB2312" w:hAnsi="仿宋_GB2312" w:cs="仿宋_GB2312" w:eastAsia="仿宋_GB2312"/>
              </w:rPr>
              <w:t>（四）改造模式分为四类：设备保留利旧、老旧电表整体更换、新增电表及配电回路、系统功能及设备扩容预留；统一实现宿舍空调、插座/风扇双回路独立计量，配套RS485通讯组网、通讯网关安装、配电箱体加装、线缆分路改造，搭建统一后台计费能耗平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、工程量清单编制依据</w:t>
            </w:r>
          </w:p>
          <w:p>
            <w:pPr>
              <w:pStyle w:val="null3"/>
            </w:pPr>
            <w:r>
              <w:rPr>
                <w:rFonts w:ascii="仿宋_GB2312" w:hAnsi="仿宋_GB2312" w:cs="仿宋_GB2312" w:eastAsia="仿宋_GB2312"/>
              </w:rPr>
              <w:t>（一）</w:t>
            </w:r>
            <w:r>
              <w:rPr>
                <w:rFonts w:ascii="仿宋_GB2312" w:hAnsi="仿宋_GB2312" w:cs="仿宋_GB2312" w:eastAsia="仿宋_GB2312"/>
              </w:rPr>
              <w:t>《建设工程工程量清单计价标准》（</w:t>
            </w:r>
            <w:r>
              <w:rPr>
                <w:rFonts w:ascii="仿宋_GB2312" w:hAnsi="仿宋_GB2312" w:cs="仿宋_GB2312" w:eastAsia="仿宋_GB2312"/>
              </w:rPr>
              <w:t>DB61/T5126—2025）、陕西省2025计价配套文件、陕西省安装工程2025消耗量定额及配套取费标准；</w:t>
            </w:r>
          </w:p>
          <w:p>
            <w:pPr>
              <w:pStyle w:val="null3"/>
            </w:pPr>
            <w:r>
              <w:rPr>
                <w:rFonts w:ascii="仿宋_GB2312" w:hAnsi="仿宋_GB2312" w:cs="仿宋_GB2312" w:eastAsia="仿宋_GB2312"/>
              </w:rPr>
              <w:t>（二）</w:t>
            </w:r>
            <w:r>
              <w:rPr>
                <w:rFonts w:ascii="仿宋_GB2312" w:hAnsi="仿宋_GB2312" w:cs="仿宋_GB2312" w:eastAsia="仿宋_GB2312"/>
              </w:rPr>
              <w:t>本项目四校区公寓宿舍用电改造现场现状、各校区专项改造技术方案、宿舍回路拆分、电表</w:t>
            </w:r>
            <w:r>
              <w:rPr>
                <w:rFonts w:ascii="仿宋_GB2312" w:hAnsi="仿宋_GB2312" w:cs="仿宋_GB2312" w:eastAsia="仿宋_GB2312"/>
              </w:rPr>
              <w:t>/网关布置、配电及通讯线路敷设技术要求；</w:t>
            </w:r>
          </w:p>
          <w:p>
            <w:pPr>
              <w:pStyle w:val="null3"/>
            </w:pPr>
            <w:r>
              <w:rPr>
                <w:rFonts w:ascii="仿宋_GB2312" w:hAnsi="仿宋_GB2312" w:cs="仿宋_GB2312" w:eastAsia="仿宋_GB2312"/>
              </w:rPr>
              <w:t>（三）</w:t>
            </w:r>
            <w:r>
              <w:rPr>
                <w:rFonts w:ascii="仿宋_GB2312" w:hAnsi="仿宋_GB2312" w:cs="仿宋_GB2312" w:eastAsia="仿宋_GB2312"/>
              </w:rPr>
              <w:t>校方提供港务、临潼、龙首、自强四个校区现场勘查资料、回路改造技术要求、后台统一计费平台建设需求、设备</w:t>
            </w:r>
            <w:r>
              <w:rPr>
                <w:rFonts w:ascii="仿宋_GB2312" w:hAnsi="仿宋_GB2312" w:cs="仿宋_GB2312" w:eastAsia="仿宋_GB2312"/>
              </w:rPr>
              <w:t>利旧、更换、新增、预留四类改造。</w:t>
            </w:r>
          </w:p>
          <w:p>
            <w:pPr>
              <w:pStyle w:val="null3"/>
            </w:pPr>
            <w:r>
              <w:rPr>
                <w:rFonts w:ascii="仿宋_GB2312" w:hAnsi="仿宋_GB2312" w:cs="仿宋_GB2312" w:eastAsia="仿宋_GB2312"/>
              </w:rPr>
              <w:t>（四）国家现行电气安装、电能计量、低压配电、工业通讯（RS485）、弱电系统施工验收规范；</w:t>
            </w:r>
          </w:p>
          <w:p>
            <w:pPr>
              <w:pStyle w:val="null3"/>
            </w:pPr>
            <w:r>
              <w:rPr>
                <w:rFonts w:ascii="仿宋_GB2312" w:hAnsi="仿宋_GB2312" w:cs="仿宋_GB2312" w:eastAsia="仿宋_GB2312"/>
              </w:rPr>
              <w:t>（五）现场技术需求描述、校方系统对接技术要求（统一身份认证、财务缴费对接、数据中台对接、多校区分级权限管理）。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w:t>
            </w:r>
            <w:r>
              <w:rPr>
                <w:rFonts w:ascii="仿宋_GB2312" w:hAnsi="仿宋_GB2312" w:cs="仿宋_GB2312" w:eastAsia="仿宋_GB2312"/>
                <w:b/>
              </w:rPr>
              <w:t>、清单工程量编制说明</w:t>
            </w:r>
          </w:p>
          <w:p>
            <w:pPr>
              <w:pStyle w:val="null3"/>
            </w:pPr>
            <w:r>
              <w:rPr>
                <w:rFonts w:ascii="仿宋_GB2312" w:hAnsi="仿宋_GB2312" w:cs="仿宋_GB2312" w:eastAsia="仿宋_GB2312"/>
              </w:rPr>
              <w:t>（一）分校区工程量计量原则</w:t>
            </w:r>
          </w:p>
          <w:p>
            <w:pPr>
              <w:pStyle w:val="null3"/>
            </w:pPr>
            <w:r>
              <w:rPr>
                <w:rFonts w:ascii="仿宋_GB2312" w:hAnsi="仿宋_GB2312" w:cs="仿宋_GB2312" w:eastAsia="仿宋_GB2312"/>
              </w:rPr>
              <w:t>1.港务校区（1-6#公寓）</w:t>
            </w:r>
          </w:p>
          <w:p>
            <w:pPr>
              <w:pStyle w:val="null3"/>
            </w:pPr>
            <w:r>
              <w:rPr>
                <w:rFonts w:ascii="仿宋_GB2312" w:hAnsi="仿宋_GB2312" w:cs="仿宋_GB2312" w:eastAsia="仿宋_GB2312"/>
              </w:rPr>
              <w:t>（</w:t>
            </w:r>
            <w:r>
              <w:rPr>
                <w:rFonts w:ascii="仿宋_GB2312" w:hAnsi="仿宋_GB2312" w:cs="仿宋_GB2312" w:eastAsia="仿宋_GB2312"/>
              </w:rPr>
              <w:t>1）1-4#公寓：计量包含宿舍内部原有单回路线路拆分、插座/风扇与空调两路分线拆除布线、旧单相单回路电表拆除、宿舍门前新增表箱、双回路计费电表安装、配套敷设接线；每层电井通讯网关新增、RS485通讯布线工程量按每层公寓户数、竖井点位据实计量；原有不合格电表拆除、点位调整人工、辅材全部计入清单。</w:t>
            </w:r>
          </w:p>
          <w:p>
            <w:pPr>
              <w:pStyle w:val="null3"/>
            </w:pPr>
            <w:r>
              <w:rPr>
                <w:rFonts w:ascii="仿宋_GB2312" w:hAnsi="仿宋_GB2312" w:cs="仿宋_GB2312" w:eastAsia="仿宋_GB2312"/>
              </w:rPr>
              <w:t>（</w:t>
            </w:r>
            <w:r>
              <w:rPr>
                <w:rFonts w:ascii="仿宋_GB2312" w:hAnsi="仿宋_GB2312" w:cs="仿宋_GB2312" w:eastAsia="仿宋_GB2312"/>
              </w:rPr>
              <w:t>2）5-6#公寓：计量包含原有通讯网关拆除更换、每层表箱485通讯线缆改造、网关调试工程量；</w:t>
            </w:r>
          </w:p>
          <w:p>
            <w:pPr>
              <w:pStyle w:val="null3"/>
            </w:pPr>
            <w:r>
              <w:rPr>
                <w:rFonts w:ascii="仿宋_GB2312" w:hAnsi="仿宋_GB2312" w:cs="仿宋_GB2312" w:eastAsia="仿宋_GB2312"/>
              </w:rPr>
              <w:t>（</w:t>
            </w:r>
            <w:r>
              <w:rPr>
                <w:rFonts w:ascii="仿宋_GB2312" w:hAnsi="仿宋_GB2312" w:cs="仿宋_GB2312" w:eastAsia="仿宋_GB2312"/>
              </w:rPr>
              <w:t>3）水房的旧计费电表拆除、新增三相单回路计费电表安装。</w:t>
            </w:r>
          </w:p>
          <w:p>
            <w:pPr>
              <w:pStyle w:val="null3"/>
            </w:pPr>
            <w:r>
              <w:rPr>
                <w:rFonts w:ascii="仿宋_GB2312" w:hAnsi="仿宋_GB2312" w:cs="仿宋_GB2312" w:eastAsia="仿宋_GB2312"/>
              </w:rPr>
              <w:t>2.临潼校区（3/6/7#公寓）计量包含宿舍新增入户表箱、全新双回路单相电表安装、空调+USB风扇插座回路重新敷设一次电缆；每栋楼一层值班室旧网关拆除、同品牌兼容网关新装、整栋宿舍RS485串接通讯线缆敷设、通讯调试全部计入清单；一户一表双回路计量设备、箱体、线缆据实计算。</w:t>
            </w:r>
          </w:p>
          <w:p>
            <w:pPr>
              <w:pStyle w:val="null3"/>
            </w:pPr>
            <w:r>
              <w:rPr>
                <w:rFonts w:ascii="仿宋_GB2312" w:hAnsi="仿宋_GB2312" w:cs="仿宋_GB2312" w:eastAsia="仿宋_GB2312"/>
              </w:rPr>
              <w:t>超市旧计费电表拆除、新增三相单回路计费电表安装。</w:t>
            </w:r>
          </w:p>
          <w:p>
            <w:pPr>
              <w:pStyle w:val="null3"/>
            </w:pPr>
            <w:r>
              <w:rPr>
                <w:rFonts w:ascii="仿宋_GB2312" w:hAnsi="仿宋_GB2312" w:cs="仿宋_GB2312" w:eastAsia="仿宋_GB2312"/>
              </w:rPr>
              <w:t>3.龙首校区</w:t>
            </w:r>
          </w:p>
          <w:p>
            <w:pPr>
              <w:pStyle w:val="null3"/>
            </w:pPr>
            <w:r>
              <w:rPr>
                <w:rFonts w:ascii="仿宋_GB2312" w:hAnsi="仿宋_GB2312" w:cs="仿宋_GB2312" w:eastAsia="仿宋_GB2312"/>
              </w:rPr>
              <w:t>（</w:t>
            </w:r>
            <w:r>
              <w:rPr>
                <w:rFonts w:ascii="仿宋_GB2312" w:hAnsi="仿宋_GB2312" w:cs="仿宋_GB2312" w:eastAsia="仿宋_GB2312"/>
              </w:rPr>
              <w:t>1）女生1#公寓：计量含更换每间宿舍门口表箱的单回路电表为双回路电表，改造原有一次线为空调、风扇/插座两个回路，新增缺项的电表、配套网关设备、485通讯线缆全部计量；网络敷设预留工程量同步计列。</w:t>
            </w:r>
          </w:p>
          <w:p>
            <w:pPr>
              <w:pStyle w:val="null3"/>
            </w:pPr>
            <w:r>
              <w:rPr>
                <w:rFonts w:ascii="仿宋_GB2312" w:hAnsi="仿宋_GB2312" w:cs="仿宋_GB2312" w:eastAsia="仿宋_GB2312"/>
              </w:rPr>
              <w:t>（</w:t>
            </w:r>
            <w:r>
              <w:rPr>
                <w:rFonts w:ascii="仿宋_GB2312" w:hAnsi="仿宋_GB2312" w:cs="仿宋_GB2312" w:eastAsia="仿宋_GB2312"/>
              </w:rPr>
              <w:t>2）男生1#、女生2#公寓：计量含宿舍门口新增表箱、全套双回路电表主材及安装；插座两间宿舍公用，分线、风扇/插座回路合并布线；通讯箱体加装、配套网关设备、485通讯线缆全部计量；网络敷设预留工程量同步计列。</w:t>
            </w:r>
          </w:p>
          <w:p>
            <w:pPr>
              <w:pStyle w:val="null3"/>
            </w:pPr>
            <w:r>
              <w:rPr>
                <w:rFonts w:ascii="仿宋_GB2312" w:hAnsi="仿宋_GB2312" w:cs="仿宋_GB2312" w:eastAsia="仿宋_GB2312"/>
              </w:rPr>
              <w:t>（</w:t>
            </w:r>
            <w:r>
              <w:rPr>
                <w:rFonts w:ascii="仿宋_GB2312" w:hAnsi="仿宋_GB2312" w:cs="仿宋_GB2312" w:eastAsia="仿宋_GB2312"/>
              </w:rPr>
              <w:t>3）超市旧计费电表拆除、新增三相单回路计费电表安装。</w:t>
            </w:r>
          </w:p>
          <w:p>
            <w:pPr>
              <w:pStyle w:val="null3"/>
            </w:pPr>
            <w:r>
              <w:rPr>
                <w:rFonts w:ascii="仿宋_GB2312" w:hAnsi="仿宋_GB2312" w:cs="仿宋_GB2312" w:eastAsia="仿宋_GB2312"/>
              </w:rPr>
              <w:t>4.自强校区（1/2/3/5#公寓）计量包含各公寓配电房插座配电柜改造、多用户预付费电表、网关集中安装；宿舍风扇回路并接至插座回路的线缆改造、配电房内通讯组网布线、网关设备安装调试工程量；全部配电改造、新增计量设备据实计量。</w:t>
            </w:r>
          </w:p>
          <w:p>
            <w:pPr>
              <w:pStyle w:val="null3"/>
            </w:pPr>
            <w:r>
              <w:rPr>
                <w:rFonts w:ascii="仿宋_GB2312" w:hAnsi="仿宋_GB2312" w:cs="仿宋_GB2312" w:eastAsia="仿宋_GB2312"/>
              </w:rPr>
              <w:t>超市旧计费电表拆除、新增三相单回路计费电表安装。</w:t>
            </w:r>
          </w:p>
          <w:p>
            <w:pPr>
              <w:pStyle w:val="null3"/>
            </w:pPr>
            <w:r>
              <w:rPr>
                <w:rFonts w:ascii="仿宋_GB2312" w:hAnsi="仿宋_GB2312" w:cs="仿宋_GB2312" w:eastAsia="仿宋_GB2312"/>
              </w:rPr>
              <w:t>（二）设备计量区分规则</w:t>
            </w:r>
          </w:p>
          <w:p>
            <w:pPr>
              <w:pStyle w:val="null3"/>
            </w:pPr>
            <w:r>
              <w:rPr>
                <w:rFonts w:ascii="仿宋_GB2312" w:hAnsi="仿宋_GB2312" w:cs="仿宋_GB2312" w:eastAsia="仿宋_GB2312"/>
              </w:rPr>
              <w:t>1.更换类设备：投入使用超10年老旧单回路电表、故障模块电表、老旧网关，清单中单独计“旧设备拆除”“新设备采购安装”两道子目，主材含全新双回路电表、同品牌兼容通讯网关。</w:t>
            </w:r>
          </w:p>
          <w:p>
            <w:pPr>
              <w:pStyle w:val="null3"/>
            </w:pPr>
            <w:r>
              <w:rPr>
                <w:rFonts w:ascii="仿宋_GB2312" w:hAnsi="仿宋_GB2312" w:cs="仿宋_GB2312" w:eastAsia="仿宋_GB2312"/>
              </w:rPr>
              <w:t>2.新增类设备：无原有计量点位、无网关点位的宿舍/楼层，清单完整计列表箱、双回路电表、通讯网关、配电电缆、485通讯线缆、桥架辅材、安装人工、系统调试全部内容。</w:t>
            </w:r>
          </w:p>
          <w:p>
            <w:pPr>
              <w:pStyle w:val="null3"/>
            </w:pPr>
            <w:r>
              <w:rPr>
                <w:rFonts w:ascii="仿宋_GB2312" w:hAnsi="仿宋_GB2312" w:cs="仿宋_GB2312" w:eastAsia="仿宋_GB2312"/>
              </w:rPr>
              <w:t>3.利旧保留设备：原有状态完好、使用反馈良好的电表箱体、部分双回路电表，仅计拆除移位、重新接线、通讯对接调试、回路改造人工，设备主材不重复计取；利旧设备通讯规约统一调试、厂家现场配合费用计入措施项目。</w:t>
            </w:r>
          </w:p>
          <w:p>
            <w:pPr>
              <w:pStyle w:val="null3"/>
            </w:pPr>
            <w:r>
              <w:rPr>
                <w:rFonts w:ascii="仿宋_GB2312" w:hAnsi="仿宋_GB2312" w:cs="仿宋_GB2312" w:eastAsia="仿宋_GB2312"/>
              </w:rPr>
              <w:t>4.预留扩容项目：清单单独增设预留相关子目，包含电表接入容量扩容预留、需满足恶性负载识功能、水资源管理系统预留。</w:t>
            </w:r>
          </w:p>
          <w:p>
            <w:pPr>
              <w:pStyle w:val="null3"/>
            </w:pPr>
            <w:r>
              <w:rPr>
                <w:rFonts w:ascii="仿宋_GB2312" w:hAnsi="仿宋_GB2312" w:cs="仿宋_GB2312" w:eastAsia="仿宋_GB2312"/>
              </w:rPr>
              <w:t>（三）系统平台工程量计量规则</w:t>
            </w:r>
          </w:p>
          <w:p>
            <w:pPr>
              <w:pStyle w:val="null3"/>
            </w:pPr>
            <w:r>
              <w:rPr>
                <w:rFonts w:ascii="仿宋_GB2312" w:hAnsi="仿宋_GB2312" w:cs="仿宋_GB2312" w:eastAsia="仿宋_GB2312"/>
              </w:rPr>
              <w:t>1.四校区统一学生宿舍用电计费能耗管理后台系统整套内容计入清单，后台主机、监控主机、数据库部署点位设在港务校区；分级权限管理功能配套软件、接口开发、调试全部单列。</w:t>
            </w:r>
          </w:p>
          <w:p>
            <w:pPr>
              <w:pStyle w:val="null3"/>
            </w:pPr>
            <w:r>
              <w:rPr>
                <w:rFonts w:ascii="仿宋_GB2312" w:hAnsi="仿宋_GB2312" w:cs="仿宋_GB2312" w:eastAsia="仿宋_GB2312"/>
              </w:rPr>
              <w:t>2.系统对接配套工程量包含：学校统一身份认证平台接口开发、财务系统公共缴费账号对接、手机缴费模块开发调试；移动支付备案所需固定IP网络配套调试、通讯互联互通调试费用计入对应清单子目。</w:t>
            </w:r>
          </w:p>
          <w:p>
            <w:pPr>
              <w:pStyle w:val="null3"/>
            </w:pPr>
            <w:r>
              <w:rPr>
                <w:rFonts w:ascii="仿宋_GB2312" w:hAnsi="仿宋_GB2312" w:cs="仿宋_GB2312" w:eastAsia="仿宋_GB2312"/>
              </w:rPr>
              <w:t>3.跨校区数据传输、多表具兼容通讯调试、利旧电表多厂家规约统一对接调试、各校区分区域权限配置（港务总平台查看四校区数据，临潼/龙首/自强仅查看本校数据）全部计入系统安装调试子目。</w:t>
            </w:r>
          </w:p>
          <w:p>
            <w:pPr>
              <w:pStyle w:val="null3"/>
            </w:pPr>
            <w:r>
              <w:rPr>
                <w:rFonts w:ascii="仿宋_GB2312" w:hAnsi="仿宋_GB2312" w:cs="仿宋_GB2312" w:eastAsia="仿宋_GB2312"/>
                <w:sz w:val="21"/>
              </w:rPr>
              <w:t>（四）工程量清单：详见附件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四、计价及报价说明</w:t>
            </w:r>
          </w:p>
          <w:p>
            <w:pPr>
              <w:pStyle w:val="null3"/>
            </w:pPr>
            <w:r>
              <w:rPr>
                <w:rFonts w:ascii="仿宋_GB2312" w:hAnsi="仿宋_GB2312" w:cs="仿宋_GB2312" w:eastAsia="仿宋_GB2312"/>
              </w:rPr>
              <w:t>（一）本清单采用增值税一般计税方法，所有综合单价包含主材设备采购、运输、装卸、安装、线缆敷设、箱体固定、接线、通讯布线、设备调试、系统联调、检测、现场开孔改造、旧设备拆除清运、辅材耗材、人工、机械、管理费、利润、运输、保险、检测认证、售后服务、质保、税费等全部费用，招标人不另行支付任何零星增项费用。</w:t>
            </w:r>
          </w:p>
          <w:p>
            <w:pPr>
              <w:pStyle w:val="null3"/>
            </w:pPr>
            <w:r>
              <w:rPr>
                <w:rFonts w:ascii="仿宋_GB2312" w:hAnsi="仿宋_GB2312" w:cs="仿宋_GB2312" w:eastAsia="仿宋_GB2312"/>
              </w:rPr>
              <w:t>（二）投标人报价时须综合考虑：各校区公寓楼层高低、宿舍分散施工、宿舍正常住校环境下的夜间施工、成品保护、校方协调各电表厂家到场配合调试、网络中心固定</w:t>
            </w:r>
            <w:r>
              <w:rPr>
                <w:rFonts w:ascii="仿宋_GB2312" w:hAnsi="仿宋_GB2312" w:cs="仿宋_GB2312" w:eastAsia="仿宋_GB2312"/>
              </w:rPr>
              <w:t>IP配合移动支付备案等全部现场协调、配合费用，相关费用统一摊入各分项综合单价，不单独列项。</w:t>
            </w:r>
          </w:p>
          <w:p>
            <w:pPr>
              <w:pStyle w:val="null3"/>
            </w:pPr>
            <w:r>
              <w:rPr>
                <w:rFonts w:ascii="仿宋_GB2312" w:hAnsi="仿宋_GB2312" w:cs="仿宋_GB2312" w:eastAsia="仿宋_GB2312"/>
              </w:rPr>
              <w:t>（三）所有电表、通讯网关主材报价必须为投标人自有生产产品，投标报价包含设备第三方检测报告、自主可控认证相关成本；后期设备供货、质保、系统平台运维质保、软件免费升级相关费用全部包含在综合单价内。</w:t>
            </w:r>
          </w:p>
          <w:p>
            <w:pPr>
              <w:pStyle w:val="null3"/>
            </w:pPr>
            <w:r>
              <w:rPr>
                <w:rFonts w:ascii="仿宋_GB2312" w:hAnsi="仿宋_GB2312" w:cs="仿宋_GB2312" w:eastAsia="仿宋_GB2312"/>
              </w:rPr>
              <w:t>（四</w:t>
            </w:r>
            <w:r>
              <w:rPr>
                <w:rFonts w:ascii="仿宋_GB2312" w:hAnsi="仿宋_GB2312" w:cs="仿宋_GB2312" w:eastAsia="仿宋_GB2312"/>
              </w:rPr>
              <w:t>）线缆、配电箱、电表箱等辅材规格须满足项目双回路分路计量、RS485稳定通讯技术要求，综合单价内包含所有辅材，不另行计取。</w:t>
            </w:r>
          </w:p>
          <w:p>
            <w:pPr>
              <w:pStyle w:val="null3"/>
            </w:pPr>
            <w:r>
              <w:rPr>
                <w:rFonts w:ascii="仿宋_GB2312" w:hAnsi="仿宋_GB2312" w:cs="仿宋_GB2312" w:eastAsia="仿宋_GB2312"/>
              </w:rPr>
              <w:t>（五）措施项目清单报价包含：临时水电、安全文明施工、宿舍成品保护、旧设备垃圾清运、跨校区往返施工、系统联调试验、人员培训、脚手架、孔洞修补、墙面恢复等全部施工配套措施，投标人自主测算报价，包干使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五、技术要求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rPr>
              <w:t>四校区共用一套预付费系统软件，采用学校统一身份认证，设置对应权限的账号，通过权限管控不同校区的数据访问，做到总管理员权限及四校区分校区权限管理。通讯管理机需要与计费平台实现无缝对接，支持</w:t>
            </w:r>
            <w:r>
              <w:rPr>
                <w:rFonts w:ascii="仿宋_GB2312" w:hAnsi="仿宋_GB2312" w:cs="仿宋_GB2312" w:eastAsia="仿宋_GB2312"/>
              </w:rPr>
              <w:t>DL/T645、Modbus-RTU/TCP等开放协议，投标人须提供兼容性承诺，四个校区通讯管理机品牌须一致。</w:t>
            </w:r>
          </w:p>
          <w:p>
            <w:pPr>
              <w:pStyle w:val="null3"/>
              <w:ind w:firstLine="400"/>
            </w:pPr>
            <w:r>
              <w:rPr>
                <w:rFonts w:ascii="仿宋_GB2312" w:hAnsi="仿宋_GB2312" w:cs="仿宋_GB2312" w:eastAsia="仿宋_GB2312"/>
              </w:rPr>
              <w:t>本项目所投全部双回路计费电表、通讯网关设备须完成自主可控评估，且具备第三方权威检测机构出具的完整检测报告、产品认证证书，投标文件中附检测报告原件扫描件，未提供视为不响应招标要求。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rPr>
              <w:t>计费软件需满足信创适配并部署于信创环境中，须适配国产</w:t>
            </w:r>
            <w:r>
              <w:rPr>
                <w:rFonts w:ascii="仿宋_GB2312" w:hAnsi="仿宋_GB2312" w:cs="仿宋_GB2312" w:eastAsia="仿宋_GB2312"/>
              </w:rPr>
              <w:t>CPU架构以及国产操作系统，投标人需提供国产OS厂商出具的机构兼容适配证明、软件著作权（加盖公章）。</w:t>
            </w:r>
          </w:p>
          <w:p>
            <w:pPr>
              <w:pStyle w:val="null3"/>
              <w:ind w:firstLine="400"/>
            </w:pPr>
            <w:r>
              <w:rPr>
                <w:rFonts w:ascii="仿宋_GB2312" w:hAnsi="仿宋_GB2312" w:cs="仿宋_GB2312" w:eastAsia="仿宋_GB2312"/>
                <w:sz w:val="20"/>
              </w:rPr>
              <w:t>▲</w:t>
            </w:r>
            <w:r>
              <w:rPr>
                <w:rFonts w:ascii="仿宋_GB2312" w:hAnsi="仿宋_GB2312" w:cs="仿宋_GB2312" w:eastAsia="仿宋_GB2312"/>
              </w:rPr>
              <w:t>为保障数据安全，以及为后续扩展接入（水表等）其他第三方设备，配置国产监控主机：</w:t>
            </w:r>
            <w:r>
              <w:rPr>
                <w:rFonts w:ascii="仿宋_GB2312" w:hAnsi="仿宋_GB2312" w:cs="仿宋_GB2312" w:eastAsia="仿宋_GB2312"/>
              </w:rPr>
              <w:t>CPU核心数≥16核，内存≥64GB，硬盘≥2×480GBSSD（RAID1）；操作系统采用国产安全操作系统（须提供正版授权或开源合规说明），提供B/S应用。</w:t>
            </w:r>
          </w:p>
          <w:p>
            <w:pPr>
              <w:pStyle w:val="null3"/>
              <w:ind w:firstLine="400"/>
            </w:pPr>
            <w:r>
              <w:rPr>
                <w:rFonts w:ascii="仿宋_GB2312" w:hAnsi="仿宋_GB2312" w:cs="仿宋_GB2312" w:eastAsia="仿宋_GB2312"/>
                <w:sz w:val="20"/>
              </w:rPr>
              <w:t>▲</w:t>
            </w:r>
            <w:r>
              <w:rPr>
                <w:rFonts w:ascii="仿宋_GB2312" w:hAnsi="仿宋_GB2312" w:cs="仿宋_GB2312" w:eastAsia="仿宋_GB2312"/>
              </w:rPr>
              <w:t>需提供适配本项目国产监控主机</w:t>
            </w:r>
            <w:r>
              <w:rPr>
                <w:rFonts w:ascii="仿宋_GB2312" w:hAnsi="仿宋_GB2312" w:cs="仿宋_GB2312" w:eastAsia="仿宋_GB2312"/>
              </w:rPr>
              <w:t>CPU 架构的国产数据库，数据库可终身使用，并提供不少于1年的原厂售后服务，</w:t>
            </w:r>
            <w:r>
              <w:rPr>
                <w:rFonts w:ascii="仿宋_GB2312" w:hAnsi="仿宋_GB2312" w:cs="仿宋_GB2312" w:eastAsia="仿宋_GB2312"/>
              </w:rPr>
              <w:t>同时提供数据库生产厂家出具的售后服务承诺函，交付时提供含有用户信息的正版软件授权书，供正版授权核验，若无法按时提供合规有效授权文件、原厂售后承诺函，项目不予验收，并由投标人承担全部延期及整改损失。</w:t>
            </w:r>
          </w:p>
          <w:p>
            <w:pPr>
              <w:pStyle w:val="null3"/>
              <w:ind w:firstLine="400"/>
            </w:pPr>
            <w:r>
              <w:rPr>
                <w:rFonts w:ascii="仿宋_GB2312" w:hAnsi="仿宋_GB2312" w:cs="仿宋_GB2312" w:eastAsia="仿宋_GB2312"/>
              </w:rPr>
              <w:t>▲项目中包含的监控主机、操作系统、数据库需满足在中国信息安全测评中心网站安全可靠测评公告中列举。（本项目中涉及计算机终端的中央处理器(CPU)、操作系统、数据库应通过中国信息安全测评中心的安全可靠测评，附相关证明材料截图。）</w:t>
            </w:r>
          </w:p>
          <w:p>
            <w:pPr>
              <w:pStyle w:val="null3"/>
            </w:pPr>
            <w:r>
              <w:rPr>
                <w:rFonts w:ascii="仿宋_GB2312" w:hAnsi="仿宋_GB2312" w:cs="仿宋_GB2312" w:eastAsia="仿宋_GB2312"/>
              </w:rPr>
              <w:t>（一）硬件产品</w:t>
            </w:r>
          </w:p>
          <w:p>
            <w:pPr>
              <w:pStyle w:val="null3"/>
            </w:pPr>
            <w:r>
              <w:rPr>
                <w:rFonts w:ascii="仿宋_GB2312" w:hAnsi="仿宋_GB2312" w:cs="仿宋_GB2312" w:eastAsia="仿宋_GB2312"/>
              </w:rPr>
              <w:t>（</w:t>
            </w:r>
            <w:r>
              <w:rPr>
                <w:rFonts w:ascii="仿宋_GB2312" w:hAnsi="仿宋_GB2312" w:cs="仿宋_GB2312" w:eastAsia="仿宋_GB2312"/>
              </w:rPr>
              <w:t>1）通讯管理机</w:t>
            </w:r>
          </w:p>
          <w:p>
            <w:pPr>
              <w:pStyle w:val="null3"/>
            </w:pPr>
            <w:r>
              <w:rPr>
                <w:rFonts w:ascii="仿宋_GB2312" w:hAnsi="仿宋_GB2312" w:cs="仿宋_GB2312" w:eastAsia="仿宋_GB2312"/>
              </w:rPr>
              <w:t>通讯管理机的要求至少满足：</w:t>
            </w:r>
          </w:p>
          <w:p>
            <w:pPr>
              <w:pStyle w:val="null3"/>
            </w:pPr>
            <w:r>
              <w:rPr>
                <w:rFonts w:ascii="仿宋_GB2312" w:hAnsi="仿宋_GB2312" w:cs="仿宋_GB2312" w:eastAsia="仿宋_GB2312"/>
              </w:rPr>
              <w:t>1.工作电源</w:t>
            </w:r>
          </w:p>
          <w:tbl>
            <w:tblPr>
              <w:tblBorders>
                <w:top w:val="none" w:color="000000" w:sz="4"/>
                <w:left w:val="none" w:color="000000" w:sz="4"/>
                <w:bottom w:val="none" w:color="000000" w:sz="4"/>
                <w:right w:val="none" w:color="000000" w:sz="4"/>
                <w:insideH w:val="none"/>
                <w:insideV w:val="none"/>
              </w:tblBorders>
            </w:tblPr>
            <w:tblGrid>
              <w:gridCol w:w="667"/>
              <w:gridCol w:w="1880"/>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c>
                <w:tcPr>
                  <w:tcW w:type="dxa" w:w="1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工作电压</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95V～250VAC/DC</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电源频率</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50HZ</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功耗</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w:t>
                  </w:r>
                </w:p>
              </w:tc>
            </w:tr>
          </w:tbl>
          <w:p>
            <w:pPr>
              <w:pStyle w:val="null3"/>
            </w:pPr>
            <w:r>
              <w:rPr>
                <w:rFonts w:ascii="仿宋_GB2312" w:hAnsi="仿宋_GB2312" w:cs="仿宋_GB2312" w:eastAsia="仿宋_GB2312"/>
              </w:rPr>
              <w:t>2.运行环境</w:t>
            </w:r>
          </w:p>
          <w:tbl>
            <w:tblPr>
              <w:tblBorders>
                <w:top w:val="none" w:color="000000" w:sz="4"/>
                <w:left w:val="none" w:color="000000" w:sz="4"/>
                <w:bottom w:val="none" w:color="000000" w:sz="4"/>
                <w:right w:val="none" w:color="000000" w:sz="4"/>
                <w:insideH w:val="none"/>
                <w:insideV w:val="none"/>
              </w:tblBorders>
            </w:tblPr>
            <w:tblGrid>
              <w:gridCol w:w="667"/>
              <w:gridCol w:w="1880"/>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c>
                <w:tcPr>
                  <w:tcW w:type="dxa" w:w="1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工作温度</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-25℃～+70℃</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存储温度</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-40℃～+85℃</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相对湿度</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5%～95%</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大气压力</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70kpa～106kpa</w:t>
                  </w:r>
                </w:p>
              </w:tc>
            </w:tr>
          </w:tbl>
          <w:p>
            <w:pPr>
              <w:pStyle w:val="null3"/>
            </w:pPr>
            <w:r>
              <w:rPr>
                <w:rFonts w:ascii="仿宋_GB2312" w:hAnsi="仿宋_GB2312" w:cs="仿宋_GB2312" w:eastAsia="仿宋_GB2312"/>
                <w:sz w:val="20"/>
              </w:rPr>
              <w:t>▲</w:t>
            </w:r>
            <w:r>
              <w:rPr>
                <w:rFonts w:ascii="仿宋_GB2312" w:hAnsi="仿宋_GB2312" w:cs="仿宋_GB2312" w:eastAsia="仿宋_GB2312"/>
              </w:rPr>
              <w:t>3.硬件参数</w:t>
            </w:r>
          </w:p>
          <w:tbl>
            <w:tblPr>
              <w:tblBorders>
                <w:top w:val="none" w:color="000000" w:sz="4"/>
                <w:left w:val="none" w:color="000000" w:sz="4"/>
                <w:bottom w:val="none" w:color="000000" w:sz="4"/>
                <w:right w:val="none" w:color="000000" w:sz="4"/>
                <w:insideH w:val="none"/>
                <w:insideV w:val="none"/>
              </w:tblBorders>
            </w:tblPr>
            <w:tblGrid>
              <w:gridCol w:w="667"/>
              <w:gridCol w:w="1880"/>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c>
                <w:tcPr>
                  <w:tcW w:type="dxa" w:w="1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以太网</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以太网：</w:t>
                  </w:r>
                  <w:r>
                    <w:rPr>
                      <w:rFonts w:ascii="仿宋_GB2312" w:hAnsi="仿宋_GB2312" w:cs="仿宋_GB2312" w:eastAsia="仿宋_GB2312"/>
                      <w:sz w:val="19"/>
                    </w:rPr>
                    <w:t>≥2路10/100MbpsRJ45，内置≥1.5kV磁隔离</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串口</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RS-485：≥4路，每路RS-485隔离耐压≥2.5kV（测试值≥3kV），每路最大可挂载≥32台电表</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LoRa</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可选</w:t>
                  </w:r>
                  <w:r>
                    <w:rPr>
                      <w:rFonts w:ascii="仿宋_GB2312" w:hAnsi="仿宋_GB2312" w:cs="仿宋_GB2312" w:eastAsia="仿宋_GB2312"/>
                      <w:sz w:val="19"/>
                    </w:rPr>
                    <w:t>1路，工作频段：470MHz～510MHz</w:t>
                  </w:r>
                </w:p>
                <w:p>
                  <w:pPr>
                    <w:pStyle w:val="null3"/>
                  </w:pPr>
                  <w:r>
                    <w:rPr>
                      <w:rFonts w:ascii="仿宋_GB2312" w:hAnsi="仿宋_GB2312" w:cs="仿宋_GB2312" w:eastAsia="仿宋_GB2312"/>
                      <w:sz w:val="19"/>
                    </w:rPr>
                    <w:t>通信信道：</w:t>
                  </w:r>
                  <w:r>
                    <w:rPr>
                      <w:rFonts w:ascii="仿宋_GB2312" w:hAnsi="仿宋_GB2312" w:cs="仿宋_GB2312" w:eastAsia="仿宋_GB2312"/>
                      <w:sz w:val="19"/>
                    </w:rPr>
                    <w:t>32个</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4G</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可选</w:t>
                  </w:r>
                  <w:r>
                    <w:rPr>
                      <w:rFonts w:ascii="仿宋_GB2312" w:hAnsi="仿宋_GB2312" w:cs="仿宋_GB2312" w:eastAsia="仿宋_GB2312"/>
                      <w:sz w:val="19"/>
                    </w:rPr>
                    <w:t>1路，支持电信/移动/联通全网通，支持物联网卡、APN拨号，支持网络类型GSM、WCDMA、LTE-FDD、LTE-TDD</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I/O</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w:t>
                  </w:r>
                  <w:r>
                    <w:rPr>
                      <w:rFonts w:ascii="仿宋_GB2312" w:hAnsi="仿宋_GB2312" w:cs="仿宋_GB2312" w:eastAsia="仿宋_GB2312"/>
                      <w:sz w:val="19"/>
                    </w:rPr>
                    <w:t>6DI：24VDC</w:t>
                  </w:r>
                </w:p>
                <w:p>
                  <w:pPr>
                    <w:pStyle w:val="null3"/>
                  </w:pPr>
                  <w:r>
                    <w:rPr>
                      <w:rFonts w:ascii="仿宋_GB2312" w:hAnsi="仿宋_GB2312" w:cs="仿宋_GB2312" w:eastAsia="仿宋_GB2312"/>
                      <w:sz w:val="19"/>
                    </w:rPr>
                    <w:t>支持</w:t>
                  </w:r>
                  <w:r>
                    <w:rPr>
                      <w:rFonts w:ascii="仿宋_GB2312" w:hAnsi="仿宋_GB2312" w:cs="仿宋_GB2312" w:eastAsia="仿宋_GB2312"/>
                      <w:sz w:val="19"/>
                    </w:rPr>
                    <w:t>2DO：电磁式继电器输出，接通容量：5A连续，250VAC/30VDC</w:t>
                  </w:r>
                </w:p>
                <w:p>
                  <w:pPr>
                    <w:pStyle w:val="null3"/>
                  </w:pPr>
                  <w:r>
                    <w:rPr>
                      <w:rFonts w:ascii="仿宋_GB2312" w:hAnsi="仿宋_GB2312" w:cs="仿宋_GB2312" w:eastAsia="仿宋_GB2312"/>
                      <w:sz w:val="19"/>
                    </w:rPr>
                    <w:t>支持</w:t>
                  </w:r>
                  <w:r>
                    <w:rPr>
                      <w:rFonts w:ascii="仿宋_GB2312" w:hAnsi="仿宋_GB2312" w:cs="仿宋_GB2312" w:eastAsia="仿宋_GB2312"/>
                      <w:sz w:val="19"/>
                    </w:rPr>
                    <w:t>2AI：4mA~20mA</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设备运行</w:t>
                  </w:r>
                </w:p>
                <w:p>
                  <w:pPr>
                    <w:pStyle w:val="null3"/>
                  </w:pPr>
                  <w:r>
                    <w:rPr>
                      <w:rFonts w:ascii="仿宋_GB2312" w:hAnsi="仿宋_GB2312" w:cs="仿宋_GB2312" w:eastAsia="仿宋_GB2312"/>
                      <w:sz w:val="19"/>
                    </w:rPr>
                    <w:t>状态指示</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支持运行、告警状态指示</w:t>
                  </w:r>
                </w:p>
                <w:p>
                  <w:pPr>
                    <w:pStyle w:val="null3"/>
                  </w:pPr>
                  <w:r>
                    <w:rPr>
                      <w:rFonts w:ascii="仿宋_GB2312" w:hAnsi="仿宋_GB2312" w:cs="仿宋_GB2312" w:eastAsia="仿宋_GB2312"/>
                      <w:sz w:val="19"/>
                    </w:rPr>
                    <w:t>支持以太网、串口、</w:t>
                  </w:r>
                  <w:r>
                    <w:rPr>
                      <w:rFonts w:ascii="仿宋_GB2312" w:hAnsi="仿宋_GB2312" w:cs="仿宋_GB2312" w:eastAsia="仿宋_GB2312"/>
                      <w:sz w:val="19"/>
                    </w:rPr>
                    <w:t>4G、LORA通信状态指示</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安装方式</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35mmDIN导轨式，宽度≤90mm。</w:t>
                  </w:r>
                </w:p>
              </w:tc>
            </w:tr>
          </w:tbl>
          <w:p>
            <w:pPr>
              <w:pStyle w:val="null3"/>
            </w:pPr>
            <w:r>
              <w:rPr>
                <w:rFonts w:ascii="仿宋_GB2312" w:hAnsi="仿宋_GB2312" w:cs="仿宋_GB2312" w:eastAsia="仿宋_GB2312"/>
                <w:sz w:val="20"/>
              </w:rPr>
              <w:t>▲</w:t>
            </w:r>
            <w:r>
              <w:rPr>
                <w:rFonts w:ascii="仿宋_GB2312" w:hAnsi="仿宋_GB2312" w:cs="仿宋_GB2312" w:eastAsia="仿宋_GB2312"/>
              </w:rPr>
              <w:t>4.功能参数</w:t>
            </w:r>
          </w:p>
          <w:tbl>
            <w:tblPr>
              <w:tblBorders>
                <w:top w:val="none" w:color="000000" w:sz="4"/>
                <w:left w:val="none" w:color="000000" w:sz="4"/>
                <w:bottom w:val="none" w:color="000000" w:sz="4"/>
                <w:right w:val="none" w:color="000000" w:sz="4"/>
                <w:insideH w:val="none"/>
                <w:insideV w:val="none"/>
              </w:tblBorders>
            </w:tblPr>
            <w:tblGrid>
              <w:gridCol w:w="667"/>
              <w:gridCol w:w="1880"/>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c>
                <w:tcPr>
                  <w:tcW w:type="dxa" w:w="1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采集协议</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w:t>
                  </w:r>
                  <w:r>
                    <w:rPr>
                      <w:rFonts w:ascii="仿宋_GB2312" w:hAnsi="仿宋_GB2312" w:cs="仿宋_GB2312" w:eastAsia="仿宋_GB2312"/>
                      <w:sz w:val="19"/>
                    </w:rPr>
                    <w:t>ModbusRTU、ModbusTCP、IEC101/103/104、DL/T645、CJT188、DNP3.0、CDT、Anypolling、DLT698，支持协议扩展</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转发协议</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ModbusTCP、ModbusTCP客户端、ModbusRTU、IEC101、IEC104、IEC104客户端、物联网MQTT+JSON、天枢云MQTT、阿里云MQTT，支持协议扩展</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存储与断点续传</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内置非易失存储</w:t>
                  </w:r>
                  <w:r>
                    <w:rPr>
                      <w:rFonts w:ascii="仿宋_GB2312" w:hAnsi="仿宋_GB2312" w:cs="仿宋_GB2312" w:eastAsia="仿宋_GB2312"/>
                      <w:sz w:val="19"/>
                    </w:rPr>
                    <w:t>≥8GB，通信中断时本地缓存采集数据，恢复后按序补传（不丢点、不重复）；存储周期1～60min可调，按1min间隔可保存≥15天曲线数据；</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一点多发</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支持至少同时以不同的协议向</w:t>
                  </w:r>
                  <w:r>
                    <w:rPr>
                      <w:rFonts w:ascii="仿宋_GB2312" w:hAnsi="仿宋_GB2312" w:cs="仿宋_GB2312" w:eastAsia="仿宋_GB2312"/>
                      <w:sz w:val="19"/>
                    </w:rPr>
                    <w:t>4个平台上传数据</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数据上传</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支持定时上送、变位或变化上送，按需配置</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边缘计算</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w:t>
                  </w:r>
                  <w:r>
                    <w:rPr>
                      <w:rFonts w:ascii="仿宋_GB2312" w:hAnsi="仿宋_GB2312" w:cs="仿宋_GB2312" w:eastAsia="仿宋_GB2312"/>
                      <w:sz w:val="19"/>
                    </w:rPr>
                    <w:t>20多种运算符，40多种逻辑控件，2000多个虚拟测点，组合复杂控制，联动告警逻辑。</w:t>
                  </w:r>
                </w:p>
                <w:p>
                  <w:pPr>
                    <w:pStyle w:val="null3"/>
                  </w:pPr>
                  <w:r>
                    <w:rPr>
                      <w:rFonts w:ascii="仿宋_GB2312" w:hAnsi="仿宋_GB2312" w:cs="仿宋_GB2312" w:eastAsia="仿宋_GB2312"/>
                      <w:sz w:val="19"/>
                    </w:rPr>
                    <w:t>内置</w:t>
                  </w:r>
                  <w:r>
                    <w:rPr>
                      <w:rFonts w:ascii="仿宋_GB2312" w:hAnsi="仿宋_GB2312" w:cs="仿宋_GB2312" w:eastAsia="仿宋_GB2312"/>
                      <w:sz w:val="19"/>
                    </w:rPr>
                    <w:t>PLC功能模块图，灵活编写本地控制逻辑。</w:t>
                  </w:r>
                </w:p>
                <w:p>
                  <w:pPr>
                    <w:pStyle w:val="null3"/>
                  </w:pPr>
                  <w:r>
                    <w:rPr>
                      <w:rFonts w:ascii="仿宋_GB2312" w:hAnsi="仿宋_GB2312" w:cs="仿宋_GB2312" w:eastAsia="仿宋_GB2312"/>
                      <w:sz w:val="19"/>
                    </w:rPr>
                    <w:t>本地就地控制，智能决策，告警信息主动推送</w:t>
                  </w:r>
                  <w:r>
                    <w:rPr>
                      <w:rFonts w:ascii="仿宋_GB2312" w:hAnsi="仿宋_GB2312" w:cs="仿宋_GB2312" w:eastAsia="仿宋_GB2312"/>
                      <w:sz w:val="19"/>
                    </w:rPr>
                    <w:t>。</w:t>
                  </w:r>
                </w:p>
                <w:p>
                  <w:pPr>
                    <w:pStyle w:val="null3"/>
                  </w:pPr>
                  <w:r>
                    <w:rPr>
                      <w:rFonts w:ascii="仿宋_GB2312" w:hAnsi="仿宋_GB2312" w:cs="仿宋_GB2312" w:eastAsia="仿宋_GB2312"/>
                      <w:sz w:val="19"/>
                    </w:rPr>
                    <w:t>云边协同，节省平台数据处理压力</w:t>
                  </w:r>
                  <w:r>
                    <w:rPr>
                      <w:rFonts w:ascii="仿宋_GB2312" w:hAnsi="仿宋_GB2312" w:cs="仿宋_GB2312" w:eastAsia="仿宋_GB2312"/>
                      <w:sz w:val="19"/>
                    </w:rPr>
                    <w:t>。</w:t>
                  </w:r>
                </w:p>
                <w:p>
                  <w:pPr>
                    <w:pStyle w:val="null3"/>
                  </w:pPr>
                  <w:r>
                    <w:rPr>
                      <w:rFonts w:ascii="仿宋_GB2312" w:hAnsi="仿宋_GB2312" w:cs="仿宋_GB2312" w:eastAsia="仿宋_GB2312"/>
                      <w:sz w:val="19"/>
                    </w:rPr>
                    <w:t>支持添加虚拟设备和虚拟测点，实现公式计算后的数据上传</w:t>
                  </w:r>
                  <w:r>
                    <w:rPr>
                      <w:rFonts w:ascii="仿宋_GB2312" w:hAnsi="仿宋_GB2312" w:cs="仿宋_GB2312" w:eastAsia="仿宋_GB2312"/>
                      <w:sz w:val="19"/>
                    </w:rPr>
                    <w:t>。</w:t>
                  </w:r>
                </w:p>
                <w:p>
                  <w:pPr>
                    <w:pStyle w:val="null3"/>
                  </w:pPr>
                  <w:r>
                    <w:rPr>
                      <w:rFonts w:ascii="仿宋_GB2312" w:hAnsi="仿宋_GB2312" w:cs="仿宋_GB2312" w:eastAsia="仿宋_GB2312"/>
                      <w:sz w:val="19"/>
                    </w:rPr>
                    <w:t>支持自定义变量</w:t>
                  </w:r>
                  <w:r>
                    <w:rPr>
                      <w:rFonts w:ascii="仿宋_GB2312" w:hAnsi="仿宋_GB2312" w:cs="仿宋_GB2312" w:eastAsia="仿宋_GB2312"/>
                      <w:sz w:val="19"/>
                    </w:rPr>
                    <w:t>/表达式/条件联动/定时器，可将本地计算结果上传；配置方式提供Web界面或离线工具，配置可导入导出；</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信息安全</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1）MD5、sha身份认证算法，AES、DES、3DES等加密算法。</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2）支持TLS/SSL协议，单向和双向身份认证。</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3）支持VPNIPsec协议，利用隧道技术封装传输报文，保证数据安全可靠传输。</w:t>
                  </w:r>
                </w:p>
                <w:p>
                  <w:pPr>
                    <w:pStyle w:val="null3"/>
                  </w:pPr>
                  <w:r>
                    <w:rPr>
                      <w:rFonts w:ascii="仿宋_GB2312" w:hAnsi="仿宋_GB2312" w:cs="仿宋_GB2312" w:eastAsia="仿宋_GB2312"/>
                      <w:sz w:val="19"/>
                    </w:rPr>
                    <w:t>（</w:t>
                  </w:r>
                  <w:r>
                    <w:rPr>
                      <w:rFonts w:ascii="仿宋_GB2312" w:hAnsi="仿宋_GB2312" w:cs="仿宋_GB2312" w:eastAsia="仿宋_GB2312"/>
                      <w:sz w:val="19"/>
                    </w:rPr>
                    <w:t>4）支持</w:t>
                  </w:r>
                  <w:r>
                    <w:rPr>
                      <w:rFonts w:ascii="仿宋_GB2312" w:hAnsi="仿宋_GB2312" w:cs="仿宋_GB2312" w:eastAsia="仿宋_GB2312"/>
                      <w:sz w:val="19"/>
                    </w:rPr>
                    <w:t>通信白名单、防火墙等功能，确保网络信息安全。</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失电告警</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具备掉电检测与储能（超级电容）机制，掉电后可维持运行</w:t>
                  </w:r>
                  <w:r>
                    <w:rPr>
                      <w:rFonts w:ascii="仿宋_GB2312" w:hAnsi="仿宋_GB2312" w:cs="仿宋_GB2312" w:eastAsia="仿宋_GB2312"/>
                      <w:sz w:val="19"/>
                    </w:rPr>
                    <w:t>≥3s并向平台上报一次失电事件；</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NAT和端口映射</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w:t>
                  </w:r>
                  <w:r>
                    <w:rPr>
                      <w:rFonts w:ascii="仿宋_GB2312" w:hAnsi="仿宋_GB2312" w:cs="仿宋_GB2312" w:eastAsia="仿宋_GB2312"/>
                      <w:sz w:val="19"/>
                    </w:rPr>
                    <w:t>NAT功能和端口映射功能</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DNS域名解析</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w:t>
                  </w:r>
                  <w:r>
                    <w:rPr>
                      <w:rFonts w:ascii="仿宋_GB2312" w:hAnsi="仿宋_GB2312" w:cs="仿宋_GB2312" w:eastAsia="仿宋_GB2312"/>
                      <w:sz w:val="19"/>
                    </w:rPr>
                    <w:t>DNS域名解析功能和静态路由功能</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校时功能</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w:t>
                  </w:r>
                  <w:r>
                    <w:rPr>
                      <w:rFonts w:ascii="仿宋_GB2312" w:hAnsi="仿宋_GB2312" w:cs="仿宋_GB2312" w:eastAsia="仿宋_GB2312"/>
                      <w:sz w:val="19"/>
                    </w:rPr>
                    <w:t>RTC、SNTP校时；RTC实时时钟：RTC守时误差≤0.5s/d；SNTP网络校时精度：SNTP网络校时精度≤100ms</w:t>
                  </w:r>
                </w:p>
              </w:tc>
            </w:tr>
          </w:tbl>
          <w:p>
            <w:pPr>
              <w:pStyle w:val="null3"/>
            </w:pPr>
            <w:r>
              <w:rPr>
                <w:rFonts w:ascii="仿宋_GB2312" w:hAnsi="仿宋_GB2312" w:cs="仿宋_GB2312" w:eastAsia="仿宋_GB2312"/>
              </w:rPr>
              <w:t>5.配置功能</w:t>
            </w:r>
          </w:p>
          <w:tbl>
            <w:tblPr>
              <w:tblBorders>
                <w:top w:val="none" w:color="000000" w:sz="4"/>
                <w:left w:val="none" w:color="000000" w:sz="4"/>
                <w:bottom w:val="none" w:color="000000" w:sz="4"/>
                <w:right w:val="none" w:color="000000" w:sz="4"/>
                <w:insideH w:val="none"/>
                <w:insideV w:val="none"/>
              </w:tblBorders>
            </w:tblPr>
            <w:tblGrid>
              <w:gridCol w:w="667"/>
              <w:gridCol w:w="1880"/>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配置功能</w:t>
                  </w:r>
                </w:p>
              </w:tc>
              <w:tc>
                <w:tcPr>
                  <w:tcW w:type="dxa" w:w="1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支持本地配置、远程配置、远程升级等</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远程配置功能</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支持远程对网关进行配置、通信诊断调试，支持远程</w:t>
                  </w:r>
                  <w:r>
                    <w:rPr>
                      <w:rFonts w:ascii="仿宋_GB2312" w:hAnsi="仿宋_GB2312" w:cs="仿宋_GB2312" w:eastAsia="仿宋_GB2312"/>
                      <w:sz w:val="19"/>
                    </w:rPr>
                    <w:t>OTA升级</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远程平台</w:t>
                  </w:r>
                </w:p>
                <w:p>
                  <w:pPr>
                    <w:pStyle w:val="null3"/>
                  </w:pPr>
                  <w:r>
                    <w:rPr>
                      <w:rFonts w:ascii="仿宋_GB2312" w:hAnsi="仿宋_GB2312" w:cs="仿宋_GB2312" w:eastAsia="仿宋_GB2312"/>
                      <w:sz w:val="19"/>
                    </w:rPr>
                    <w:t>用户管理</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支持远程平台对网关进行统一管理，支持用户管理和权限管理，支持项目管理和设备管理</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扫码调试</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支持微信小程序扫码调试</w:t>
                  </w:r>
                </w:p>
              </w:tc>
            </w:tr>
          </w:tbl>
          <w:p>
            <w:pPr>
              <w:pStyle w:val="null3"/>
            </w:pPr>
            <w:r>
              <w:rPr>
                <w:rFonts w:ascii="仿宋_GB2312" w:hAnsi="仿宋_GB2312" w:cs="仿宋_GB2312" w:eastAsia="仿宋_GB2312"/>
              </w:rPr>
              <w:t>6.电磁兼容性能</w:t>
            </w:r>
          </w:p>
          <w:tbl>
            <w:tblPr>
              <w:tblBorders>
                <w:top w:val="none" w:color="000000" w:sz="4"/>
                <w:left w:val="none" w:color="000000" w:sz="4"/>
                <w:bottom w:val="none" w:color="000000" w:sz="4"/>
                <w:right w:val="none" w:color="000000" w:sz="4"/>
                <w:insideH w:val="none"/>
                <w:insideV w:val="none"/>
              </w:tblBorders>
            </w:tblPr>
            <w:tblGrid>
              <w:gridCol w:w="667"/>
              <w:gridCol w:w="1880"/>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c>
                <w:tcPr>
                  <w:tcW w:type="dxa" w:w="1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静电放电抗扰度</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符合</w:t>
                  </w:r>
                  <w:r>
                    <w:rPr>
                      <w:rFonts w:ascii="仿宋_GB2312" w:hAnsi="仿宋_GB2312" w:cs="仿宋_GB2312" w:eastAsia="仿宋_GB2312"/>
                      <w:sz w:val="19"/>
                    </w:rPr>
                    <w:t>GB/T17626.2-2018规定，严酷等级为4级</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射频电磁场</w:t>
                  </w:r>
                </w:p>
                <w:p>
                  <w:pPr>
                    <w:pStyle w:val="null3"/>
                  </w:pPr>
                  <w:r>
                    <w:rPr>
                      <w:rFonts w:ascii="仿宋_GB2312" w:hAnsi="仿宋_GB2312" w:cs="仿宋_GB2312" w:eastAsia="仿宋_GB2312"/>
                      <w:sz w:val="19"/>
                    </w:rPr>
                    <w:t>辐射抗扰度</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符合</w:t>
                  </w:r>
                  <w:r>
                    <w:rPr>
                      <w:rFonts w:ascii="仿宋_GB2312" w:hAnsi="仿宋_GB2312" w:cs="仿宋_GB2312" w:eastAsia="仿宋_GB2312"/>
                      <w:sz w:val="19"/>
                    </w:rPr>
                    <w:t>GB/T17626.3-2016规定，严酷等级为3级</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电快速瞬变</w:t>
                  </w:r>
                </w:p>
                <w:p>
                  <w:pPr>
                    <w:pStyle w:val="null3"/>
                  </w:pPr>
                  <w:r>
                    <w:rPr>
                      <w:rFonts w:ascii="仿宋_GB2312" w:hAnsi="仿宋_GB2312" w:cs="仿宋_GB2312" w:eastAsia="仿宋_GB2312"/>
                      <w:sz w:val="19"/>
                    </w:rPr>
                    <w:t>脉冲群抗扰度</w:t>
                  </w:r>
                </w:p>
              </w:tc>
              <w:tc>
                <w:tcPr>
                  <w:tcW w:type="dxa" w:w="1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符合</w:t>
                  </w:r>
                  <w:r>
                    <w:rPr>
                      <w:rFonts w:ascii="仿宋_GB2312" w:hAnsi="仿宋_GB2312" w:cs="仿宋_GB2312" w:eastAsia="仿宋_GB2312"/>
                      <w:sz w:val="19"/>
                    </w:rPr>
                    <w:t>GB/T17626.4-2018规定，严酷等级为4级</w:t>
                  </w:r>
                </w:p>
              </w:tc>
            </w:tr>
          </w:tbl>
          <w:p>
            <w:pPr>
              <w:pStyle w:val="null3"/>
            </w:pPr>
            <w:r>
              <w:rPr>
                <w:rFonts w:ascii="仿宋_GB2312" w:hAnsi="仿宋_GB2312" w:cs="仿宋_GB2312" w:eastAsia="仿宋_GB2312"/>
                <w:sz w:val="20"/>
              </w:rPr>
              <w:t>▲</w:t>
            </w:r>
            <w:r>
              <w:rPr>
                <w:rFonts w:ascii="仿宋_GB2312" w:hAnsi="仿宋_GB2312" w:cs="仿宋_GB2312" w:eastAsia="仿宋_GB2312"/>
              </w:rPr>
              <w:t>7.检验报告以及专利</w:t>
            </w:r>
          </w:p>
          <w:p>
            <w:pPr>
              <w:pStyle w:val="null3"/>
            </w:pPr>
            <w:r>
              <w:rPr>
                <w:rFonts w:ascii="仿宋_GB2312" w:hAnsi="仿宋_GB2312" w:cs="仿宋_GB2312" w:eastAsia="仿宋_GB2312"/>
              </w:rPr>
              <w:t>提供相应检测报告</w:t>
            </w:r>
          </w:p>
          <w:p>
            <w:pPr>
              <w:pStyle w:val="null3"/>
            </w:pPr>
            <w:r>
              <w:rPr>
                <w:rFonts w:ascii="仿宋_GB2312" w:hAnsi="仿宋_GB2312" w:cs="仿宋_GB2312" w:eastAsia="仿宋_GB2312"/>
              </w:rPr>
              <w:t>为保证学校响应绿色低碳践行用电安全，提供通讯产品新能源用电安全相关的专利</w:t>
            </w:r>
          </w:p>
          <w:p>
            <w:pPr>
              <w:pStyle w:val="null3"/>
            </w:pPr>
            <w:r>
              <w:rPr>
                <w:rFonts w:ascii="仿宋_GB2312" w:hAnsi="仿宋_GB2312" w:cs="仿宋_GB2312" w:eastAsia="仿宋_GB2312"/>
              </w:rPr>
              <w:t>（</w:t>
            </w:r>
            <w:r>
              <w:rPr>
                <w:rFonts w:ascii="仿宋_GB2312" w:hAnsi="仿宋_GB2312" w:cs="仿宋_GB2312" w:eastAsia="仿宋_GB2312"/>
              </w:rPr>
              <w:t>2）电表设备</w:t>
            </w:r>
          </w:p>
          <w:p>
            <w:pPr>
              <w:pStyle w:val="null3"/>
            </w:pPr>
            <w:r>
              <w:rPr>
                <w:rFonts w:ascii="仿宋_GB2312" w:hAnsi="仿宋_GB2312" w:cs="仿宋_GB2312" w:eastAsia="仿宋_GB2312"/>
              </w:rPr>
              <w:t>港务、临潼、龙首校区为一进两出单相导轨预付费电表。</w:t>
            </w:r>
          </w:p>
          <w:p>
            <w:pPr>
              <w:pStyle w:val="null3"/>
            </w:pPr>
            <w:r>
              <w:rPr>
                <w:rFonts w:ascii="仿宋_GB2312" w:hAnsi="仿宋_GB2312" w:cs="仿宋_GB2312" w:eastAsia="仿宋_GB2312"/>
                <w:sz w:val="20"/>
              </w:rPr>
              <w:t>▲</w:t>
            </w:r>
            <w:r>
              <w:rPr>
                <w:rFonts w:ascii="仿宋_GB2312" w:hAnsi="仿宋_GB2312" w:cs="仿宋_GB2312" w:eastAsia="仿宋_GB2312"/>
              </w:rPr>
              <w:t>1.标准35mm标</w:t>
            </w:r>
            <w:r>
              <w:rPr>
                <w:rFonts w:ascii="仿宋_GB2312" w:hAnsi="仿宋_GB2312" w:cs="仿宋_GB2312" w:eastAsia="仿宋_GB2312"/>
              </w:rPr>
              <w:t>准导轨式安装，</w:t>
            </w:r>
            <w:r>
              <w:rPr>
                <w:rFonts w:ascii="仿宋_GB2312" w:hAnsi="仿宋_GB2312" w:cs="仿宋_GB2312" w:eastAsia="仿宋_GB2312"/>
                <w:sz w:val="20"/>
              </w:rPr>
              <w:t>安装尺寸为长</w:t>
            </w:r>
            <w:r>
              <w:rPr>
                <w:rFonts w:ascii="仿宋_GB2312" w:hAnsi="仿宋_GB2312" w:cs="仿宋_GB2312" w:eastAsia="仿宋_GB2312"/>
                <w:sz w:val="20"/>
              </w:rPr>
              <w:t>72mm*宽88mm*高120mm</w:t>
            </w:r>
            <w:r>
              <w:rPr>
                <w:rFonts w:ascii="仿宋_GB2312" w:hAnsi="仿宋_GB2312" w:cs="仿宋_GB2312" w:eastAsia="仿宋_GB2312"/>
              </w:rPr>
              <w:t>。</w:t>
            </w:r>
          </w:p>
          <w:p>
            <w:pPr>
              <w:pStyle w:val="null3"/>
            </w:pPr>
            <w:r>
              <w:rPr>
                <w:rFonts w:ascii="仿宋_GB2312" w:hAnsi="仿宋_GB2312" w:cs="仿宋_GB2312" w:eastAsia="仿宋_GB2312"/>
                <w:sz w:val="20"/>
              </w:rPr>
              <w:t>▲</w:t>
            </w:r>
            <w:r>
              <w:rPr>
                <w:rFonts w:ascii="仿宋_GB2312" w:hAnsi="仿宋_GB2312" w:cs="仿宋_GB2312" w:eastAsia="仿宋_GB2312"/>
              </w:rPr>
              <w:t>2.电表须支持单相两回路费控计量，进线电流规格40A，出线电流规格16A，内置负荷开关，各回路可独立计量以及分/合闸控制。</w:t>
            </w:r>
          </w:p>
          <w:p>
            <w:pPr>
              <w:pStyle w:val="null3"/>
            </w:pPr>
            <w:r>
              <w:rPr>
                <w:rFonts w:ascii="仿宋_GB2312" w:hAnsi="仿宋_GB2312" w:cs="仿宋_GB2312" w:eastAsia="仿宋_GB2312"/>
              </w:rPr>
              <w:t>3.采用液晶显示，显示参数包括单相电压、单相电流、有功功率、无功功率、视在功率、功率因数、频率、有功电能等。</w:t>
            </w:r>
          </w:p>
          <w:p>
            <w:pPr>
              <w:pStyle w:val="null3"/>
            </w:pPr>
            <w:r>
              <w:rPr>
                <w:rFonts w:ascii="仿宋_GB2312" w:hAnsi="仿宋_GB2312" w:cs="仿宋_GB2312" w:eastAsia="仿宋_GB2312"/>
              </w:rPr>
              <w:t>4.具有正向有功电能，分时计费电能（至少5个费率）</w:t>
            </w:r>
          </w:p>
          <w:p>
            <w:pPr>
              <w:pStyle w:val="null3"/>
            </w:pPr>
            <w:r>
              <w:rPr>
                <w:rFonts w:ascii="仿宋_GB2312" w:hAnsi="仿宋_GB2312" w:cs="仿宋_GB2312" w:eastAsia="仿宋_GB2312"/>
              </w:rPr>
              <w:t>5.电表需具有分时计费功能，可设置12个年时区，12个日时段表，14个日时段，5种费率，20个公共假日，计费季、日时段、特殊日、费率均有两套方案</w:t>
            </w:r>
          </w:p>
          <w:p>
            <w:pPr>
              <w:pStyle w:val="null3"/>
            </w:pPr>
            <w:r>
              <w:rPr>
                <w:rFonts w:ascii="仿宋_GB2312" w:hAnsi="仿宋_GB2312" w:cs="仿宋_GB2312" w:eastAsia="仿宋_GB2312"/>
              </w:rPr>
              <w:t>6.电表需具有预付费功能，有预付费管理、电费缴纳、赊欠、恶性负载识别、学习、时间控制、电费补贴等功能。</w:t>
            </w:r>
          </w:p>
          <w:p>
            <w:pPr>
              <w:pStyle w:val="null3"/>
            </w:pPr>
            <w:r>
              <w:rPr>
                <w:rFonts w:ascii="仿宋_GB2312" w:hAnsi="仿宋_GB2312" w:cs="仿宋_GB2312" w:eastAsia="仿宋_GB2312"/>
              </w:rPr>
              <w:t>7.电表需具有电费账单功能，提供当前月电费账单和上一抄表日电费账单。</w:t>
            </w:r>
          </w:p>
          <w:p>
            <w:pPr>
              <w:pStyle w:val="null3"/>
            </w:pPr>
            <w:r>
              <w:rPr>
                <w:rFonts w:ascii="仿宋_GB2312" w:hAnsi="仿宋_GB2312" w:cs="仿宋_GB2312" w:eastAsia="仿宋_GB2312"/>
              </w:rPr>
              <w:t>8.具有瞬时冻结、整点冻结、月冻结和日冻结功能，冻结数据包含正向有功电能以及分时计费电能，整点冻结数据不少于168条，日冻结和月冻结数据不少于12条，冻结数据包含正向有功电能，分时计费电能。</w:t>
            </w:r>
          </w:p>
          <w:p>
            <w:pPr>
              <w:pStyle w:val="null3"/>
            </w:pPr>
            <w:r>
              <w:rPr>
                <w:rFonts w:ascii="仿宋_GB2312" w:hAnsi="仿宋_GB2312" w:cs="仿宋_GB2312" w:eastAsia="仿宋_GB2312"/>
                <w:sz w:val="20"/>
              </w:rPr>
              <w:t>▲</w:t>
            </w:r>
            <w:r>
              <w:rPr>
                <w:rFonts w:ascii="仿宋_GB2312" w:hAnsi="仿宋_GB2312" w:cs="仿宋_GB2312" w:eastAsia="仿宋_GB2312"/>
              </w:rPr>
              <w:t>9.具有恶性负载相关功能：能够识别热得快，微波炉等用电器，识别后可以跳闸，支持自动重合闸，授权负载学习功能，发生恶性负载跳闸时，产生事件记录，记录恶性负载设备的使用时间、有功功率等，事件记录条数不少于8条。</w:t>
            </w:r>
          </w:p>
          <w:p>
            <w:pPr>
              <w:pStyle w:val="null3"/>
            </w:pPr>
            <w:r>
              <w:rPr>
                <w:rFonts w:ascii="仿宋_GB2312" w:hAnsi="仿宋_GB2312" w:cs="仿宋_GB2312" w:eastAsia="仿宋_GB2312"/>
                <w:sz w:val="20"/>
              </w:rPr>
              <w:t>▲</w:t>
            </w:r>
            <w:r>
              <w:rPr>
                <w:rFonts w:ascii="仿宋_GB2312" w:hAnsi="仿宋_GB2312" w:cs="仿宋_GB2312" w:eastAsia="仿宋_GB2312"/>
              </w:rPr>
              <w:t>10.支持限时功率控制功能，可设置分时段的超功率断电和非限电时间内的合闸控制。可设置对负载自动断电和供电的时间，可设置限电时间段的最大有功功率，也可以设定某时段内为小功率输出，设定时间后自动回复正常供电，每个回路可以独立设置。</w:t>
            </w:r>
          </w:p>
          <w:p>
            <w:pPr>
              <w:pStyle w:val="null3"/>
            </w:pPr>
            <w:r>
              <w:rPr>
                <w:rFonts w:ascii="仿宋_GB2312" w:hAnsi="仿宋_GB2312" w:cs="仿宋_GB2312" w:eastAsia="仿宋_GB2312"/>
              </w:rPr>
              <w:t>11.具有事件记录功能，能够记录过压事件、欠压事件、过流事件、上电事件、掉电事件、电表清零等事件记录发生日期、时间及记录值，事件条数不少于96条。</w:t>
            </w:r>
          </w:p>
          <w:p>
            <w:pPr>
              <w:pStyle w:val="null3"/>
            </w:pPr>
            <w:r>
              <w:rPr>
                <w:rFonts w:ascii="仿宋_GB2312" w:hAnsi="仿宋_GB2312" w:cs="仿宋_GB2312" w:eastAsia="仿宋_GB2312"/>
              </w:rPr>
              <w:t>12.电表具有光电式、接点式电能脉冲输出功能。</w:t>
            </w:r>
          </w:p>
          <w:p>
            <w:pPr>
              <w:pStyle w:val="null3"/>
            </w:pPr>
            <w:r>
              <w:rPr>
                <w:rFonts w:ascii="仿宋_GB2312" w:hAnsi="仿宋_GB2312" w:cs="仿宋_GB2312" w:eastAsia="仿宋_GB2312"/>
              </w:rPr>
              <w:t>13.电表具备1个RS-485口，1个红外通信口，支持DL/T645规约。</w:t>
            </w:r>
          </w:p>
          <w:p>
            <w:pPr>
              <w:pStyle w:val="null3"/>
            </w:pPr>
            <w:r>
              <w:rPr>
                <w:rFonts w:ascii="仿宋_GB2312" w:hAnsi="仿宋_GB2312" w:cs="仿宋_GB2312" w:eastAsia="仿宋_GB2312"/>
              </w:rPr>
              <w:t>14.停电后电量自动存储，数据不丢失。</w:t>
            </w:r>
          </w:p>
          <w:p>
            <w:pPr>
              <w:pStyle w:val="null3"/>
            </w:pPr>
            <w:r>
              <w:rPr>
                <w:rFonts w:ascii="仿宋_GB2312" w:hAnsi="仿宋_GB2312" w:cs="仿宋_GB2312" w:eastAsia="仿宋_GB2312"/>
              </w:rPr>
              <w:t>自强校区为多回路单相导轨预付费电表</w:t>
            </w:r>
          </w:p>
          <w:p>
            <w:pPr>
              <w:pStyle w:val="null3"/>
            </w:pPr>
            <w:r>
              <w:rPr>
                <w:rFonts w:ascii="仿宋_GB2312" w:hAnsi="仿宋_GB2312" w:cs="仿宋_GB2312" w:eastAsia="仿宋_GB2312"/>
              </w:rPr>
              <w:t>1.测量参数：电压、电流、有功功率、无功功率、视在功率、功率因数、频率；</w:t>
            </w:r>
          </w:p>
          <w:p>
            <w:pPr>
              <w:pStyle w:val="null3"/>
            </w:pPr>
            <w:r>
              <w:rPr>
                <w:rFonts w:ascii="仿宋_GB2312" w:hAnsi="仿宋_GB2312" w:cs="仿宋_GB2312" w:eastAsia="仿宋_GB2312"/>
              </w:rPr>
              <w:t>2.电能计量：正向有功电能，正向有功费率1~5电能；</w:t>
            </w:r>
          </w:p>
          <w:p>
            <w:pPr>
              <w:pStyle w:val="null3"/>
            </w:pPr>
            <w:r>
              <w:rPr>
                <w:rFonts w:ascii="仿宋_GB2312" w:hAnsi="仿宋_GB2312" w:cs="仿宋_GB2312" w:eastAsia="仿宋_GB2312"/>
              </w:rPr>
              <w:t>3.分时计费：可设置12个时区，12种日费率，14个日时段数，5种费率,20个公共假日时区表、日时段、电价均有两套方案；</w:t>
            </w:r>
          </w:p>
          <w:p>
            <w:pPr>
              <w:pStyle w:val="null3"/>
            </w:pPr>
            <w:r>
              <w:rPr>
                <w:rFonts w:ascii="仿宋_GB2312" w:hAnsi="仿宋_GB2312" w:cs="仿宋_GB2312" w:eastAsia="仿宋_GB2312"/>
              </w:rPr>
              <w:t>4.事件记录：8条违规用电记录、10条充值记录、10条退费记录、100条操作报警等事件记录；</w:t>
            </w:r>
          </w:p>
          <w:p>
            <w:pPr>
              <w:pStyle w:val="null3"/>
            </w:pPr>
            <w:r>
              <w:rPr>
                <w:rFonts w:ascii="仿宋_GB2312" w:hAnsi="仿宋_GB2312" w:cs="仿宋_GB2312" w:eastAsia="仿宋_GB2312"/>
              </w:rPr>
              <w:t>5.数据冻结：瞬时冻结、整点冻结、日冻结和月冻结，可对装置的电能进行冻结，并记录冻结数据和时间；</w:t>
            </w:r>
          </w:p>
          <w:p>
            <w:pPr>
              <w:pStyle w:val="null3"/>
            </w:pPr>
            <w:r>
              <w:rPr>
                <w:rFonts w:ascii="仿宋_GB2312" w:hAnsi="仿宋_GB2312" w:cs="仿宋_GB2312" w:eastAsia="仿宋_GB2312"/>
              </w:rPr>
              <w:t>6.电费账单：可记录24个月电费账单；</w:t>
            </w:r>
          </w:p>
          <w:p>
            <w:pPr>
              <w:pStyle w:val="null3"/>
            </w:pPr>
            <w:r>
              <w:rPr>
                <w:rFonts w:ascii="仿宋_GB2312" w:hAnsi="仿宋_GB2312" w:cs="仿宋_GB2312" w:eastAsia="仿宋_GB2312"/>
              </w:rPr>
              <w:t>7.费控模式：具有远程费控和本地费控2种模式；</w:t>
            </w:r>
          </w:p>
          <w:p>
            <w:pPr>
              <w:pStyle w:val="null3"/>
            </w:pPr>
            <w:r>
              <w:rPr>
                <w:rFonts w:ascii="仿宋_GB2312" w:hAnsi="仿宋_GB2312" w:cs="仿宋_GB2312" w:eastAsia="仿宋_GB2312"/>
                <w:sz w:val="20"/>
              </w:rPr>
              <w:t>▲</w:t>
            </w:r>
            <w:r>
              <w:rPr>
                <w:rFonts w:ascii="仿宋_GB2312" w:hAnsi="仿宋_GB2312" w:cs="仿宋_GB2312" w:eastAsia="仿宋_GB2312"/>
              </w:rPr>
              <w:t>8.负荷控制方式：远程费控分合、本地费控分合、自动重合闸、限时控制功能、恶性负载、授权负载、逻辑控制功能、空调专线防插拔功能；</w:t>
            </w:r>
          </w:p>
          <w:p>
            <w:pPr>
              <w:pStyle w:val="null3"/>
            </w:pPr>
            <w:r>
              <w:rPr>
                <w:rFonts w:ascii="仿宋_GB2312" w:hAnsi="仿宋_GB2312" w:cs="仿宋_GB2312" w:eastAsia="仿宋_GB2312"/>
              </w:rPr>
              <w:t>9.报警功能：过压、欠压、过流报警功能；</w:t>
            </w:r>
          </w:p>
          <w:p>
            <w:pPr>
              <w:pStyle w:val="null3"/>
            </w:pPr>
            <w:r>
              <w:rPr>
                <w:rFonts w:ascii="仿宋_GB2312" w:hAnsi="仿宋_GB2312" w:cs="仿宋_GB2312" w:eastAsia="仿宋_GB2312"/>
                <w:sz w:val="20"/>
              </w:rPr>
              <w:t>▲</w:t>
            </w:r>
            <w:r>
              <w:rPr>
                <w:rFonts w:ascii="仿宋_GB2312" w:hAnsi="仿宋_GB2312" w:cs="仿宋_GB2312" w:eastAsia="仿宋_GB2312"/>
              </w:rPr>
              <w:t>10.电表具备主从机模式，一个主机带36个回路12个从机，其中一路出故障，只需要最多停电该从机的三个回路；</w:t>
            </w:r>
          </w:p>
          <w:p>
            <w:pPr>
              <w:pStyle w:val="null3"/>
            </w:pPr>
            <w:r>
              <w:rPr>
                <w:rFonts w:ascii="仿宋_GB2312" w:hAnsi="仿宋_GB2312" w:cs="仿宋_GB2312" w:eastAsia="仿宋_GB2312"/>
              </w:rPr>
              <w:t>11.输入输出：每个从机1路光电式电能脉冲输出，主机1路接点式脉冲输出；</w:t>
            </w:r>
          </w:p>
          <w:p>
            <w:pPr>
              <w:pStyle w:val="null3"/>
            </w:pPr>
            <w:r>
              <w:rPr>
                <w:rFonts w:ascii="仿宋_GB2312" w:hAnsi="仿宋_GB2312" w:cs="仿宋_GB2312" w:eastAsia="仿宋_GB2312"/>
              </w:rPr>
              <w:t>12.通信方式：1个RS-485口：DL/T645-2007、1个红外通信口：DL/T645-2007、可选1路4G无线通信口（采用2FF规格SIM卡）：DL/T645-2007</w:t>
            </w:r>
          </w:p>
          <w:p>
            <w:pPr>
              <w:pStyle w:val="null3"/>
            </w:pPr>
            <w:r>
              <w:rPr>
                <w:rFonts w:ascii="仿宋_GB2312" w:hAnsi="仿宋_GB2312" w:cs="仿宋_GB2312" w:eastAsia="仿宋_GB2312"/>
                <w:sz w:val="20"/>
              </w:rPr>
              <w:t>▲</w:t>
            </w:r>
            <w:r>
              <w:rPr>
                <w:rFonts w:ascii="仿宋_GB2312" w:hAnsi="仿宋_GB2312" w:cs="仿宋_GB2312" w:eastAsia="仿宋_GB2312"/>
              </w:rPr>
              <w:t>13.制造商所投的计量产品需通过制造计量许可认证（CPA认证）。</w:t>
            </w:r>
          </w:p>
          <w:p>
            <w:pPr>
              <w:pStyle w:val="null3"/>
            </w:pPr>
            <w:r>
              <w:rPr>
                <w:rFonts w:ascii="仿宋_GB2312" w:hAnsi="仿宋_GB2312" w:cs="仿宋_GB2312" w:eastAsia="仿宋_GB2312"/>
              </w:rPr>
              <w:t>四校区的三相单回路预付费电表</w:t>
            </w:r>
          </w:p>
          <w:p>
            <w:pPr>
              <w:pStyle w:val="null3"/>
            </w:pPr>
            <w:r>
              <w:rPr>
                <w:rFonts w:ascii="仿宋_GB2312" w:hAnsi="仿宋_GB2312" w:cs="仿宋_GB2312" w:eastAsia="仿宋_GB2312"/>
              </w:rPr>
              <w:t>1.具有CPA认证（计量器具型式评价批准证书），需提供相关认证材料。</w:t>
            </w:r>
          </w:p>
          <w:p>
            <w:pPr>
              <w:pStyle w:val="null3"/>
            </w:pPr>
            <w:r>
              <w:rPr>
                <w:rFonts w:ascii="仿宋_GB2312" w:hAnsi="仿宋_GB2312" w:cs="仿宋_GB2312" w:eastAsia="仿宋_GB2312"/>
              </w:rPr>
              <w:t>2.标准35mm标准导轨式安装。</w:t>
            </w:r>
          </w:p>
          <w:p>
            <w:pPr>
              <w:pStyle w:val="null3"/>
            </w:pPr>
            <w:r>
              <w:rPr>
                <w:rFonts w:ascii="仿宋_GB2312" w:hAnsi="仿宋_GB2312" w:cs="仿宋_GB2312" w:eastAsia="仿宋_GB2312"/>
              </w:rPr>
              <w:t>3.电压接入3x220V ，电流直接接入时每相最大80A电流，内置负荷开关，可以直接切断80A电流，经CT接入时电流规格1.5(6A）。</w:t>
            </w:r>
          </w:p>
          <w:p>
            <w:pPr>
              <w:pStyle w:val="null3"/>
            </w:pPr>
            <w:r>
              <w:rPr>
                <w:rFonts w:ascii="仿宋_GB2312" w:hAnsi="仿宋_GB2312" w:cs="仿宋_GB2312" w:eastAsia="仿宋_GB2312"/>
              </w:rPr>
              <w:t>4.有功电能C级（0.5S级）；无功电能1级（提供第三方检测报告）</w:t>
            </w:r>
          </w:p>
          <w:p>
            <w:pPr>
              <w:pStyle w:val="null3"/>
            </w:pPr>
            <w:r>
              <w:rPr>
                <w:rFonts w:ascii="仿宋_GB2312" w:hAnsi="仿宋_GB2312" w:cs="仿宋_GB2312" w:eastAsia="仿宋_GB2312"/>
                <w:sz w:val="20"/>
              </w:rPr>
              <w:t>▲</w:t>
            </w:r>
            <w:r>
              <w:rPr>
                <w:rFonts w:ascii="仿宋_GB2312" w:hAnsi="仿宋_GB2312" w:cs="仿宋_GB2312" w:eastAsia="仿宋_GB2312"/>
              </w:rPr>
              <w:t>5.具有三相相电压、线电压及平均值、三相电流及平均值、零线电流、三相有功功率、无功功率、视在功率及总值、三相功率因数及总值、电压相角、电流相角、频率</w:t>
            </w:r>
          </w:p>
          <w:p>
            <w:pPr>
              <w:pStyle w:val="null3"/>
            </w:pPr>
            <w:r>
              <w:rPr>
                <w:rFonts w:ascii="仿宋_GB2312" w:hAnsi="仿宋_GB2312" w:cs="仿宋_GB2312" w:eastAsia="仿宋_GB2312"/>
              </w:rPr>
              <w:t>6.具有正向、反向有功电能，组合有功电能、分时计费电能（至少5个费率） ，组合无功电能、四象限无功电能，视在电能，12月历史电能（包括正向有功电能，分时计费电能）。</w:t>
            </w:r>
          </w:p>
          <w:p>
            <w:pPr>
              <w:pStyle w:val="null3"/>
            </w:pPr>
            <w:r>
              <w:rPr>
                <w:rFonts w:ascii="仿宋_GB2312" w:hAnsi="仿宋_GB2312" w:cs="仿宋_GB2312" w:eastAsia="仿宋_GB2312"/>
              </w:rPr>
              <w:t>7.仪表采用LCD液晶显示，可本地进行数据显示和基本参数设置。</w:t>
            </w:r>
          </w:p>
          <w:p>
            <w:pPr>
              <w:pStyle w:val="null3"/>
            </w:pPr>
            <w:r>
              <w:rPr>
                <w:rFonts w:ascii="仿宋_GB2312" w:hAnsi="仿宋_GB2312" w:cs="仿宋_GB2312" w:eastAsia="仿宋_GB2312"/>
              </w:rPr>
              <w:t>8.仪表需具有预付费功能：有预付费管理、电费缴纳、限时控制、重合闸、保电等功能，电费账单功能，提供当前月电费账单和上一抄表日电费账单。</w:t>
            </w:r>
          </w:p>
          <w:p>
            <w:pPr>
              <w:pStyle w:val="null3"/>
            </w:pPr>
            <w:r>
              <w:rPr>
                <w:rFonts w:ascii="仿宋_GB2312" w:hAnsi="仿宋_GB2312" w:cs="仿宋_GB2312" w:eastAsia="仿宋_GB2312"/>
              </w:rPr>
              <w:t>9.具有分时计费功能，支持12个计费季，12种费率表，14个日时段，20个特殊日，5种费率，计费季、日时段、费率均有两套方案。</w:t>
            </w:r>
          </w:p>
          <w:p>
            <w:pPr>
              <w:pStyle w:val="null3"/>
            </w:pPr>
            <w:r>
              <w:rPr>
                <w:rFonts w:ascii="仿宋_GB2312" w:hAnsi="仿宋_GB2312" w:cs="仿宋_GB2312" w:eastAsia="仿宋_GB2312"/>
              </w:rPr>
              <w:t>10.具有电压、电流的2～31次谐波含量以及谐波总畸变率、总偶次畸变率、总奇次畸变率功能，具有三相电压/电流不平衡度测量、电流谐波有效值计算等功能。</w:t>
            </w:r>
          </w:p>
          <w:p>
            <w:pPr>
              <w:pStyle w:val="null3"/>
            </w:pPr>
            <w:r>
              <w:rPr>
                <w:rFonts w:ascii="仿宋_GB2312" w:hAnsi="仿宋_GB2312" w:cs="仿宋_GB2312" w:eastAsia="仿宋_GB2312"/>
              </w:rPr>
              <w:t>11.具有过压、失压、欠压、断相、失流、过流、断流、过载、功率反向、电压不平衡、电流不平衡等报警功能。报警功能投入后将产生违规事件，并将记录动作时间、动作值等</w:t>
            </w:r>
          </w:p>
          <w:p>
            <w:pPr>
              <w:pStyle w:val="null3"/>
            </w:pPr>
            <w:r>
              <w:rPr>
                <w:rFonts w:ascii="仿宋_GB2312" w:hAnsi="仿宋_GB2312" w:cs="仿宋_GB2312" w:eastAsia="仿宋_GB2312"/>
              </w:rPr>
              <w:t>12.仪表具有需量计算功能，包括实时需量和上月最大需量及发生时间。</w:t>
            </w:r>
          </w:p>
          <w:p>
            <w:pPr>
              <w:pStyle w:val="null3"/>
            </w:pPr>
            <w:r>
              <w:rPr>
                <w:rFonts w:ascii="仿宋_GB2312" w:hAnsi="仿宋_GB2312" w:cs="仿宋_GB2312" w:eastAsia="仿宋_GB2312"/>
              </w:rPr>
              <w:t>13.仪表具备瞬时冻结、整点冻结、日冻结和月冻结功能，装置最多可保存最近3次的瞬时冻结、最近168次的整点冻结、最近12次的日冻结、最近12次的月冻结记录，冻结数据包含正向有功电能，分时计费电能。</w:t>
            </w:r>
          </w:p>
          <w:p>
            <w:pPr>
              <w:pStyle w:val="null3"/>
            </w:pPr>
            <w:r>
              <w:rPr>
                <w:rFonts w:ascii="仿宋_GB2312" w:hAnsi="仿宋_GB2312" w:cs="仿宋_GB2312" w:eastAsia="仿宋_GB2312"/>
              </w:rPr>
              <w:t>14.具有接线自诊断功能：具有频率超限、电压缺相、电流缺相、电压逆向序、电流逆向序、ABC功率方向、电流极性等多种自诊断功能，主要用于安装电表时提醒用户可能存在的接线错误。</w:t>
            </w:r>
          </w:p>
          <w:p>
            <w:pPr>
              <w:pStyle w:val="null3"/>
            </w:pPr>
            <w:r>
              <w:rPr>
                <w:rFonts w:ascii="仿宋_GB2312" w:hAnsi="仿宋_GB2312" w:cs="仿宋_GB2312" w:eastAsia="仿宋_GB2312"/>
              </w:rPr>
              <w:t>15.装置支持时间控制功能：可设置分时段的超功率断电和非限电时间内的合闸控制。可设置对负载自动断电和供电的时间，可设置限电时间段的最大有功功率，也可以设定某时段内为小功率输出，设定时间后自动回复正常供电。</w:t>
            </w:r>
          </w:p>
          <w:p>
            <w:pPr>
              <w:pStyle w:val="null3"/>
            </w:pPr>
            <w:r>
              <w:rPr>
                <w:rFonts w:ascii="仿宋_GB2312" w:hAnsi="仿宋_GB2312" w:cs="仿宋_GB2312" w:eastAsia="仿宋_GB2312"/>
              </w:rPr>
              <w:t>16.可记录100条事件记录，包括：测量监控事件和装置操作自检事件，停电不丢失，并记录发生日期、时间、记录值以及产生事件的总条数，精度可达1ms。</w:t>
            </w:r>
          </w:p>
          <w:p>
            <w:pPr>
              <w:pStyle w:val="null3"/>
            </w:pPr>
            <w:r>
              <w:rPr>
                <w:rFonts w:ascii="仿宋_GB2312" w:hAnsi="仿宋_GB2312" w:cs="仿宋_GB2312" w:eastAsia="仿宋_GB2312"/>
              </w:rPr>
              <w:t>17.标配1路RS-485通信口、1个红外通信口；可选1路4G无线通信，支持全网通；可选1路无线通信，可以和智能网关或者集中器通信，具有高穿强和长传输距离的优势，可穿透3层楼板，无遮挡情况下传输距离超过1000米（或者装置本身具备中继的功能，进行中继通信），支持Modbus、DL/T645-2007规约</w:t>
            </w:r>
          </w:p>
          <w:p>
            <w:pPr>
              <w:pStyle w:val="null3"/>
            </w:pPr>
            <w:r>
              <w:rPr>
                <w:rFonts w:ascii="仿宋_GB2312" w:hAnsi="仿宋_GB2312" w:cs="仿宋_GB2312" w:eastAsia="仿宋_GB2312"/>
              </w:rPr>
              <w:t>18.具备安全性设计，自带铅封孔，安装接线完后可铅封；支持安全控制策略，内置负荷开关可投退的延时安全控制；支持DL/T645操作加密，可确保远程操作的安全性；</w:t>
            </w:r>
          </w:p>
          <w:p>
            <w:pPr>
              <w:pStyle w:val="null3"/>
              <w:ind w:firstLine="400"/>
            </w:pPr>
            <w:r>
              <w:rPr>
                <w:rFonts w:ascii="仿宋_GB2312" w:hAnsi="仿宋_GB2312" w:cs="仿宋_GB2312" w:eastAsia="仿宋_GB2312"/>
              </w:rPr>
              <w:t>以上所有硬件产品需满足</w:t>
            </w:r>
            <w:r>
              <w:rPr>
                <w:rFonts w:ascii="仿宋_GB2312" w:hAnsi="仿宋_GB2312" w:cs="仿宋_GB2312" w:eastAsia="仿宋_GB2312"/>
              </w:rPr>
              <w:t>10年质保</w:t>
            </w:r>
          </w:p>
          <w:p>
            <w:pPr>
              <w:pStyle w:val="null3"/>
            </w:pPr>
            <w:r>
              <w:rPr>
                <w:rFonts w:ascii="仿宋_GB2312" w:hAnsi="仿宋_GB2312" w:cs="仿宋_GB2312" w:eastAsia="仿宋_GB2312"/>
              </w:rPr>
              <w:t>（二）系统要求</w:t>
            </w:r>
          </w:p>
          <w:p>
            <w:pPr>
              <w:pStyle w:val="null3"/>
            </w:pPr>
            <w:r>
              <w:rPr>
                <w:rFonts w:ascii="仿宋_GB2312" w:hAnsi="仿宋_GB2312" w:cs="仿宋_GB2312" w:eastAsia="仿宋_GB2312"/>
              </w:rPr>
              <w:t>系统满足</w:t>
            </w:r>
            <w:r>
              <w:rPr>
                <w:rFonts w:ascii="仿宋_GB2312" w:hAnsi="仿宋_GB2312" w:cs="仿宋_GB2312" w:eastAsia="仿宋_GB2312"/>
              </w:rPr>
              <w:t>5年内免费升级与维护需求。</w:t>
            </w:r>
          </w:p>
          <w:p>
            <w:pPr>
              <w:pStyle w:val="null3"/>
            </w:pPr>
            <w:r>
              <w:rPr>
                <w:rFonts w:ascii="仿宋_GB2312" w:hAnsi="仿宋_GB2312" w:cs="仿宋_GB2312" w:eastAsia="仿宋_GB2312"/>
              </w:rPr>
              <w:t>1.技术架构要求</w:t>
            </w:r>
          </w:p>
          <w:p>
            <w:pPr>
              <w:pStyle w:val="null3"/>
            </w:pPr>
            <w:r>
              <w:rPr>
                <w:rFonts w:ascii="仿宋_GB2312" w:hAnsi="仿宋_GB2312" w:cs="仿宋_GB2312" w:eastAsia="仿宋_GB2312"/>
              </w:rPr>
              <w:t>(1)部署兼容性：系统应支持信创体系。</w:t>
            </w:r>
          </w:p>
          <w:p>
            <w:pPr>
              <w:pStyle w:val="null3"/>
            </w:pPr>
            <w:r>
              <w:rPr>
                <w:rFonts w:ascii="仿宋_GB2312" w:hAnsi="仿宋_GB2312" w:cs="仿宋_GB2312" w:eastAsia="仿宋_GB2312"/>
              </w:rPr>
              <w:t>(2)数据库支持：系统数据库应支持主流关系型数据库，采用国产数据库。</w:t>
            </w:r>
          </w:p>
          <w:p>
            <w:pPr>
              <w:pStyle w:val="null3"/>
            </w:pPr>
            <w:r>
              <w:rPr>
                <w:rFonts w:ascii="仿宋_GB2312" w:hAnsi="仿宋_GB2312" w:cs="仿宋_GB2312" w:eastAsia="仿宋_GB2312"/>
              </w:rPr>
              <w:t>2.安全与合规性要求</w:t>
            </w:r>
          </w:p>
          <w:p>
            <w:pPr>
              <w:pStyle w:val="null3"/>
            </w:pPr>
            <w:r>
              <w:rPr>
                <w:rFonts w:ascii="仿宋_GB2312" w:hAnsi="仿宋_GB2312" w:cs="仿宋_GB2312" w:eastAsia="仿宋_GB2312"/>
              </w:rPr>
              <w:t>(1)数据安全：系统应具备数据加密传输与存储能力，保障用户隐私及交易数据安全。</w:t>
            </w:r>
          </w:p>
          <w:p>
            <w:pPr>
              <w:pStyle w:val="null3"/>
            </w:pPr>
            <w:r>
              <w:rPr>
                <w:rFonts w:ascii="仿宋_GB2312" w:hAnsi="仿宋_GB2312" w:cs="仿宋_GB2312" w:eastAsia="仿宋_GB2312"/>
              </w:rPr>
              <w:t>(2)日志审计：系统应包含完善的操作日志和登录日志模块，确保所有关键操作可追溯。</w:t>
            </w:r>
          </w:p>
          <w:p>
            <w:pPr>
              <w:pStyle w:val="null3"/>
            </w:pPr>
            <w:r>
              <w:rPr>
                <w:rFonts w:ascii="仿宋_GB2312" w:hAnsi="仿宋_GB2312" w:cs="仿宋_GB2312" w:eastAsia="仿宋_GB2312"/>
              </w:rPr>
              <w:t>(3)标准规范：系统开发及交付应符合国家相关软件工程标准及信息安全规范。</w:t>
            </w:r>
          </w:p>
          <w:p>
            <w:pPr>
              <w:pStyle w:val="null3"/>
            </w:pPr>
            <w:r>
              <w:rPr>
                <w:rFonts w:ascii="仿宋_GB2312" w:hAnsi="仿宋_GB2312" w:cs="仿宋_GB2312" w:eastAsia="仿宋_GB2312"/>
              </w:rPr>
              <w:t>3.服务与交付要求</w:t>
            </w:r>
          </w:p>
          <w:p>
            <w:pPr>
              <w:pStyle w:val="null3"/>
            </w:pPr>
            <w:r>
              <w:rPr>
                <w:rFonts w:ascii="仿宋_GB2312" w:hAnsi="仿宋_GB2312" w:cs="仿宋_GB2312" w:eastAsia="仿宋_GB2312"/>
              </w:rPr>
              <w:t>(1)运维服务：供应商需承诺提供5年的免费运维服务，保障系统稳定运行。</w:t>
            </w:r>
          </w:p>
          <w:p>
            <w:pPr>
              <w:pStyle w:val="null3"/>
            </w:pPr>
            <w:r>
              <w:rPr>
                <w:rFonts w:ascii="仿宋_GB2312" w:hAnsi="仿宋_GB2312" w:cs="仿宋_GB2312" w:eastAsia="仿宋_GB2312"/>
              </w:rPr>
              <w:t>(2)交付周期：供应商需在8月31日前交付使用，确保项目按时上线。</w:t>
            </w:r>
          </w:p>
          <w:p>
            <w:pPr>
              <w:pStyle w:val="null3"/>
            </w:pPr>
            <w:r>
              <w:rPr>
                <w:rFonts w:ascii="仿宋_GB2312" w:hAnsi="仿宋_GB2312" w:cs="仿宋_GB2312" w:eastAsia="仿宋_GB2312"/>
                <w:sz w:val="20"/>
              </w:rPr>
              <w:t>▲</w:t>
            </w:r>
            <w:r>
              <w:rPr>
                <w:rFonts w:ascii="仿宋_GB2312" w:hAnsi="仿宋_GB2312" w:cs="仿宋_GB2312" w:eastAsia="仿宋_GB2312"/>
              </w:rPr>
              <w:t>4.计费平台功能：</w:t>
            </w:r>
          </w:p>
          <w:p>
            <w:pPr>
              <w:pStyle w:val="null3"/>
            </w:pPr>
            <w:r>
              <w:rPr>
                <w:rFonts w:ascii="仿宋_GB2312" w:hAnsi="仿宋_GB2312" w:cs="仿宋_GB2312" w:eastAsia="仿宋_GB2312"/>
              </w:rPr>
              <w:t>(1)预付费系统要满足能量信息采集、传输和监控现场的管理要求。系统提供用能数据远程抄表、设备状态实时监测控制、费用自动计算扣费、远程断送电控制、设备离线自动报警管理功能；</w:t>
            </w:r>
          </w:p>
          <w:p>
            <w:pPr>
              <w:pStyle w:val="null3"/>
            </w:pPr>
            <w:r>
              <w:rPr>
                <w:rFonts w:ascii="仿宋_GB2312" w:hAnsi="仿宋_GB2312" w:cs="仿宋_GB2312" w:eastAsia="仿宋_GB2312"/>
              </w:rPr>
              <w:t>(2)支持先充值后用电的预付费管理模式，同时也支持后付费管理模式；支持现金现场缴费，同时也支持用户使用支付宝、微信支付等第三方支付方式进行缴费，从而大大提高操作便捷性，提升管理效率。</w:t>
            </w:r>
          </w:p>
          <w:p>
            <w:pPr>
              <w:pStyle w:val="null3"/>
            </w:pPr>
            <w:r>
              <w:rPr>
                <w:rFonts w:ascii="仿宋_GB2312" w:hAnsi="仿宋_GB2312" w:cs="仿宋_GB2312" w:eastAsia="仿宋_GB2312"/>
              </w:rPr>
              <w:t>(3)支持用户通过移动端（微信公众号/小程序/独立APP等）进行自助查询、账单查看及充值缴费，并支持消息推送功能。</w:t>
            </w:r>
          </w:p>
          <w:p>
            <w:pPr>
              <w:pStyle w:val="null3"/>
            </w:pPr>
            <w:r>
              <w:rPr>
                <w:rFonts w:ascii="仿宋_GB2312" w:hAnsi="仿宋_GB2312" w:cs="仿宋_GB2312" w:eastAsia="仿宋_GB2312"/>
                <w:sz w:val="20"/>
              </w:rPr>
              <w:t>▲</w:t>
            </w:r>
            <w:r>
              <w:rPr>
                <w:rFonts w:ascii="仿宋_GB2312" w:hAnsi="仿宋_GB2312" w:cs="仿宋_GB2312" w:eastAsia="仿宋_GB2312"/>
              </w:rPr>
              <w:t>5.抄表管理要求</w:t>
            </w:r>
          </w:p>
          <w:p>
            <w:pPr>
              <w:pStyle w:val="null3"/>
            </w:pPr>
            <w:r>
              <w:rPr>
                <w:rFonts w:ascii="仿宋_GB2312" w:hAnsi="仿宋_GB2312" w:cs="仿宋_GB2312" w:eastAsia="仿宋_GB2312"/>
              </w:rPr>
              <w:t>(1)预付费系统需采取系统费控模式，每小时自动抄表，并支持查询抄表数据。</w:t>
            </w:r>
          </w:p>
          <w:p>
            <w:pPr>
              <w:pStyle w:val="null3"/>
            </w:pPr>
            <w:r>
              <w:rPr>
                <w:rFonts w:ascii="仿宋_GB2312" w:hAnsi="仿宋_GB2312" w:cs="仿宋_GB2312" w:eastAsia="仿宋_GB2312"/>
              </w:rPr>
              <w:t>(2)预付费系统需同时支持预付费模式和后付费模式。支持一户多表模式，一户多表只需在一个账户支付。</w:t>
            </w:r>
          </w:p>
          <w:p>
            <w:pPr>
              <w:pStyle w:val="null3"/>
            </w:pPr>
            <w:r>
              <w:rPr>
                <w:rFonts w:ascii="仿宋_GB2312" w:hAnsi="仿宋_GB2312" w:cs="仿宋_GB2312" w:eastAsia="仿宋_GB2312"/>
              </w:rPr>
              <w:t>(3)系统采用国产操作系统。</w:t>
            </w:r>
          </w:p>
          <w:p>
            <w:pPr>
              <w:pStyle w:val="null3"/>
            </w:pPr>
            <w:r>
              <w:rPr>
                <w:rFonts w:ascii="仿宋_GB2312" w:hAnsi="仿宋_GB2312" w:cs="仿宋_GB2312" w:eastAsia="仿宋_GB2312"/>
              </w:rPr>
              <w:t>(4)实现恶性负载识别：识别电热型电器，如热得快、电吹风、电热毯等，自动断电警告。恶性负载自动断电后可自动恢复供电，支持设置自动重合闸次数，超过次数后则需找管理员恢复供电。</w:t>
            </w:r>
          </w:p>
          <w:p>
            <w:pPr>
              <w:pStyle w:val="null3"/>
            </w:pPr>
            <w:r>
              <w:rPr>
                <w:rFonts w:ascii="仿宋_GB2312" w:hAnsi="仿宋_GB2312" w:cs="仿宋_GB2312" w:eastAsia="仿宋_GB2312"/>
              </w:rPr>
              <w:t>(5)定时控制，可根据学校的实际需求，设置早晚自动通断电，工作日、节假日可分开设置，实现绿色节能。</w:t>
            </w:r>
          </w:p>
          <w:p>
            <w:pPr>
              <w:pStyle w:val="null3"/>
            </w:pPr>
            <w:r>
              <w:rPr>
                <w:rFonts w:ascii="仿宋_GB2312" w:hAnsi="仿宋_GB2312" w:cs="仿宋_GB2312" w:eastAsia="仿宋_GB2312"/>
              </w:rPr>
              <w:t>5.补贴方案设置要求</w:t>
            </w:r>
          </w:p>
          <w:p>
            <w:pPr>
              <w:pStyle w:val="null3"/>
            </w:pPr>
            <w:r>
              <w:rPr>
                <w:rFonts w:ascii="仿宋_GB2312" w:hAnsi="仿宋_GB2312" w:cs="仿宋_GB2312" w:eastAsia="仿宋_GB2312"/>
              </w:rPr>
              <w:t>根据管理方补贴政策，可自助设置各种补贴方案，补贴方案支持按金额补贴和按用量补贴多种方式，也支持导入</w:t>
            </w:r>
            <w:r>
              <w:rPr>
                <w:rFonts w:ascii="仿宋_GB2312" w:hAnsi="仿宋_GB2312" w:cs="仿宋_GB2312" w:eastAsia="仿宋_GB2312"/>
              </w:rPr>
              <w:t>Excel批量配置，同时支持月度自动清零或者不清零的操作。</w:t>
            </w:r>
          </w:p>
          <w:p>
            <w:pPr>
              <w:pStyle w:val="null3"/>
            </w:pPr>
            <w:r>
              <w:rPr>
                <w:rFonts w:ascii="仿宋_GB2312" w:hAnsi="仿宋_GB2312" w:cs="仿宋_GB2312" w:eastAsia="仿宋_GB2312"/>
              </w:rPr>
              <w:t>6.账户管理要求</w:t>
            </w:r>
          </w:p>
          <w:p>
            <w:pPr>
              <w:pStyle w:val="null3"/>
            </w:pPr>
            <w:r>
              <w:rPr>
                <w:rFonts w:ascii="仿宋_GB2312" w:hAnsi="仿宋_GB2312" w:cs="仿宋_GB2312" w:eastAsia="仿宋_GB2312"/>
              </w:rPr>
              <w:t>(1)可为账户建立信息存档，能录入多个联系人。可根据管理模式配置两级账户：分类管理，可为不同能源配置多个主账户；统一管理，一个账户可配置不同能源的多个钱包。可根据用户的信用状况设置透支额度。</w:t>
            </w:r>
          </w:p>
          <w:p>
            <w:pPr>
              <w:pStyle w:val="null3"/>
            </w:pPr>
            <w:r>
              <w:rPr>
                <w:rFonts w:ascii="仿宋_GB2312" w:hAnsi="仿宋_GB2312" w:cs="仿宋_GB2312" w:eastAsia="仿宋_GB2312"/>
              </w:rPr>
              <w:t>(2)若今后寝室发生变更，系统要可以支持销户结算、结算清零和重新注册新用户的功能，并且要能够记录销户结算、注册新用户的事件记录。所有的操作在日志里可以查询。</w:t>
            </w:r>
          </w:p>
          <w:p>
            <w:pPr>
              <w:pStyle w:val="null3"/>
            </w:pPr>
            <w:r>
              <w:rPr>
                <w:rFonts w:ascii="仿宋_GB2312" w:hAnsi="仿宋_GB2312" w:cs="仿宋_GB2312" w:eastAsia="仿宋_GB2312"/>
              </w:rPr>
              <w:t>7.组织层级设置要求</w:t>
            </w:r>
          </w:p>
          <w:p>
            <w:pPr>
              <w:pStyle w:val="null3"/>
            </w:pPr>
            <w:r>
              <w:rPr>
                <w:rFonts w:ascii="仿宋_GB2312" w:hAnsi="仿宋_GB2312" w:cs="仿宋_GB2312" w:eastAsia="仿宋_GB2312"/>
              </w:rPr>
              <w:t>系统可对整个项目进行组织层级关系的设置，通过该设置可把各终端设备及账户添加到各个层级目录下，方便管理查找。</w:t>
            </w:r>
          </w:p>
          <w:p>
            <w:pPr>
              <w:pStyle w:val="null3"/>
            </w:pPr>
            <w:r>
              <w:rPr>
                <w:rFonts w:ascii="仿宋_GB2312" w:hAnsi="仿宋_GB2312" w:cs="仿宋_GB2312" w:eastAsia="仿宋_GB2312"/>
              </w:rPr>
              <w:t>8.费率方案设置要求</w:t>
            </w:r>
          </w:p>
          <w:p>
            <w:pPr>
              <w:pStyle w:val="null3"/>
            </w:pPr>
            <w:r>
              <w:rPr>
                <w:rFonts w:ascii="仿宋_GB2312" w:hAnsi="仿宋_GB2312" w:cs="仿宋_GB2312" w:eastAsia="仿宋_GB2312"/>
              </w:rPr>
              <w:t>(1)管理员可自助设置修改多种费率方案，针对不同类型的用户可设置不同的费率方案，支持单一计费模式，分时计费模式设置。同时也可设置电费，水费，燃气费，冷表热表等各种能源类型的费率方案。支持公摊费用账单计算。</w:t>
            </w:r>
          </w:p>
          <w:p>
            <w:pPr>
              <w:pStyle w:val="null3"/>
            </w:pPr>
            <w:r>
              <w:rPr>
                <w:rFonts w:ascii="仿宋_GB2312" w:hAnsi="仿宋_GB2312" w:cs="仿宋_GB2312" w:eastAsia="仿宋_GB2312"/>
              </w:rPr>
              <w:t>(2)为方便大规模的管理操作，系统支持批量开户，批量启用，批量分合闸、批量费控开关、批量表计组织关联等批量操作功能。</w:t>
            </w:r>
          </w:p>
          <w:p>
            <w:pPr>
              <w:pStyle w:val="null3"/>
            </w:pPr>
            <w:r>
              <w:rPr>
                <w:rFonts w:ascii="仿宋_GB2312" w:hAnsi="仿宋_GB2312" w:cs="仿宋_GB2312" w:eastAsia="仿宋_GB2312"/>
              </w:rPr>
              <w:t>(3)账户用能查询要求。后勤老师可以在预付费系统通过进入自己的权限来准确定位查询每一个账户的用能情况。</w:t>
            </w:r>
          </w:p>
          <w:p>
            <w:pPr>
              <w:pStyle w:val="null3"/>
            </w:pPr>
            <w:r>
              <w:rPr>
                <w:rFonts w:ascii="仿宋_GB2312" w:hAnsi="仿宋_GB2312" w:cs="仿宋_GB2312" w:eastAsia="仿宋_GB2312"/>
              </w:rPr>
              <w:t>9.财务缴费管理要求</w:t>
            </w:r>
          </w:p>
          <w:p>
            <w:pPr>
              <w:pStyle w:val="null3"/>
            </w:pPr>
            <w:r>
              <w:rPr>
                <w:rFonts w:ascii="仿宋_GB2312" w:hAnsi="仿宋_GB2312" w:cs="仿宋_GB2312" w:eastAsia="仿宋_GB2312"/>
              </w:rPr>
              <w:t>(1)系统需有现金、微信支付、支付宝支付和银联商务对公转账等多种支付功能，学生缴纳费用可以根据自己的实际情况用不同的支付途径来缴费，充值后账户余额实时到账，可打印缴费记录回执单，让学生享受到缴费的方便性和可靠性，减少了后勤工作人员的工作量，增加流程的快捷性，实时性。</w:t>
            </w:r>
          </w:p>
          <w:p>
            <w:pPr>
              <w:pStyle w:val="null3"/>
            </w:pPr>
            <w:r>
              <w:rPr>
                <w:rFonts w:ascii="仿宋_GB2312" w:hAnsi="仿宋_GB2312" w:cs="仿宋_GB2312" w:eastAsia="仿宋_GB2312"/>
              </w:rPr>
              <w:t>(2)同时支持学生手机端自助充值，可通过短信和微信公众号发送充值回执通知。</w:t>
            </w:r>
          </w:p>
          <w:p>
            <w:pPr>
              <w:pStyle w:val="null3"/>
            </w:pPr>
            <w:r>
              <w:rPr>
                <w:rFonts w:ascii="仿宋_GB2312" w:hAnsi="仿宋_GB2312" w:cs="仿宋_GB2312" w:eastAsia="仿宋_GB2312"/>
              </w:rPr>
              <w:t>(3)当用户或者管理员充值信息录入有误的情况下，管理员可对账户进行冲红和调剂操作。</w:t>
            </w:r>
          </w:p>
          <w:p>
            <w:pPr>
              <w:pStyle w:val="null3"/>
            </w:pPr>
            <w:r>
              <w:rPr>
                <w:rFonts w:ascii="仿宋_GB2312" w:hAnsi="仿宋_GB2312" w:cs="仿宋_GB2312" w:eastAsia="仿宋_GB2312"/>
              </w:rPr>
              <w:t>(4)系统可自动识别统计账户的充值方式，比如现金充值，微信充值，支付宝充值，银联充值等等，可按照充值类型汇总统计金额。</w:t>
            </w:r>
          </w:p>
          <w:p>
            <w:pPr>
              <w:pStyle w:val="null3"/>
            </w:pPr>
            <w:r>
              <w:rPr>
                <w:rFonts w:ascii="仿宋_GB2312" w:hAnsi="仿宋_GB2312" w:cs="仿宋_GB2312" w:eastAsia="仿宋_GB2312"/>
              </w:rPr>
              <w:t>10.账单管理要求</w:t>
            </w:r>
          </w:p>
          <w:p>
            <w:pPr>
              <w:pStyle w:val="null3"/>
            </w:pPr>
            <w:r>
              <w:rPr>
                <w:rFonts w:ascii="仿宋_GB2312" w:hAnsi="仿宋_GB2312" w:cs="仿宋_GB2312" w:eastAsia="仿宋_GB2312"/>
              </w:rPr>
              <w:t>(1)可随时查询各费用类型的实时账单、历史账单、流水明细、用能明细等。</w:t>
            </w:r>
          </w:p>
          <w:p>
            <w:pPr>
              <w:pStyle w:val="null3"/>
            </w:pPr>
            <w:r>
              <w:rPr>
                <w:rFonts w:ascii="仿宋_GB2312" w:hAnsi="仿宋_GB2312" w:cs="仿宋_GB2312" w:eastAsia="仿宋_GB2312"/>
              </w:rPr>
              <w:t>(2)可查看账户在任意查询时间段内所有的账户余额流水变动，并支持导出excel；可以查看账户充值、扣费、调剂、补贴等所有与费用相关的流水记录，还可查询具体用能明细，用户电费查询功能支持以小时为单位查询详细用电情况。</w:t>
            </w:r>
          </w:p>
          <w:p>
            <w:pPr>
              <w:pStyle w:val="null3"/>
            </w:pPr>
            <w:r>
              <w:rPr>
                <w:rFonts w:ascii="仿宋_GB2312" w:hAnsi="仿宋_GB2312" w:cs="仿宋_GB2312" w:eastAsia="仿宋_GB2312"/>
              </w:rPr>
              <w:t>（</w:t>
            </w:r>
            <w:r>
              <w:rPr>
                <w:rFonts w:ascii="仿宋_GB2312" w:hAnsi="仿宋_GB2312" w:cs="仿宋_GB2312" w:eastAsia="仿宋_GB2312"/>
              </w:rPr>
              <w:t>3）账单数据缺失时，需有账单故障提醒及数据补录功能。</w:t>
            </w:r>
          </w:p>
          <w:p>
            <w:pPr>
              <w:pStyle w:val="null3"/>
            </w:pPr>
            <w:r>
              <w:rPr>
                <w:rFonts w:ascii="仿宋_GB2312" w:hAnsi="仿宋_GB2312" w:cs="仿宋_GB2312" w:eastAsia="仿宋_GB2312"/>
              </w:rPr>
              <w:t>11.设备管理要求</w:t>
            </w:r>
          </w:p>
          <w:p>
            <w:pPr>
              <w:pStyle w:val="null3"/>
            </w:pPr>
            <w:r>
              <w:rPr>
                <w:rFonts w:ascii="仿宋_GB2312" w:hAnsi="仿宋_GB2312" w:cs="仿宋_GB2312" w:eastAsia="仿宋_GB2312"/>
              </w:rPr>
              <w:t>(1)各种费控模式下均可对各类表计进行远程分合闸操作（表计须支持遥控），应对不同管理需求。</w:t>
            </w:r>
          </w:p>
          <w:p>
            <w:pPr>
              <w:pStyle w:val="null3"/>
            </w:pPr>
            <w:r>
              <w:rPr>
                <w:rFonts w:ascii="仿宋_GB2312" w:hAnsi="仿宋_GB2312" w:cs="仿宋_GB2312" w:eastAsia="仿宋_GB2312"/>
              </w:rPr>
              <w:t>(2)同时设备离线及时告警并支持短信通知管理方。</w:t>
            </w:r>
          </w:p>
          <w:p>
            <w:pPr>
              <w:pStyle w:val="null3"/>
            </w:pPr>
            <w:r>
              <w:rPr>
                <w:rFonts w:ascii="仿宋_GB2312" w:hAnsi="仿宋_GB2312" w:cs="仿宋_GB2312" w:eastAsia="仿宋_GB2312"/>
              </w:rPr>
              <w:t>(3)系统必须具备更换电表操作功能，系统具备换表流程功能键，按照流程输入旧表表码值和新表表码值能完成自动结转计算。</w:t>
            </w:r>
          </w:p>
          <w:p>
            <w:pPr>
              <w:pStyle w:val="null3"/>
            </w:pPr>
            <w:r>
              <w:rPr>
                <w:rFonts w:ascii="仿宋_GB2312" w:hAnsi="仿宋_GB2312" w:cs="仿宋_GB2312" w:eastAsia="仿宋_GB2312"/>
                <w:sz w:val="20"/>
              </w:rPr>
              <w:t>▲</w:t>
            </w:r>
            <w:r>
              <w:rPr>
                <w:rFonts w:ascii="仿宋_GB2312" w:hAnsi="仿宋_GB2312" w:cs="仿宋_GB2312" w:eastAsia="仿宋_GB2312"/>
              </w:rPr>
              <w:t>12.能耗管理要求</w:t>
            </w:r>
          </w:p>
          <w:p>
            <w:pPr>
              <w:pStyle w:val="null3"/>
            </w:pPr>
            <w:r>
              <w:rPr>
                <w:rFonts w:ascii="仿宋_GB2312" w:hAnsi="仿宋_GB2312" w:cs="仿宋_GB2312" w:eastAsia="仿宋_GB2312"/>
              </w:rPr>
              <w:t>(1)能耗看板：总能耗、分类能耗、分项能耗、逐月能耗趋势、多账户用能排名，多种基于账户能耗的统计对比结果。以棒图、饼图、曲线、表格多种图形化方式展示各账户能耗统计数据。</w:t>
            </w:r>
          </w:p>
          <w:p>
            <w:pPr>
              <w:pStyle w:val="null3"/>
            </w:pPr>
            <w:r>
              <w:rPr>
                <w:rFonts w:ascii="仿宋_GB2312" w:hAnsi="仿宋_GB2312" w:cs="仿宋_GB2312" w:eastAsia="仿宋_GB2312"/>
              </w:rPr>
              <w:t>(2)分项能耗：支持能耗数据分类（电、水），分项（空调用电、动力用电、照明插座等），分区域统计，支持以饼图、面积趋势图展示。</w:t>
            </w:r>
          </w:p>
          <w:p>
            <w:pPr>
              <w:pStyle w:val="null3"/>
            </w:pPr>
            <w:r>
              <w:rPr>
                <w:rFonts w:ascii="仿宋_GB2312" w:hAnsi="仿宋_GB2312" w:cs="仿宋_GB2312" w:eastAsia="仿宋_GB2312"/>
              </w:rPr>
              <w:t>(3)能耗报表：支持日、周、月、年及自定义能耗报表查询、固定格式的预置标准能耗报表查询、可组态的自定义能耗报表查询。</w:t>
            </w:r>
          </w:p>
          <w:p>
            <w:pPr>
              <w:pStyle w:val="null3"/>
            </w:pPr>
            <w:r>
              <w:rPr>
                <w:rFonts w:ascii="仿宋_GB2312" w:hAnsi="仿宋_GB2312" w:cs="仿宋_GB2312" w:eastAsia="仿宋_GB2312"/>
              </w:rPr>
              <w:t>(4)查询结果可输出Excel表格、图片。</w:t>
            </w:r>
          </w:p>
          <w:p>
            <w:pPr>
              <w:pStyle w:val="null3"/>
            </w:pPr>
            <w:r>
              <w:rPr>
                <w:rFonts w:ascii="仿宋_GB2312" w:hAnsi="仿宋_GB2312" w:cs="仿宋_GB2312" w:eastAsia="仿宋_GB2312"/>
              </w:rPr>
              <w:t>13.权限管理要求</w:t>
            </w:r>
          </w:p>
          <w:p>
            <w:pPr>
              <w:pStyle w:val="null3"/>
            </w:pPr>
            <w:r>
              <w:rPr>
                <w:rFonts w:ascii="仿宋_GB2312" w:hAnsi="仿宋_GB2312" w:cs="仿宋_GB2312" w:eastAsia="仿宋_GB2312"/>
              </w:rPr>
              <w:t>(1)管理方可设置不同类型的管理人员，例如：超级管理员、财务管理员、运维管理员等。</w:t>
            </w:r>
          </w:p>
          <w:p>
            <w:pPr>
              <w:pStyle w:val="null3"/>
            </w:pPr>
            <w:r>
              <w:rPr>
                <w:rFonts w:ascii="仿宋_GB2312" w:hAnsi="仿宋_GB2312" w:cs="仿宋_GB2312" w:eastAsia="仿宋_GB2312"/>
              </w:rPr>
              <w:t>(2)管理方可为不同管理员授权不同的操作权限，例如：授权运维管理员远程控制。</w:t>
            </w:r>
          </w:p>
          <w:p>
            <w:pPr>
              <w:pStyle w:val="null3"/>
            </w:pPr>
            <w:r>
              <w:rPr>
                <w:rFonts w:ascii="仿宋_GB2312" w:hAnsi="仿宋_GB2312" w:cs="仿宋_GB2312" w:eastAsia="仿宋_GB2312"/>
              </w:rPr>
              <w:t>(3)管理方可为不同管理员授权不同的访问权限，例如：授权A区管理员只可访问A区的账户信息。</w:t>
            </w:r>
          </w:p>
          <w:p>
            <w:pPr>
              <w:pStyle w:val="null3"/>
            </w:pPr>
            <w:r>
              <w:rPr>
                <w:rFonts w:ascii="仿宋_GB2312" w:hAnsi="仿宋_GB2312" w:cs="仿宋_GB2312" w:eastAsia="仿宋_GB2312"/>
              </w:rPr>
              <w:t>14.系统日志和维护要求</w:t>
            </w:r>
          </w:p>
          <w:p>
            <w:pPr>
              <w:pStyle w:val="null3"/>
            </w:pPr>
            <w:r>
              <w:rPr>
                <w:rFonts w:ascii="仿宋_GB2312" w:hAnsi="仿宋_GB2312" w:cs="仿宋_GB2312" w:eastAsia="仿宋_GB2312"/>
              </w:rPr>
              <w:t>可查询到各个管理员的操作日志（例如：开户记录）、各个账户的用电事件（例如：通讯失败）、系统发生的异常事件（例如：设备离线）。</w:t>
            </w:r>
          </w:p>
          <w:p>
            <w:pPr>
              <w:pStyle w:val="null3"/>
            </w:pPr>
            <w:r>
              <w:rPr>
                <w:rFonts w:ascii="仿宋_GB2312" w:hAnsi="仿宋_GB2312" w:cs="仿宋_GB2312" w:eastAsia="仿宋_GB2312"/>
                <w:sz w:val="20"/>
              </w:rPr>
              <w:t>▲</w:t>
            </w:r>
            <w:r>
              <w:rPr>
                <w:rFonts w:ascii="仿宋_GB2312" w:hAnsi="仿宋_GB2312" w:cs="仿宋_GB2312" w:eastAsia="仿宋_GB2312"/>
              </w:rPr>
              <w:t>15.通知管</w:t>
            </w:r>
            <w:r>
              <w:rPr>
                <w:rFonts w:ascii="仿宋_GB2312" w:hAnsi="仿宋_GB2312" w:cs="仿宋_GB2312" w:eastAsia="仿宋_GB2312"/>
              </w:rPr>
              <w:t>理要求</w:t>
            </w:r>
          </w:p>
          <w:p>
            <w:pPr>
              <w:pStyle w:val="null3"/>
            </w:pPr>
            <w:r>
              <w:rPr>
                <w:rFonts w:ascii="仿宋_GB2312" w:hAnsi="仿宋_GB2312" w:cs="仿宋_GB2312" w:eastAsia="仿宋_GB2312"/>
              </w:rPr>
              <w:t>(1)用户在使用过程中费用要与预存费用实时同步扣减，当预存费用低于设定值时系统要能够自动推送相应缴费提醒给相关人员。当用户预存费用欠费时系统可以自动断开用户终端设备；当用户及时续交费用后，系统可自动立即让终端设备合闸，合闸时间在10S以内。同时系统可以以短信信息或微信消息的方式及时精准的推送给用户，包括余额预警通知，设备断开通知，缴费通知等等。</w:t>
            </w:r>
          </w:p>
          <w:p>
            <w:pPr>
              <w:pStyle w:val="null3"/>
            </w:pPr>
            <w:r>
              <w:rPr>
                <w:rFonts w:ascii="仿宋_GB2312" w:hAnsi="仿宋_GB2312" w:cs="仿宋_GB2312" w:eastAsia="仿宋_GB2312"/>
              </w:rPr>
              <w:t>(2)余额预警通知需支持自定义模板，且可以分等级提醒用能用户。如大用量用户可在余额1000元-500元-300元各提醒用户一次，小用量用户可在余额150元-100元-50元各提醒用户一次，预警金额可自定义。</w:t>
            </w:r>
          </w:p>
          <w:p>
            <w:pPr>
              <w:pStyle w:val="null3"/>
            </w:pPr>
            <w:r>
              <w:rPr>
                <w:rFonts w:ascii="仿宋_GB2312" w:hAnsi="仿宋_GB2312" w:cs="仿宋_GB2312" w:eastAsia="仿宋_GB2312"/>
              </w:rPr>
              <w:t>(3)设备离线、账单故障等系统告警需及时推送给相关区域的管理方负责人。</w:t>
            </w:r>
          </w:p>
          <w:p>
            <w:pPr>
              <w:pStyle w:val="null3"/>
            </w:pPr>
            <w:r>
              <w:rPr>
                <w:rFonts w:ascii="仿宋_GB2312" w:hAnsi="仿宋_GB2312" w:cs="仿宋_GB2312" w:eastAsia="仿宋_GB2312"/>
              </w:rPr>
              <w:t>(4)支持移动端访问。用户可在随时随地通过手机查询账户基本信息、账单情况，并可在线充值缴费。</w:t>
            </w:r>
          </w:p>
          <w:p>
            <w:pPr>
              <w:pStyle w:val="null3"/>
            </w:pPr>
            <w:r>
              <w:rPr>
                <w:rFonts w:ascii="仿宋_GB2312" w:hAnsi="仿宋_GB2312" w:cs="仿宋_GB2312" w:eastAsia="仿宋_GB2312"/>
              </w:rPr>
              <w:t>16.移动支付要求</w:t>
            </w:r>
          </w:p>
          <w:p>
            <w:pPr>
              <w:pStyle w:val="null3"/>
            </w:pPr>
            <w:r>
              <w:rPr>
                <w:rFonts w:ascii="仿宋_GB2312" w:hAnsi="仿宋_GB2312" w:cs="仿宋_GB2312" w:eastAsia="仿宋_GB2312"/>
              </w:rPr>
              <w:t>可选择微信支付或支付宝支付。</w:t>
            </w:r>
          </w:p>
          <w:p>
            <w:pPr>
              <w:pStyle w:val="null3"/>
            </w:pPr>
            <w:r>
              <w:rPr>
                <w:rFonts w:ascii="仿宋_GB2312" w:hAnsi="仿宋_GB2312" w:cs="仿宋_GB2312" w:eastAsia="仿宋_GB2312"/>
              </w:rPr>
              <w:t>▲17、能源管理软件需满足信创适配并部署于信创环境中，须适配国产CPU架构以及国产操作系统，投标人需提供国产OS厂商出具的机构兼容适配证明、软件著作权（加盖公章）。</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六、施工、调试及对接要求（清单合同约束）</w:t>
            </w:r>
          </w:p>
          <w:p>
            <w:pPr>
              <w:pStyle w:val="null3"/>
            </w:pPr>
            <w:r>
              <w:rPr>
                <w:rFonts w:ascii="仿宋_GB2312" w:hAnsi="仿宋_GB2312" w:cs="仿宋_GB2312" w:eastAsia="仿宋_GB2312"/>
              </w:rPr>
              <w:t>（一）全部电表、网关必须为同品牌兼容产品，保证后台系统通讯一致性、现场采样稳定；不同校区新旧利旧电表由中标人统一协调各设备厂家到场配合规约调试，相关费用含在报价中。</w:t>
            </w:r>
          </w:p>
          <w:p>
            <w:pPr>
              <w:pStyle w:val="null3"/>
            </w:pPr>
            <w:r>
              <w:rPr>
                <w:rFonts w:ascii="仿宋_GB2312" w:hAnsi="仿宋_GB2312" w:cs="仿宋_GB2312" w:eastAsia="仿宋_GB2312"/>
              </w:rPr>
              <w:t>（二）施工完成后需实现四项核心功能，验收不通过不予结算：</w:t>
            </w:r>
          </w:p>
          <w:p>
            <w:pPr>
              <w:pStyle w:val="null3"/>
            </w:pPr>
            <w:r>
              <w:rPr>
                <w:rFonts w:ascii="仿宋_GB2312" w:hAnsi="仿宋_GB2312" w:cs="仿宋_GB2312" w:eastAsia="仿宋_GB2312"/>
              </w:rPr>
              <w:t>1.全部宿舍空调、插座/风扇双回路独立计量、能耗实时统计；照明回路接入各公寓宿管室集中控制；</w:t>
            </w:r>
          </w:p>
          <w:p>
            <w:pPr>
              <w:pStyle w:val="null3"/>
            </w:pPr>
            <w:r>
              <w:rPr>
                <w:rFonts w:ascii="仿宋_GB2312" w:hAnsi="仿宋_GB2312" w:cs="仿宋_GB2312" w:eastAsia="仿宋_GB2312"/>
              </w:rPr>
              <w:t>2.港务校区总后台可查看四校区全部用电数据，其余校区分平台仅展示本校公寓用电；</w:t>
            </w:r>
          </w:p>
          <w:p>
            <w:pPr>
              <w:pStyle w:val="null3"/>
            </w:pPr>
            <w:r>
              <w:rPr>
                <w:rFonts w:ascii="仿宋_GB2312" w:hAnsi="仿宋_GB2312" w:cs="仿宋_GB2312" w:eastAsia="仿宋_GB2312"/>
              </w:rPr>
              <w:t>3.系统对接学校统一身份认证，手机端缴费直接归集至学校财务公共账户，完成移动支付备案互联互通；所有三相预付费电表经4</w:t>
            </w:r>
            <w:r>
              <w:rPr>
                <w:rFonts w:ascii="仿宋_GB2312" w:hAnsi="仿宋_GB2312" w:cs="仿宋_GB2312" w:eastAsia="仿宋_GB2312"/>
              </w:rPr>
              <w:t>G</w:t>
            </w:r>
            <w:r>
              <w:rPr>
                <w:rFonts w:ascii="仿宋_GB2312" w:hAnsi="仿宋_GB2312" w:cs="仿宋_GB2312" w:eastAsia="仿宋_GB2312"/>
              </w:rPr>
              <w:t>网络接入计费系统后台。</w:t>
            </w:r>
          </w:p>
          <w:p>
            <w:pPr>
              <w:pStyle w:val="null3"/>
            </w:pPr>
            <w:r>
              <w:rPr>
                <w:rFonts w:ascii="仿宋_GB2312" w:hAnsi="仿宋_GB2312" w:cs="仿宋_GB2312" w:eastAsia="仿宋_GB2312"/>
              </w:rPr>
              <w:t>4.预留电表扩容、水资源</w:t>
            </w:r>
            <w:r>
              <w:rPr>
                <w:rFonts w:ascii="仿宋_GB2312" w:hAnsi="仿宋_GB2312" w:cs="仿宋_GB2312" w:eastAsia="仿宋_GB2312"/>
              </w:rPr>
              <w:t>管理系统接入接口，满足后期升级改造需求。</w:t>
            </w:r>
          </w:p>
          <w:p>
            <w:pPr>
              <w:pStyle w:val="null3"/>
            </w:pPr>
            <w:r>
              <w:rPr>
                <w:rFonts w:ascii="仿宋_GB2312" w:hAnsi="仿宋_GB2312" w:cs="仿宋_GB2312" w:eastAsia="仿宋_GB2312"/>
              </w:rPr>
              <w:t>（三）清单子目内包含完整系统调试、校方人员操作培训、设备检测资料归档、全系统质保服务等工作内容。</w:t>
            </w:r>
          </w:p>
          <w:p>
            <w:pPr>
              <w:pStyle w:val="null3"/>
            </w:pPr>
            <w:r>
              <w:rPr>
                <w:rFonts w:ascii="仿宋_GB2312" w:hAnsi="仿宋_GB2312" w:cs="仿宋_GB2312" w:eastAsia="仿宋_GB2312"/>
              </w:rPr>
              <w:t>（四）售后服务响应时间：对于学校需求，0.5小时给与响应，在6小时内提供完善的解决方案及所需的备品备件，且能派足够的技术人员达现场协助客户并解决问题。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七、其他说明</w:t>
            </w:r>
          </w:p>
          <w:p>
            <w:pPr>
              <w:pStyle w:val="null3"/>
            </w:pPr>
            <w:r>
              <w:rPr>
                <w:rFonts w:ascii="仿宋_GB2312" w:hAnsi="仿宋_GB2312" w:cs="仿宋_GB2312" w:eastAsia="仿宋_GB2312"/>
              </w:rPr>
              <w:t>（一）清单工程量仅依据现有技术方案，投标人踏勘现场后，须自行核对各校区公寓宿舍数量、线路现状、电表点位、配电房布局，充分考虑现场与清单工程量偏差，所有偏差风险、漏项风险均包含在综合单价内，结算时除设计变更签证外不做工程量调整。</w:t>
            </w:r>
          </w:p>
          <w:p>
            <w:pPr>
              <w:pStyle w:val="null3"/>
            </w:pPr>
            <w:r>
              <w:rPr>
                <w:rFonts w:ascii="仿宋_GB2312" w:hAnsi="仿宋_GB2312" w:cs="仿宋_GB2312" w:eastAsia="仿宋_GB2312"/>
              </w:rPr>
              <w:t>（二）项目电表、</w:t>
            </w:r>
            <w:r>
              <w:rPr>
                <w:rFonts w:ascii="仿宋_GB2312" w:hAnsi="仿宋_GB2312" w:cs="仿宋_GB2312" w:eastAsia="仿宋_GB2312"/>
              </w:rPr>
              <w:t>通讯网关设备质保期不得低于10年，系统软件质保期不得低于5年，质保期内免费维护、更换故障电表/网关、免费系统升级，相关费用已计入投标综合单价。</w:t>
            </w:r>
          </w:p>
          <w:p>
            <w:pPr>
              <w:pStyle w:val="null3"/>
            </w:pPr>
            <w:r>
              <w:rPr>
                <w:rFonts w:ascii="仿宋_GB2312" w:hAnsi="仿宋_GB2312" w:cs="仿宋_GB2312" w:eastAsia="仿宋_GB2312"/>
              </w:rPr>
              <w:t>（三）本项目所有电表、网关设备供货、安装、平台开发不得转包、分包，必须由投标人工厂原厂供货、自有技术团队实施，否则招标人有权废除合同。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本工程质量严格按照国家、行业、地方现行施工质量验收规范、标准及设计图纸要求施工，工程质量达到合格标准，顺利通过竣工验收及相关主管部门、审计部门核查。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1.供应商须保证软件产品的合法使用权，产生的一切知识产权纠纷由供应商负责，采购人不承担责任。 2.纸质响应文件要求： （1）中标供应商应在中标结果公告发布后5个工作日内提供纸质投标文件三份（正本壹份、副本贰份，分别胶装）。 （2）递交地址：西安市未央区汉城街道凤城十一路与文景路交汇处文景商务广场C座18楼，联系人：李彤，联系电话：18829517279。 （3）中标供应商应保持投标文件纸质版内容与交易系统上传电子版内容完全一致，否则将承担一切法律责任。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须提供赋码的2024年度或2025年度财务审计报告（提供的财务审计报告需在注册会计师行业统一监管平台（http：//acc.mof.gov.cn/）可查询）或其基本存款账户开户银行出具的开标前三个月内资信证明及基本存款账户的开户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提供2025年7月至今任意一个月依法缴纳税收的证明，依法免税的应提供相关证明文件；(评审依据：附供应商加盖公章的复印件或扫描件)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提供2025年7月至今任意一个月依法缴纳社会保险的证明，依法不需要缴纳社会保障资金的应提供相关证明文件；(评审依据：附供应商加盖公章的复印件或扫描件)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磋商的，须出具法定代表人身份证明。授权代表参加磋商的，须出具法定代表人授权书并附法定代表人身份证明，提供委托代理人在本单位开标前三个月至少一个月的基本养老保险参保缴费证明；(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2024年度或2025年度财务审计报告（提供的财务审计报告需在注册会计师行业统一监管平台（http：//acc.mof.gov.cn/）可查询）或其基本存款账户开户银行出具的开标前三个月内资信证明及基本存款账户的开户证明；(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供应商须具备建设行政主管部门颁发的电子与智能化工程专业承包二级或建筑机电安装工程专业承包二级及以上资质，同时具有有效的安全生产许可证。(评审依据：附供应商加盖公章的复印件或扫描件)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拟派本工程项目经理须具备机电工程专业一级注册建造师资格，同时具有合格有效的安全生产考核合格证（B证）,本单位注册且无在建工程。(评审依据：附供应商加盖公章的复印件或扫描件)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参加政府采购活动前三年内在经营活动中没有重大违法记录的书面声明；(评审依据：附供应商加盖公章的书面声明)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供应商须提供具有履行合同所必需的设备和专业技术能力的承诺；(评审依据：附供应商加盖公章的承诺)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以开标当日现场查询结果截图形式留存；(评审依据：开标当日现场查询结果)</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单位负责人为同一人或者存在控股、管理关系的不同单位不得同时参加磋商。(评审依据：附供应商加盖公章的说明)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采购评审中出现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产品质量或者不能诚信履约的其他情形。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磋商小组应当将其作为无效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供应商名称：与营业执照、资质证书一致； 响应文件的签署：按照响应文件格式要求签字或盖章； 响应文件格式：符合响应文件格式的要求。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实施方案.docx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工期：2026年8月31日前竣工； 质保期：所有硬件产品需满足10年质保；提供系统软件5年的免费运维服务，保障系统稳定运行 ； 工程质量：本工程质量严格按照国家、行业、地方现行施工质量验收规范、标准及设计图纸要求施工，工程质量达到合格标准，顺利通过竣工验收及相关主管部门、审计部门核查； 投标有效期：自提交响应文件的截止之日起90个日历日；已标价工程量清单：符合“工程量清单”给出的子目名称、计量单位、工程量、子目备注说明； 磋商报价：报价唯一且不得高于招标最高限价。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实施方案.docx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法律、法规和竞争性磋商⽂件规定的其他⽆效情形</w:t>
            </w:r>
          </w:p>
        </w:tc>
        <w:tc>
          <w:tcPr>
            <w:tcW w:type="dxa" w:w="3322"/>
          </w:tcPr>
          <w:p>
            <w:pPr>
              <w:pStyle w:val="null3"/>
            </w:pPr>
            <w:r>
              <w:rPr>
                <w:rFonts w:ascii="仿宋_GB2312" w:hAnsi="仿宋_GB2312" w:cs="仿宋_GB2312" w:eastAsia="仿宋_GB2312"/>
              </w:rPr>
              <w:t>不存在法律、法规和竞争性磋商⽂件规定的其他⽆效情形（合格），存在法律、法规和竞争性磋商⽂件规定的其他⽆效情形（不合格）。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实施方案.docx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依次按照交付能力、项目经理、业绩、施工部署、分部分项工程施工方案、质量保证措施、项目管理机构、安全施工措施、售后服务方案优劣顺序推荐。以上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一、评审内容供应商针对本项目编制完善的施工方案，内容包含：①施工目标:成本目标、工期目标、质量目标②施工准备：技术准备、材料准备、机械准备、机具准备 二、评审标准1、完整性：方案必须全面，对评审内容中的各项要求有详细描述；2、可实施性：切合本项目实际情况，提出步骤清晰、合理的方案；3、针对性：方案能够紧扣项目实际情况，内容科学合理。 三、赋分标准（满分6分）①施工目标：每完全满足一个评审标准得1分，满分3分；②施工准备：每完全满足一个评审标准得1分，满分3分；未提供不得分。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一、评审内容供应商针对本项目编制完善的分部分项工程施工方案，内容包含：①工程重难点及解决措施②分部分项工程施工方法③供货、安装、调试方案。 二、评审标准1、完整性：方案必须全面，对评审内容中的各项要求有详细描述；2、可实施性：切合本项目实际情况，提出步骤清晰、合理的方案；3、针对性：方案能够紧扣项目实际情况，内容科学合理。 三、赋分标准（满分9分）①工程重难点及解决措施：每完全满足一个评审标准得1分，满分3分；②分部分项工程施工方法：每完全满足一个评审标准得1分，满分3分；③供货、安装、调试方案：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一、评审内容供应商针对本项目编制完善的质量保证措施，内容包含：①质量目标管理体系②产品质量保证：包含但不限于满足硬件产品10年质保，软件5年内免费维护与升级。 二、评审标准1、完整性：方案必须全面，对评审内容中的各项要求有详细描述；2、可实施性：切合本项目实际情况，提出步骤清晰、合理的方案；3、针对性：方案能够紧扣项目实际情况，内容科学合理。 三、赋分标准（满分6分）①质量目标管理体系：每完全满足一个评审标准得1分，满分3分；②产品质量保证：每完全满足一个评审标准得1分，满分3分。未提供不得分。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一、评审内容供应商针对本项目编制科学的项目管理机构，内容包含：①管理机构的配备计划②组织机构的岗位职责。 二、评审标准1、完整性：方案必须全面，对评审内容中的各项要求有详细描述；2、可实施性：切合本项目实际情况，提出步骤清晰、合理的方案；3、针对性：方案能够紧扣项目实际情况，内容科学合理。 三、赋分标准（满分3分）①管理机构的配备计划：每完全满足一个评审标准得0.5分，满分1.5分；②组织机构的岗位职责：每完全满足一个评审标准得0.5分，满分1.5分。未提供不得分。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一、评审内容供应商针对本项目编制完整的安全施工措施，内容包含：①安全施工措施②安全应急预案。 二、评审标准1、完整性：方案必须全面，对评审内容中的各项要求有详细描述；2、可实施性：切合本项目实际情况，提出步骤清晰、合理的方案；3、针对性：方案能够紧扣项目实际情况，内容科学合理。 三、赋分标准（满分3分）①安全施工措施：每完全满足一个评审标准得0.5分，满分1.5分；②安全应急预案：每完全满足一个评审标准得0.5分，满分1.5分。未提供不得分。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一、评审内容结合本项目的实际，供应商提供售后服务方案。内容包含：①售后服务范围及保障措施②响应时间、故障处理及补救措施。 二、评审标准1、完整性：内容必须全面，对评审内容中的各项要求有详细描述；2、落实性：切合项目具体情况，提出责任明确、要求具体的方案； 三、赋分标准（满分4分）①售后服务范围及保障措施：每完全满足一个评审标准得1分，满分2分；②响应时间、故障处理及补救措施：每完全满足一个评审标准得1分，满分2分，未提供不得分。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所投产品技术参数清楚、明确并能逐条响应磋商文件第三章“技术参数与性能指标”中的要求，其中: ▲项(21项)除要求提供特定证明资料的▲项外，其余▲项提供的证明材料包括但不限于产品彩⻚或检测报告或带⽹址链接的官⽹截图或加盖⼚家公章的技术参数说明（技术服务合同条款及其他商务要求应答表中描述与提供的证明材料不⼀致的，以证明材料为准）。 ▲项(21项)（满分21分）：负偏离每项扣1分，扣完为止。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1、职称：拟派项目经理具备机电相关专业高级及以上职称得3分，中级职称得2分，其他不得分。（注：以职称证作为计分依据） 2、学历：具有本科及以上学历得1分，大专及以下学历得0.5分。（注：以学历证书作为计分依据） 注：提供项目经理在本单位缴纳6个月以上的社保证明文件，否则1、2两项均不得分。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交付能力</w:t>
            </w:r>
          </w:p>
        </w:tc>
        <w:tc>
          <w:tcPr>
            <w:tcW w:type="dxa" w:w="2492"/>
          </w:tcPr>
          <w:p>
            <w:pPr>
              <w:pStyle w:val="null3"/>
            </w:pPr>
            <w:r>
              <w:rPr>
                <w:rFonts w:ascii="仿宋_GB2312" w:hAnsi="仿宋_GB2312" w:cs="仿宋_GB2312" w:eastAsia="仿宋_GB2312"/>
              </w:rPr>
              <w:t>①供应商具备信息系统建设和服务能力评估 CS3 级及以上证书、并同时具备信息技术服务标准（ITSS）符合性证书（运行维护三级及以上），得2分； ②供应商具备集成能力的CMMI5级认证资质，得2分； ③供应商具备本地化交付能力，并提供购房合同或房屋租赁合同，购房合同主体与房屋租赁合同的承租方须与供应商名称一致，得2分。 注：以加盖供应商公章的证明资料复印件或扫描件为计分依据。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至今（以合同复印件签订日期或中标通知书日期为准）的类似项目业绩，每提供一个得2分，本项最高得8分。注：以合同或中标通知书，并同时提供发票任意一张为计分依据，提供以上证明资料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实质性满足磋商文件要求且最后报价最低的供应商的价格为磋商基准价，其价格分为满分30分。其他供应商的价格分按照下列公式计算：磋商报价得分=(磋商基准价/最后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详见附件：西安铁路职业技术学院施工合同（政府采购项目）.docx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