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版本号：【KRDL】K6-2607002.1B120260813001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2026年度雁塔校区垃圾站建设项目(二次)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【KRDL】K6-2607002.1B1</w:t>
      </w:r>
      <w:r>
        <w:br/>
      </w:r>
      <w:r>
        <w:br/>
      </w:r>
      <w:r>
        <w:br/>
      </w:r>
    </w:p>
    <w:p>
      <w:pPr>
        <w:pStyle w:val="null3"/>
        <w:jc w:val="center"/>
        <w:outlineLvl w:val="2"/>
      </w:pPr>
      <w:r>
        <w:rPr>
          <w:rFonts w:ascii="仿宋_GB2312" w:hAnsi="仿宋_GB2312" w:cs="仿宋_GB2312" w:eastAsia="仿宋_GB2312"/>
          <w:sz w:val="28"/>
          <w:b/>
        </w:rPr>
        <w:t>西北政法大学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西北政法大学</w:t>
      </w:r>
      <w:r>
        <w:rPr>
          <w:rFonts w:ascii="仿宋_GB2312" w:hAnsi="仿宋_GB2312" w:cs="仿宋_GB2312" w:eastAsia="仿宋_GB2312"/>
        </w:rPr>
        <w:t>委托，拟对</w:t>
      </w:r>
      <w:r>
        <w:rPr>
          <w:rFonts w:ascii="仿宋_GB2312" w:hAnsi="仿宋_GB2312" w:cs="仿宋_GB2312" w:eastAsia="仿宋_GB2312"/>
        </w:rPr>
        <w:t>2026年度雁塔校区垃圾站建设项目(二次)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【KRDL】K6-2607002.1B1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2026年度雁塔校区垃圾站建设项目(二次)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北政法大学2026年度雁塔校区垃圾站建设项目，施工内容包含利用现有基坑进行更新封闭式垃圾台设备，配套防渗排水、密闭储物、除臭消杀、冲洗照明、监控标识，满足四类垃圾存放、环卫清运，同步完成施工与全套竣工资料，具体以本项目竞争性磋商文件、技术参数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采购包1（2026年度雁塔校区垃圾站建设项目）：属于专门面向中小企业采购。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3、税收缴纳证明：供应商提供自2025年7月至今已缴纳的至少一个月纳税证明或完税证明，依法免税的单位应提供相关证明材料；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4、财务状况证明：供应商提供2024年或2025年度经审计的完整财务审计报告或在开标日期前六个月内其基本开户银行出具的资信证明；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具备建设行政主管部门颁发的建筑装修装饰工程专业承包二级（含）以上资质；同时具备有效的安全生产许可证，且未被“全国工程质量安全监管信息平台公共服务门户”网站列为暂扣或吊销状态。并在人员、设备、资金等方面具备相应的能力</w:t>
      </w:r>
    </w:p>
    <w:p>
      <w:pPr>
        <w:pStyle w:val="null3"/>
      </w:pPr>
      <w:r>
        <w:rPr>
          <w:rFonts w:ascii="仿宋_GB2312" w:hAnsi="仿宋_GB2312" w:cs="仿宋_GB2312" w:eastAsia="仿宋_GB2312"/>
        </w:rPr>
        <w:t>6、供应商拟派项目经理资质和专业要求：供应商拟派项目经理具备合法有效的建筑工程专业注册建造师二级（含）以上执业资格及安全生产考核合格证书（安全B证），在本单位注册且无在建工程；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西北政法大学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西安市长安区西长安街558号西北政法大学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樊老师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029-88182351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常博皓、刘昆、姚瑶、王昭、代光艳、张晨、王森、靳祥德、成荔、彭明杨、王莉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17791161616、029-89581311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采购包1保证金金额：3,002.00元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代理服务费收费标准：参照国家计委颁发的《招标代理服务收费管理暂行办法》（计价格[2002]1980号）和国家发改委办公厅颁发的《关于招标代理服务收费有关问题的通知》（发改办价格[2003] 857号）的有关规定下浮20%。 注：采购代理费及磋商保证金转账需备注项目名称+采购代理服务费/磋商保证金。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踏勘时间：2026-08-06 10:00:00</w:t>
            </w:r>
          </w:p>
          <w:p>
            <w:pPr>
              <w:pStyle w:val="null3"/>
              <w:ind w:firstLine="975"/>
            </w:pPr>
            <w:r>
              <w:rPr>
                <w:rFonts w:ascii="仿宋_GB2312" w:hAnsi="仿宋_GB2312" w:cs="仿宋_GB2312" w:eastAsia="仿宋_GB2312"/>
              </w:rPr>
              <w:t>踏勘地点：西北政法大学雁塔校区。（请各单位准时到场）</w:t>
            </w:r>
          </w:p>
          <w:p>
            <w:pPr>
              <w:pStyle w:val="null3"/>
              <w:ind w:firstLine="975"/>
            </w:pPr>
            <w:r>
              <w:rPr>
                <w:rFonts w:ascii="仿宋_GB2312" w:hAnsi="仿宋_GB2312" w:cs="仿宋_GB2312" w:eastAsia="仿宋_GB2312"/>
              </w:rPr>
              <w:t>联系人：樊毅</w:t>
            </w:r>
          </w:p>
          <w:p>
            <w:pPr>
              <w:pStyle w:val="null3"/>
              <w:ind w:firstLine="975"/>
            </w:pPr>
            <w:r>
              <w:rPr>
                <w:rFonts w:ascii="仿宋_GB2312" w:hAnsi="仿宋_GB2312" w:cs="仿宋_GB2312" w:eastAsia="仿宋_GB2312"/>
              </w:rPr>
              <w:t>联系电话号码：18691630095</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西北政法大学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西北政法大学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西北政法大学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联系人：常博皓</w:t>
      </w:r>
    </w:p>
    <w:p>
      <w:pPr>
        <w:pStyle w:val="null3"/>
      </w:pPr>
      <w:r>
        <w:rPr>
          <w:rFonts w:ascii="仿宋_GB2312" w:hAnsi="仿宋_GB2312" w:cs="仿宋_GB2312" w:eastAsia="仿宋_GB2312"/>
        </w:rPr>
        <w:t>联系电话：17791161616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w:t>
      </w:r>
    </w:p>
    <w:p>
      <w:pPr>
        <w:pStyle w:val="null3"/>
      </w:pPr>
      <w:r>
        <w:rPr>
          <w:rFonts w:ascii="仿宋_GB2312" w:hAnsi="仿宋_GB2312" w:cs="仿宋_GB2312" w:eastAsia="仿宋_GB2312"/>
        </w:rPr>
        <w:t>采购包最高限价（元）: 300,000.00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雁塔校区垃圾站建设</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标的名称：雁塔校区垃圾站建设</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jc w:val="both"/>
            </w:pPr>
            <w:r>
              <w:rPr>
                <w:rFonts w:ascii="仿宋_GB2312" w:hAnsi="仿宋_GB2312" w:cs="仿宋_GB2312" w:eastAsia="仿宋_GB2312"/>
                <w:sz w:val="24"/>
                <w:b/>
              </w:rPr>
              <w:t>一、项目概况</w:t>
            </w:r>
          </w:p>
          <w:p>
            <w:pPr>
              <w:pStyle w:val="null3"/>
              <w:jc w:val="left"/>
            </w:pPr>
            <w:r>
              <w:rPr>
                <w:rFonts w:ascii="仿宋_GB2312" w:hAnsi="仿宋_GB2312" w:cs="仿宋_GB2312" w:eastAsia="仿宋_GB2312"/>
                <w:sz w:val="24"/>
              </w:rPr>
              <w:t>2026年度雁塔校区垃圾站建设项目</w:t>
            </w:r>
            <w:r>
              <w:rPr>
                <w:rFonts w:ascii="仿宋_GB2312" w:hAnsi="仿宋_GB2312" w:cs="仿宋_GB2312" w:eastAsia="仿宋_GB2312"/>
                <w:sz w:val="24"/>
              </w:rPr>
              <w:t>，施工内容包含</w:t>
            </w:r>
            <w:r>
              <w:rPr>
                <w:rFonts w:ascii="仿宋_GB2312" w:hAnsi="仿宋_GB2312" w:cs="仿宋_GB2312" w:eastAsia="仿宋_GB2312"/>
                <w:sz w:val="24"/>
              </w:rPr>
              <w:t>利用现有基坑进行更新封闭式垃圾台设备</w:t>
            </w:r>
            <w:r>
              <w:rPr>
                <w:rFonts w:ascii="仿宋_GB2312" w:hAnsi="仿宋_GB2312" w:cs="仿宋_GB2312" w:eastAsia="仿宋_GB2312"/>
                <w:sz w:val="24"/>
              </w:rPr>
              <w:t>，配套防渗排水、密闭储物、除臭消杀、冲洗照明、监控标识，满足四类垃圾存放、环卫清运，同步完成施工与全套竣工资料，具体以本项目竞争性磋商文件、</w:t>
            </w:r>
            <w:r>
              <w:rPr>
                <w:rFonts w:ascii="仿宋_GB2312" w:hAnsi="仿宋_GB2312" w:cs="仿宋_GB2312" w:eastAsia="仿宋_GB2312"/>
                <w:sz w:val="24"/>
              </w:rPr>
              <w:t>技术参数</w:t>
            </w:r>
            <w:r>
              <w:rPr>
                <w:rFonts w:ascii="仿宋_GB2312" w:hAnsi="仿宋_GB2312" w:cs="仿宋_GB2312" w:eastAsia="仿宋_GB2312"/>
                <w:sz w:val="24"/>
              </w:rPr>
              <w:t>为准。</w:t>
            </w:r>
          </w:p>
          <w:p>
            <w:pPr>
              <w:pStyle w:val="null3"/>
              <w:ind w:firstLine="482"/>
              <w:jc w:val="left"/>
            </w:pPr>
            <w:r>
              <w:rPr>
                <w:rFonts w:ascii="仿宋_GB2312" w:hAnsi="仿宋_GB2312" w:cs="仿宋_GB2312" w:eastAsia="仿宋_GB2312"/>
                <w:sz w:val="24"/>
                <w:b/>
              </w:rPr>
              <w:t>二、工程技术标准及要求</w:t>
            </w:r>
          </w:p>
          <w:p>
            <w:pPr>
              <w:pStyle w:val="null3"/>
              <w:ind w:firstLine="480"/>
              <w:jc w:val="both"/>
            </w:pPr>
            <w:r>
              <w:rPr>
                <w:rFonts w:ascii="仿宋_GB2312" w:hAnsi="仿宋_GB2312" w:cs="仿宋_GB2312" w:eastAsia="仿宋_GB2312"/>
                <w:sz w:val="24"/>
              </w:rPr>
              <w:t>（一）工程技术参数</w:t>
            </w:r>
          </w:p>
          <w:tbl>
            <w:tblPr>
              <w:tblBorders>
                <w:top w:val="none" w:color="000000" w:sz="4"/>
                <w:left w:val="none" w:color="000000" w:sz="4"/>
                <w:bottom w:val="none" w:color="000000" w:sz="4"/>
                <w:right w:val="none" w:color="000000" w:sz="4"/>
                <w:insideH w:val="none"/>
                <w:insideV w:val="none"/>
              </w:tblBorders>
            </w:tblPr>
            <w:tblGrid>
              <w:gridCol w:w="329"/>
              <w:gridCol w:w="430"/>
              <w:gridCol w:w="2542"/>
              <w:gridCol w:w="268"/>
              <w:gridCol w:w="258"/>
            </w:tblGrid>
            <w:tr>
              <w:tc>
                <w:tcPr>
                  <w:tcW w:type="dxa" w:w="32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序号</w:t>
                  </w:r>
                </w:p>
              </w:tc>
              <w:tc>
                <w:tcPr>
                  <w:tcW w:type="dxa" w:w="43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设备名称</w:t>
                  </w:r>
                </w:p>
              </w:tc>
              <w:tc>
                <w:tcPr>
                  <w:tcW w:type="dxa" w:w="2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技术参数</w:t>
                  </w:r>
                </w:p>
              </w:tc>
              <w:tc>
                <w:tcPr>
                  <w:tcW w:type="dxa" w:w="26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数量</w:t>
                  </w:r>
                </w:p>
              </w:tc>
              <w:tc>
                <w:tcPr>
                  <w:tcW w:type="dxa" w:w="25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4"/>
                      <w:b/>
                    </w:rPr>
                    <w:t>单位</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4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地埋式水平垃圾压缩中转站</w:t>
                  </w:r>
                </w:p>
              </w:tc>
              <w:tc>
                <w:tcPr>
                  <w:tcW w:type="dxa" w:w="2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1）整机性能参数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有效压缩容积</w:t>
                  </w:r>
                  <w:r>
                    <w:rPr>
                      <w:rFonts w:ascii="仿宋_GB2312" w:hAnsi="仿宋_GB2312" w:cs="仿宋_GB2312" w:eastAsia="仿宋_GB2312"/>
                      <w:sz w:val="21"/>
                    </w:rPr>
                    <w:t>12m³</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单次装载垃圾重量</w:t>
                  </w:r>
                  <w:r>
                    <w:rPr>
                      <w:rFonts w:ascii="仿宋_GB2312" w:hAnsi="仿宋_GB2312" w:cs="仿宋_GB2312" w:eastAsia="仿宋_GB2312"/>
                      <w:sz w:val="21"/>
                    </w:rPr>
                    <w:t>5.5–8t/次</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垃圾压缩比</w:t>
                  </w:r>
                  <w:r>
                    <w:rPr>
                      <w:rFonts w:ascii="仿宋_GB2312" w:hAnsi="仿宋_GB2312" w:cs="仿宋_GB2312" w:eastAsia="仿宋_GB2312"/>
                      <w:sz w:val="21"/>
                    </w:rPr>
                    <w:t>≥3:1</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垃圾压实密度</w:t>
                  </w:r>
                  <w:r>
                    <w:rPr>
                      <w:rFonts w:ascii="仿宋_GB2312" w:hAnsi="仿宋_GB2312" w:cs="仿宋_GB2312" w:eastAsia="仿宋_GB2312"/>
                      <w:sz w:val="21"/>
                    </w:rPr>
                    <w:t>≥0.75t/m³</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日处理垃圾能力</w:t>
                  </w:r>
                  <w:r>
                    <w:rPr>
                      <w:rFonts w:ascii="仿宋_GB2312" w:hAnsi="仿宋_GB2312" w:cs="仿宋_GB2312" w:eastAsia="仿宋_GB2312"/>
                      <w:sz w:val="21"/>
                    </w:rPr>
                    <w:t>60–100t/8h</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最大压缩推力</w:t>
                  </w:r>
                  <w:r>
                    <w:rPr>
                      <w:rFonts w:ascii="仿宋_GB2312" w:hAnsi="仿宋_GB2312" w:cs="仿宋_GB2312" w:eastAsia="仿宋_GB2312"/>
                      <w:sz w:val="21"/>
                    </w:rPr>
                    <w:t>≥340kN</w:t>
                  </w:r>
                </w:p>
                <w:p>
                  <w:pPr>
                    <w:pStyle w:val="null3"/>
                    <w:jc w:val="left"/>
                  </w:pPr>
                  <w:r>
                    <w:rPr>
                      <w:rFonts w:ascii="仿宋_GB2312" w:hAnsi="仿宋_GB2312" w:cs="仿宋_GB2312" w:eastAsia="仿宋_GB2312"/>
                      <w:sz w:val="21"/>
                    </w:rPr>
                    <w:t>7</w:t>
                  </w:r>
                  <w:r>
                    <w:rPr>
                      <w:rFonts w:ascii="仿宋_GB2312" w:hAnsi="仿宋_GB2312" w:cs="仿宋_GB2312" w:eastAsia="仿宋_GB2312"/>
                      <w:sz w:val="21"/>
                    </w:rPr>
                    <w:t>.</w:t>
                  </w:r>
                  <w:r>
                    <w:rPr>
                      <w:rFonts w:ascii="仿宋_GB2312" w:hAnsi="仿宋_GB2312" w:cs="仿宋_GB2312" w:eastAsia="仿宋_GB2312"/>
                      <w:sz w:val="21"/>
                    </w:rPr>
                    <w:t>单次压缩循环时间</w:t>
                  </w:r>
                  <w:r>
                    <w:rPr>
                      <w:rFonts w:ascii="仿宋_GB2312" w:hAnsi="仿宋_GB2312" w:cs="仿宋_GB2312" w:eastAsia="仿宋_GB2312"/>
                      <w:sz w:val="21"/>
                    </w:rPr>
                    <w:t>≤60s</w:t>
                  </w:r>
                </w:p>
                <w:p>
                  <w:pPr>
                    <w:pStyle w:val="null3"/>
                    <w:jc w:val="left"/>
                  </w:pPr>
                  <w:r>
                    <w:rPr>
                      <w:rFonts w:ascii="仿宋_GB2312" w:hAnsi="仿宋_GB2312" w:cs="仿宋_GB2312" w:eastAsia="仿宋_GB2312"/>
                      <w:sz w:val="21"/>
                    </w:rPr>
                    <w:t>8</w:t>
                  </w:r>
                  <w:r>
                    <w:rPr>
                      <w:rFonts w:ascii="仿宋_GB2312" w:hAnsi="仿宋_GB2312" w:cs="仿宋_GB2312" w:eastAsia="仿宋_GB2312"/>
                      <w:sz w:val="21"/>
                    </w:rPr>
                    <w:t>.</w:t>
                  </w:r>
                  <w:r>
                    <w:rPr>
                      <w:rFonts w:ascii="仿宋_GB2312" w:hAnsi="仿宋_GB2312" w:cs="仿宋_GB2312" w:eastAsia="仿宋_GB2312"/>
                      <w:sz w:val="21"/>
                    </w:rPr>
                    <w:t>设备运行噪音</w:t>
                  </w:r>
                  <w:r>
                    <w:rPr>
                      <w:rFonts w:ascii="仿宋_GB2312" w:hAnsi="仿宋_GB2312" w:cs="仿宋_GB2312" w:eastAsia="仿宋_GB2312"/>
                      <w:sz w:val="21"/>
                    </w:rPr>
                    <w:t>≤65dB(A)</w:t>
                  </w:r>
                </w:p>
                <w:p>
                  <w:pPr>
                    <w:pStyle w:val="null3"/>
                    <w:jc w:val="left"/>
                  </w:pPr>
                  <w:r>
                    <w:rPr>
                      <w:rFonts w:ascii="仿宋_GB2312" w:hAnsi="仿宋_GB2312" w:cs="仿宋_GB2312" w:eastAsia="仿宋_GB2312"/>
                      <w:sz w:val="21"/>
                    </w:rPr>
                    <w:t>9</w:t>
                  </w:r>
                  <w:r>
                    <w:rPr>
                      <w:rFonts w:ascii="仿宋_GB2312" w:hAnsi="仿宋_GB2312" w:cs="仿宋_GB2312" w:eastAsia="仿宋_GB2312"/>
                      <w:sz w:val="21"/>
                    </w:rPr>
                    <w:t>.</w:t>
                  </w:r>
                  <w:r>
                    <w:rPr>
                      <w:rFonts w:ascii="仿宋_GB2312" w:hAnsi="仿宋_GB2312" w:cs="仿宋_GB2312" w:eastAsia="仿宋_GB2312"/>
                      <w:sz w:val="21"/>
                    </w:rPr>
                    <w:t>整机自重</w:t>
                  </w:r>
                  <w:r>
                    <w:rPr>
                      <w:rFonts w:ascii="仿宋_GB2312" w:hAnsi="仿宋_GB2312" w:cs="仿宋_GB2312" w:eastAsia="仿宋_GB2312"/>
                      <w:sz w:val="21"/>
                    </w:rPr>
                    <w:t>5.2–5.6t</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2）动力与液压系统参数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主电机参数</w:t>
                  </w:r>
                  <w:r>
                    <w:rPr>
                      <w:rFonts w:ascii="仿宋_GB2312" w:hAnsi="仿宋_GB2312" w:cs="仿宋_GB2312" w:eastAsia="仿宋_GB2312"/>
                      <w:sz w:val="21"/>
                    </w:rPr>
                    <w:t>380V/50Hz，高效节能电机，功率11kW</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液压系统额定压力</w:t>
                  </w:r>
                  <w:r>
                    <w:rPr>
                      <w:rFonts w:ascii="仿宋_GB2312" w:hAnsi="仿宋_GB2312" w:cs="仿宋_GB2312" w:eastAsia="仿宋_GB2312"/>
                      <w:sz w:val="21"/>
                    </w:rPr>
                    <w:t>21MPa，过载保护压力25MPa</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工作稳压压力</w:t>
                  </w:r>
                  <w:r>
                    <w:rPr>
                      <w:rFonts w:ascii="仿宋_GB2312" w:hAnsi="仿宋_GB2312" w:cs="仿宋_GB2312" w:eastAsia="仿宋_GB2312"/>
                      <w:sz w:val="21"/>
                    </w:rPr>
                    <w:t>16–18MPa</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液压配置高压齿轮泵、集成阀组、外置风冷、精密过滤系统</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油缸配置重型镀铬伸缩油缸，带耐磨密封、防尘防护结构</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w:t>
                  </w:r>
                  <w:r>
                    <w:rPr>
                      <w:rFonts w:ascii="仿宋_GB2312" w:hAnsi="仿宋_GB2312" w:cs="仿宋_GB2312" w:eastAsia="仿宋_GB2312"/>
                      <w:sz w:val="21"/>
                    </w:rPr>
                    <w:t>控制方式液压过载自动泄压、柔性压缩，无冲击运行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3）外形尺寸及基坑土建参数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设备整机外形尺寸（长</w:t>
                  </w:r>
                  <w:r>
                    <w:rPr>
                      <w:rFonts w:ascii="仿宋_GB2312" w:hAnsi="仿宋_GB2312" w:cs="仿宋_GB2312" w:eastAsia="仿宋_GB2312"/>
                      <w:sz w:val="21"/>
                    </w:rPr>
                    <w:t>×宽×高） 7400mm×3200mm×1800mm</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基坑开挖净尺寸（长</w:t>
                  </w:r>
                  <w:r>
                    <w:rPr>
                      <w:rFonts w:ascii="仿宋_GB2312" w:hAnsi="仿宋_GB2312" w:cs="仿宋_GB2312" w:eastAsia="仿宋_GB2312"/>
                      <w:sz w:val="21"/>
                    </w:rPr>
                    <w:t>×宽×深）≥7600mm×3500mm×1800mm</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底板混凝土厚度</w:t>
                  </w:r>
                  <w:r>
                    <w:rPr>
                      <w:rFonts w:ascii="仿宋_GB2312" w:hAnsi="仿宋_GB2312" w:cs="仿宋_GB2312" w:eastAsia="仿宋_GB2312"/>
                      <w:sz w:val="21"/>
                    </w:rPr>
                    <w:t>≥200mm，C30混凝土</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地面占地面积约</w:t>
                  </w:r>
                  <w:r>
                    <w:rPr>
                      <w:rFonts w:ascii="仿宋_GB2312" w:hAnsi="仿宋_GB2312" w:cs="仿宋_GB2312" w:eastAsia="仿宋_GB2312"/>
                      <w:sz w:val="21"/>
                    </w:rPr>
                    <w:t>30㎡</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适配转运车辆</w:t>
                  </w:r>
                  <w:r>
                    <w:rPr>
                      <w:rFonts w:ascii="仿宋_GB2312" w:hAnsi="仿宋_GB2312" w:cs="仿宋_GB2312" w:eastAsia="仿宋_GB2312"/>
                      <w:sz w:val="21"/>
                    </w:rPr>
                    <w:t>16–18吨</w:t>
                  </w:r>
                  <w:r>
                    <w:rPr>
                      <w:rFonts w:ascii="仿宋_GB2312" w:hAnsi="仿宋_GB2312" w:cs="仿宋_GB2312" w:eastAsia="仿宋_GB2312"/>
                      <w:sz w:val="21"/>
                    </w:rPr>
                    <w:t>对接</w:t>
                  </w:r>
                  <w:r>
                    <w:rPr>
                      <w:rFonts w:ascii="仿宋_GB2312" w:hAnsi="仿宋_GB2312" w:cs="仿宋_GB2312" w:eastAsia="仿宋_GB2312"/>
                      <w:sz w:val="21"/>
                    </w:rPr>
                    <w:t>式垃圾转运车</w:t>
                  </w:r>
                </w:p>
                <w:p>
                  <w:pPr>
                    <w:pStyle w:val="null3"/>
                    <w:jc w:val="left"/>
                  </w:pPr>
                  <w:r>
                    <w:rPr>
                      <w:rFonts w:ascii="仿宋_GB2312" w:hAnsi="仿宋_GB2312" w:cs="仿宋_GB2312" w:eastAsia="仿宋_GB2312"/>
                      <w:sz w:val="21"/>
                    </w:rPr>
                    <w:t>6.</w:t>
                  </w:r>
                  <w:r>
                    <w:rPr>
                      <w:rFonts w:ascii="仿宋_GB2312" w:hAnsi="仿宋_GB2312" w:cs="仿宋_GB2312" w:eastAsia="仿宋_GB2312"/>
                      <w:sz w:val="21"/>
                    </w:rPr>
                    <w:t>适配各类保洁车、标准垃圾桶卸料</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4）主体结构材质参数</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箱体底板材质</w:t>
                  </w:r>
                  <w:r>
                    <w:rPr>
                      <w:rFonts w:ascii="仿宋_GB2312" w:hAnsi="仿宋_GB2312" w:cs="仿宋_GB2312" w:eastAsia="仿宋_GB2312"/>
                      <w:sz w:val="21"/>
                    </w:rPr>
                    <w:t>8mm Q355B低合金耐磨耐候钢板</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箱体侧板、顶板材质</w:t>
                  </w:r>
                  <w:r>
                    <w:rPr>
                      <w:rFonts w:ascii="仿宋_GB2312" w:hAnsi="仿宋_GB2312" w:cs="仿宋_GB2312" w:eastAsia="仿宋_GB2312"/>
                      <w:sz w:val="21"/>
                    </w:rPr>
                    <w:t>6mm Q355B低合金钢板</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推铲耐磨衬板</w:t>
                  </w:r>
                  <w:r>
                    <w:rPr>
                      <w:rFonts w:ascii="仿宋_GB2312" w:hAnsi="仿宋_GB2312" w:cs="仿宋_GB2312" w:eastAsia="仿宋_GB2312"/>
                      <w:sz w:val="21"/>
                    </w:rPr>
                    <w:t>≥12mm加厚耐磨钢板</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防腐工艺喷砂除锈达标、环氧富锌底漆、聚氨酯面漆，</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5）环保配套系统（标配）</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渗滤液收集系统箱体全域导流槽</w:t>
                  </w:r>
                  <w:r>
                    <w:rPr>
                      <w:rFonts w:ascii="仿宋_GB2312" w:hAnsi="仿宋_GB2312" w:cs="仿宋_GB2312" w:eastAsia="仿宋_GB2312"/>
                      <w:sz w:val="21"/>
                    </w:rPr>
                    <w:t>+基坑集污井，配套DN110标准排污接口</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基坑防水专用防水卷材整体防渗处理，杜绝污水外渗污染土壤</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6）配套施工与供电条件</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供电要求三相五线</w:t>
                  </w:r>
                  <w:r>
                    <w:rPr>
                      <w:rFonts w:ascii="仿宋_GB2312" w:hAnsi="仿宋_GB2312" w:cs="仿宋_GB2312" w:eastAsia="仿宋_GB2312"/>
                      <w:sz w:val="21"/>
                    </w:rPr>
                    <w:t>380V，独立配电箱、漏电保护、防雷接地</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进线电缆规格</w:t>
                  </w:r>
                  <w:r>
                    <w:rPr>
                      <w:rFonts w:ascii="仿宋_GB2312" w:hAnsi="仿宋_GB2312" w:cs="仿宋_GB2312" w:eastAsia="仿宋_GB2312"/>
                      <w:sz w:val="21"/>
                    </w:rPr>
                    <w:t>≥10mm²铜芯电缆</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给水接口</w:t>
                  </w:r>
                  <w:r>
                    <w:rPr>
                      <w:rFonts w:ascii="仿宋_GB2312" w:hAnsi="仿宋_GB2312" w:cs="仿宋_GB2312" w:eastAsia="仿宋_GB2312"/>
                      <w:sz w:val="21"/>
                    </w:rPr>
                    <w:t>DN40自来水接口，用于设备冲洗、药剂稀释、除臭消杀、冲洗照明、监控标识</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工作环境温度</w:t>
                  </w:r>
                  <w:r>
                    <w:rPr>
                      <w:rFonts w:ascii="仿宋_GB2312" w:hAnsi="仿宋_GB2312" w:cs="仿宋_GB2312" w:eastAsia="仿宋_GB2312"/>
                      <w:sz w:val="21"/>
                    </w:rPr>
                    <w:t>-10℃～+50℃稳定运行</w:t>
                  </w:r>
                </w:p>
                <w:p>
                  <w:pPr>
                    <w:pStyle w:val="null3"/>
                    <w:jc w:val="left"/>
                  </w:pPr>
                  <w:r>
                    <w:rPr>
                      <w:rFonts w:ascii="仿宋_GB2312" w:hAnsi="仿宋_GB2312" w:cs="仿宋_GB2312" w:eastAsia="仿宋_GB2312"/>
                      <w:sz w:val="21"/>
                    </w:rPr>
                    <w:t>（</w:t>
                  </w:r>
                  <w:r>
                    <w:rPr>
                      <w:rFonts w:ascii="仿宋_GB2312" w:hAnsi="仿宋_GB2312" w:cs="仿宋_GB2312" w:eastAsia="仿宋_GB2312"/>
                      <w:sz w:val="21"/>
                    </w:rPr>
                    <w:t>7）质保及验收标准</w:t>
                  </w:r>
                </w:p>
                <w:p>
                  <w:pPr>
                    <w:pStyle w:val="null3"/>
                    <w:jc w:val="left"/>
                  </w:pPr>
                  <w:r>
                    <w:rPr>
                      <w:rFonts w:ascii="仿宋_GB2312" w:hAnsi="仿宋_GB2312" w:cs="仿宋_GB2312" w:eastAsia="仿宋_GB2312"/>
                      <w:sz w:val="21"/>
                    </w:rPr>
                    <w:t>1</w:t>
                  </w:r>
                  <w:r>
                    <w:rPr>
                      <w:rFonts w:ascii="仿宋_GB2312" w:hAnsi="仿宋_GB2312" w:cs="仿宋_GB2312" w:eastAsia="仿宋_GB2312"/>
                      <w:sz w:val="21"/>
                    </w:rPr>
                    <w:t>.</w:t>
                  </w:r>
                  <w:r>
                    <w:rPr>
                      <w:rFonts w:ascii="仿宋_GB2312" w:hAnsi="仿宋_GB2312" w:cs="仿宋_GB2312" w:eastAsia="仿宋_GB2312"/>
                      <w:sz w:val="21"/>
                    </w:rPr>
                    <w:t>整机质保</w:t>
                  </w:r>
                  <w:r>
                    <w:rPr>
                      <w:rFonts w:ascii="仿宋_GB2312" w:hAnsi="仿宋_GB2312" w:cs="仿宋_GB2312" w:eastAsia="仿宋_GB2312"/>
                      <w:sz w:val="21"/>
                    </w:rPr>
                    <w:t>≥1年整机质保</w:t>
                  </w:r>
                </w:p>
                <w:p>
                  <w:pPr>
                    <w:pStyle w:val="null3"/>
                    <w:jc w:val="left"/>
                  </w:pPr>
                  <w:r>
                    <w:rPr>
                      <w:rFonts w:ascii="仿宋_GB2312" w:hAnsi="仿宋_GB2312" w:cs="仿宋_GB2312" w:eastAsia="仿宋_GB2312"/>
                      <w:sz w:val="21"/>
                    </w:rPr>
                    <w:t>2</w:t>
                  </w:r>
                  <w:r>
                    <w:rPr>
                      <w:rFonts w:ascii="仿宋_GB2312" w:hAnsi="仿宋_GB2312" w:cs="仿宋_GB2312" w:eastAsia="仿宋_GB2312"/>
                      <w:sz w:val="21"/>
                    </w:rPr>
                    <w:t>.</w:t>
                  </w:r>
                  <w:r>
                    <w:rPr>
                      <w:rFonts w:ascii="仿宋_GB2312" w:hAnsi="仿宋_GB2312" w:cs="仿宋_GB2312" w:eastAsia="仿宋_GB2312"/>
                      <w:sz w:val="21"/>
                    </w:rPr>
                    <w:t>核心部件质保液压系统、电机、</w:t>
                  </w:r>
                  <w:r>
                    <w:rPr>
                      <w:rFonts w:ascii="仿宋_GB2312" w:hAnsi="仿宋_GB2312" w:cs="仿宋_GB2312" w:eastAsia="仿宋_GB2312"/>
                      <w:sz w:val="21"/>
                    </w:rPr>
                    <w:t>PLC控制器质保≥2年</w:t>
                  </w:r>
                </w:p>
                <w:p>
                  <w:pPr>
                    <w:pStyle w:val="null3"/>
                    <w:jc w:val="left"/>
                  </w:pPr>
                  <w:r>
                    <w:rPr>
                      <w:rFonts w:ascii="仿宋_GB2312" w:hAnsi="仿宋_GB2312" w:cs="仿宋_GB2312" w:eastAsia="仿宋_GB2312"/>
                      <w:sz w:val="21"/>
                    </w:rPr>
                    <w:t>3</w:t>
                  </w:r>
                  <w:r>
                    <w:rPr>
                      <w:rFonts w:ascii="仿宋_GB2312" w:hAnsi="仿宋_GB2312" w:cs="仿宋_GB2312" w:eastAsia="仿宋_GB2312"/>
                      <w:sz w:val="21"/>
                    </w:rPr>
                    <w:t>.</w:t>
                  </w:r>
                  <w:r>
                    <w:rPr>
                      <w:rFonts w:ascii="仿宋_GB2312" w:hAnsi="仿宋_GB2312" w:cs="仿宋_GB2312" w:eastAsia="仿宋_GB2312"/>
                      <w:sz w:val="21"/>
                    </w:rPr>
                    <w:t>验收依据提供整机出厂合格证</w:t>
                  </w:r>
                </w:p>
                <w:p>
                  <w:pPr>
                    <w:pStyle w:val="null3"/>
                    <w:jc w:val="left"/>
                  </w:pPr>
                  <w:r>
                    <w:rPr>
                      <w:rFonts w:ascii="仿宋_GB2312" w:hAnsi="仿宋_GB2312" w:cs="仿宋_GB2312" w:eastAsia="仿宋_GB2312"/>
                      <w:sz w:val="21"/>
                    </w:rPr>
                    <w:t>4</w:t>
                  </w:r>
                  <w:r>
                    <w:rPr>
                      <w:rFonts w:ascii="仿宋_GB2312" w:hAnsi="仿宋_GB2312" w:cs="仿宋_GB2312" w:eastAsia="仿宋_GB2312"/>
                      <w:sz w:val="21"/>
                    </w:rPr>
                    <w:t>.</w:t>
                  </w:r>
                  <w:r>
                    <w:rPr>
                      <w:rFonts w:ascii="仿宋_GB2312" w:hAnsi="仿宋_GB2312" w:cs="仿宋_GB2312" w:eastAsia="仿宋_GB2312"/>
                      <w:sz w:val="21"/>
                    </w:rPr>
                    <w:t>运行标准压缩无渗漏、运行稳定、噪音达标、全自动启停可靠</w:t>
                  </w:r>
                </w:p>
                <w:p>
                  <w:pPr>
                    <w:pStyle w:val="null3"/>
                    <w:jc w:val="left"/>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服务标准免费现场安装调试、操作人员培训、终身维护</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1</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05"/>
                    <w:jc w:val="center"/>
                  </w:pPr>
                  <w:r>
                    <w:rPr>
                      <w:rFonts w:ascii="仿宋_GB2312" w:hAnsi="仿宋_GB2312" w:cs="仿宋_GB2312" w:eastAsia="仿宋_GB2312"/>
                      <w:sz w:val="20"/>
                    </w:rPr>
                    <w:t>项</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2</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旧设备拆除</w:t>
                  </w:r>
                </w:p>
              </w:tc>
              <w:tc>
                <w:tcPr>
                  <w:tcW w:type="dxa" w:w="25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原地埋式垃圾压缩设备整体拆除，含液压管路、电气线路切断，废料清运</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1</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项</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3</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污水泵更换</w:t>
                  </w:r>
                </w:p>
              </w:tc>
              <w:tc>
                <w:tcPr>
                  <w:tcW w:type="dxa" w:w="25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更换基坑污水泵，含配套管路、止回阀、液位控制器（</w:t>
                  </w:r>
                  <w:r>
                    <w:rPr>
                      <w:rFonts w:ascii="仿宋_GB2312" w:hAnsi="仿宋_GB2312" w:cs="仿宋_GB2312" w:eastAsia="仿宋_GB2312"/>
                      <w:sz w:val="21"/>
                    </w:rPr>
                    <w:t>Q=15m³/h，H=18m）</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2</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台</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4</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管道维修</w:t>
                  </w:r>
                </w:p>
              </w:tc>
              <w:tc>
                <w:tcPr>
                  <w:tcW w:type="dxa" w:w="25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排污管道及给水管路检修，更换破损管段，</w:t>
                  </w:r>
                  <w:r>
                    <w:rPr>
                      <w:rFonts w:ascii="仿宋_GB2312" w:hAnsi="仿宋_GB2312" w:cs="仿宋_GB2312" w:eastAsia="仿宋_GB2312"/>
                      <w:sz w:val="21"/>
                    </w:rPr>
                    <w:t>DN110/DN40，含保温及接口</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1</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项</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5</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基坑维修</w:t>
                  </w:r>
                </w:p>
              </w:tc>
              <w:tc>
                <w:tcPr>
                  <w:tcW w:type="dxa" w:w="25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基坑底面、侧壁找平修补，裂缝注浆，重做排水坡度，</w:t>
                  </w:r>
                  <w:r>
                    <w:rPr>
                      <w:rFonts w:ascii="仿宋_GB2312" w:hAnsi="仿宋_GB2312" w:cs="仿宋_GB2312" w:eastAsia="仿宋_GB2312"/>
                      <w:sz w:val="21"/>
                    </w:rPr>
                    <w:t>C30细石混凝土找平</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1</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项</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6</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防水处理</w:t>
                  </w:r>
                </w:p>
              </w:tc>
              <w:tc>
                <w:tcPr>
                  <w:tcW w:type="dxa" w:w="25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专用防水卷材整体防渗，搭接密封，阴阳角附加层，闭水试验</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1</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项</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7</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地面排水沟</w:t>
                  </w:r>
                  <w:r>
                    <w:rPr>
                      <w:rFonts w:ascii="仿宋_GB2312" w:hAnsi="仿宋_GB2312" w:cs="仿宋_GB2312" w:eastAsia="仿宋_GB2312"/>
                      <w:sz w:val="20"/>
                    </w:rPr>
                    <w:t xml:space="preserve"> (30米)</w:t>
                  </w:r>
                </w:p>
              </w:tc>
              <w:tc>
                <w:tcPr>
                  <w:tcW w:type="dxa" w:w="25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砖砌</w:t>
                  </w:r>
                  <w:r>
                    <w:rPr>
                      <w:rFonts w:ascii="仿宋_GB2312" w:hAnsi="仿宋_GB2312" w:cs="仿宋_GB2312" w:eastAsia="仿宋_GB2312"/>
                      <w:sz w:val="21"/>
                    </w:rPr>
                    <w:t>/混凝土排水沟，宽300mm×深400mm，含铸铁盖板，坡度连接至市政雨水井</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30</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m</w:t>
                  </w:r>
                </w:p>
              </w:tc>
            </w:tr>
            <w:tr>
              <w:tc>
                <w:tcPr>
                  <w:tcW w:type="dxa" w:w="3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8</w:t>
                  </w:r>
                </w:p>
              </w:tc>
              <w:tc>
                <w:tcPr>
                  <w:tcW w:type="dxa" w:w="4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设备安装</w:t>
                  </w:r>
                  <w:r>
                    <w:rPr>
                      <w:rFonts w:ascii="仿宋_GB2312" w:hAnsi="仿宋_GB2312" w:cs="仿宋_GB2312" w:eastAsia="仿宋_GB2312"/>
                      <w:sz w:val="20"/>
                    </w:rPr>
                    <w:t xml:space="preserve"> &amp; 调试</w:t>
                  </w:r>
                </w:p>
              </w:tc>
              <w:tc>
                <w:tcPr>
                  <w:tcW w:type="dxa" w:w="254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新设备吊装就位、水平校准、液压</w:t>
                  </w:r>
                  <w:r>
                    <w:rPr>
                      <w:rFonts w:ascii="仿宋_GB2312" w:hAnsi="仿宋_GB2312" w:cs="仿宋_GB2312" w:eastAsia="仿宋_GB2312"/>
                      <w:sz w:val="21"/>
                    </w:rPr>
                    <w:t>/电气连接、联动调试、试运行、培训</w:t>
                  </w:r>
                </w:p>
              </w:tc>
              <w:tc>
                <w:tcPr>
                  <w:tcW w:type="dxa" w:w="26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1</w:t>
                  </w:r>
                </w:p>
              </w:tc>
              <w:tc>
                <w:tcPr>
                  <w:tcW w:type="dxa" w:w="258"/>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spacing w:before="105" w:after="180"/>
                    <w:jc w:val="center"/>
                  </w:pPr>
                  <w:r>
                    <w:rPr>
                      <w:rFonts w:ascii="仿宋_GB2312" w:hAnsi="仿宋_GB2312" w:cs="仿宋_GB2312" w:eastAsia="仿宋_GB2312"/>
                      <w:sz w:val="20"/>
                    </w:rPr>
                    <w:t>项</w:t>
                  </w:r>
                </w:p>
              </w:tc>
            </w:tr>
          </w:tbl>
          <w:p>
            <w:pPr>
              <w:pStyle w:val="null3"/>
              <w:ind w:firstLine="482"/>
              <w:jc w:val="both"/>
            </w:pPr>
            <w:r>
              <w:rPr>
                <w:rFonts w:ascii="仿宋_GB2312" w:hAnsi="仿宋_GB2312" w:cs="仿宋_GB2312" w:eastAsia="仿宋_GB2312"/>
                <w:sz w:val="24"/>
                <w:b/>
              </w:rPr>
              <w:t>三、工程验收的主要依据、标准及要求</w:t>
            </w:r>
          </w:p>
          <w:tbl>
            <w:tblPr>
              <w:tblBorders>
                <w:top w:val="none" w:color="000000" w:sz="4"/>
                <w:left w:val="none" w:color="000000" w:sz="4"/>
                <w:bottom w:val="none" w:color="000000" w:sz="4"/>
                <w:right w:val="none" w:color="000000" w:sz="4"/>
                <w:insideH w:val="none"/>
                <w:insideV w:val="none"/>
              </w:tblBorders>
            </w:tblPr>
            <w:tblGrid>
              <w:gridCol w:w="320"/>
              <w:gridCol w:w="3509"/>
            </w:tblGrid>
            <w:tr>
              <w:tc>
                <w:tcPr>
                  <w:tcW w:type="dxa" w:w="3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35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规范、规程、标准名称</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1</w:t>
                  </w:r>
                </w:p>
              </w:tc>
              <w:tc>
                <w:tcPr>
                  <w:tcW w:type="dxa" w:w="3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 55013-2021</w:t>
                  </w:r>
                  <w:r>
                    <w:rPr>
                      <w:rFonts w:ascii="仿宋_GB2312" w:hAnsi="仿宋_GB2312" w:cs="仿宋_GB2312" w:eastAsia="仿宋_GB2312"/>
                      <w:sz w:val="24"/>
                    </w:rPr>
                    <w:t>《</w:t>
                  </w:r>
                  <w:r>
                    <w:rPr>
                      <w:rFonts w:ascii="仿宋_GB2312" w:hAnsi="仿宋_GB2312" w:cs="仿宋_GB2312" w:eastAsia="仿宋_GB2312"/>
                      <w:sz w:val="24"/>
                    </w:rPr>
                    <w:t>市容环卫工程项目规范</w:t>
                  </w:r>
                  <w:r>
                    <w:rPr>
                      <w:rFonts w:ascii="仿宋_GB2312" w:hAnsi="仿宋_GB2312" w:cs="仿宋_GB2312" w:eastAsia="仿宋_GB2312"/>
                      <w:sz w:val="24"/>
                    </w:rPr>
                    <w:t>》</w:t>
                  </w:r>
                </w:p>
              </w:tc>
            </w:tr>
            <w:tr>
              <w:tc>
                <w:tcPr>
                  <w:tcW w:type="dxa" w:w="3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2</w:t>
                  </w:r>
                </w:p>
              </w:tc>
              <w:tc>
                <w:tcPr>
                  <w:tcW w:type="dxa" w:w="35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 51260-2017</w:t>
                  </w:r>
                  <w:r>
                    <w:rPr>
                      <w:rFonts w:ascii="仿宋_GB2312" w:hAnsi="仿宋_GB2312" w:cs="仿宋_GB2312" w:eastAsia="仿宋_GB2312"/>
                      <w:sz w:val="24"/>
                    </w:rPr>
                    <w:t>《</w:t>
                  </w:r>
                  <w:r>
                    <w:rPr>
                      <w:rFonts w:ascii="仿宋_GB2312" w:hAnsi="仿宋_GB2312" w:cs="仿宋_GB2312" w:eastAsia="仿宋_GB2312"/>
                      <w:sz w:val="24"/>
                    </w:rPr>
                    <w:t>环境卫生技术规范</w:t>
                  </w:r>
                  <w:r>
                    <w:rPr>
                      <w:rFonts w:ascii="仿宋_GB2312" w:hAnsi="仿宋_GB2312" w:cs="仿宋_GB2312" w:eastAsia="仿宋_GB2312"/>
                      <w:sz w:val="24"/>
                    </w:rPr>
                    <w:t>》</w:t>
                  </w:r>
                </w:p>
              </w:tc>
            </w:tr>
          </w:tbl>
          <w:p>
            <w:pPr>
              <w:pStyle w:val="null3"/>
              <w:ind w:left="480"/>
              <w:jc w:val="both"/>
            </w:pPr>
            <w:r>
              <w:rPr>
                <w:rFonts w:ascii="仿宋_GB2312" w:hAnsi="仿宋_GB2312" w:cs="仿宋_GB2312" w:eastAsia="仿宋_GB2312"/>
                <w:sz w:val="24"/>
                <w:b/>
              </w:rPr>
              <w:t>四、</w:t>
            </w:r>
            <w:r>
              <w:rPr>
                <w:rFonts w:ascii="仿宋_GB2312" w:hAnsi="仿宋_GB2312" w:cs="仿宋_GB2312" w:eastAsia="仿宋_GB2312"/>
                <w:sz w:val="24"/>
                <w:b/>
              </w:rPr>
              <w:t>商务要求</w:t>
            </w:r>
            <w:r>
              <w:br/>
            </w:r>
            <w:r>
              <w:rPr>
                <w:rFonts w:ascii="仿宋_GB2312" w:hAnsi="仿宋_GB2312" w:cs="仿宋_GB2312" w:eastAsia="仿宋_GB2312"/>
                <w:sz w:val="24"/>
                <w:b/>
              </w:rPr>
              <w:t>（一）工期：</w:t>
            </w:r>
            <w:r>
              <w:rPr>
                <w:rFonts w:ascii="仿宋_GB2312" w:hAnsi="仿宋_GB2312" w:cs="仿宋_GB2312" w:eastAsia="仿宋_GB2312"/>
                <w:sz w:val="24"/>
              </w:rPr>
              <w:t>总工期</w:t>
            </w:r>
            <w:r>
              <w:rPr>
                <w:rFonts w:ascii="仿宋_GB2312" w:hAnsi="仿宋_GB2312" w:cs="仿宋_GB2312" w:eastAsia="仿宋_GB2312"/>
                <w:sz w:val="24"/>
              </w:rPr>
              <w:t>30日历天，具体开工日期以双方商定为准。</w:t>
            </w:r>
          </w:p>
          <w:p>
            <w:pPr>
              <w:pStyle w:val="null3"/>
              <w:ind w:firstLine="482"/>
              <w:jc w:val="both"/>
            </w:pPr>
            <w:r>
              <w:rPr>
                <w:rFonts w:ascii="仿宋_GB2312" w:hAnsi="仿宋_GB2312" w:cs="仿宋_GB2312" w:eastAsia="仿宋_GB2312"/>
                <w:sz w:val="24"/>
                <w:b/>
              </w:rPr>
              <w:t>（二）工程地点</w:t>
            </w:r>
            <w:r>
              <w:rPr>
                <w:rFonts w:ascii="仿宋_GB2312" w:hAnsi="仿宋_GB2312" w:cs="仿宋_GB2312" w:eastAsia="仿宋_GB2312"/>
                <w:sz w:val="24"/>
              </w:rPr>
              <w:t>：</w:t>
            </w:r>
            <w:r>
              <w:rPr>
                <w:rFonts w:ascii="仿宋_GB2312" w:hAnsi="仿宋_GB2312" w:cs="仿宋_GB2312" w:eastAsia="仿宋_GB2312"/>
                <w:sz w:val="24"/>
              </w:rPr>
              <w:t>西北政法大学</w:t>
            </w:r>
            <w:r>
              <w:rPr>
                <w:rFonts w:ascii="仿宋_GB2312" w:hAnsi="仿宋_GB2312" w:cs="仿宋_GB2312" w:eastAsia="仿宋_GB2312"/>
                <w:sz w:val="24"/>
              </w:rPr>
              <w:t>雁塔校区</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（三）质量要求</w:t>
            </w:r>
            <w:r>
              <w:rPr>
                <w:rFonts w:ascii="仿宋_GB2312" w:hAnsi="仿宋_GB2312" w:cs="仿宋_GB2312" w:eastAsia="仿宋_GB2312"/>
                <w:sz w:val="24"/>
              </w:rPr>
              <w:t>：满足现行《建筑与市政工程施工质量控制通用规范》的要求，质量验收合格。</w:t>
            </w:r>
          </w:p>
          <w:p>
            <w:pPr>
              <w:pStyle w:val="null3"/>
              <w:ind w:firstLine="482"/>
              <w:jc w:val="both"/>
            </w:pPr>
            <w:r>
              <w:rPr>
                <w:rFonts w:ascii="仿宋_GB2312" w:hAnsi="仿宋_GB2312" w:cs="仿宋_GB2312" w:eastAsia="仿宋_GB2312"/>
                <w:sz w:val="24"/>
                <w:b/>
              </w:rPr>
              <w:t>（四）付款方式：</w:t>
            </w:r>
            <w:r>
              <w:rPr>
                <w:rFonts w:ascii="仿宋_GB2312" w:hAnsi="仿宋_GB2312" w:cs="仿宋_GB2312" w:eastAsia="仿宋_GB2312"/>
                <w:sz w:val="24"/>
              </w:rPr>
              <w:t>合同签订后采购人支付</w:t>
            </w:r>
            <w:r>
              <w:rPr>
                <w:rFonts w:ascii="仿宋_GB2312" w:hAnsi="仿宋_GB2312" w:cs="仿宋_GB2312" w:eastAsia="仿宋_GB2312"/>
                <w:sz w:val="24"/>
              </w:rPr>
              <w:t>40%合同金额的预付款。工程完工经学校验收合格后支付20%工程款，经工程审计，支付至审定价的100%。</w:t>
            </w:r>
          </w:p>
          <w:p>
            <w:pPr>
              <w:pStyle w:val="null3"/>
              <w:ind w:firstLine="482"/>
              <w:jc w:val="both"/>
            </w:pPr>
            <w:r>
              <w:rPr>
                <w:rFonts w:ascii="仿宋_GB2312" w:hAnsi="仿宋_GB2312" w:cs="仿宋_GB2312" w:eastAsia="仿宋_GB2312"/>
                <w:sz w:val="24"/>
                <w:b/>
              </w:rPr>
              <w:t>（五）质量保证期：</w:t>
            </w:r>
            <w:r>
              <w:rPr>
                <w:rFonts w:ascii="仿宋_GB2312" w:hAnsi="仿宋_GB2312" w:cs="仿宋_GB2312" w:eastAsia="仿宋_GB2312"/>
                <w:sz w:val="24"/>
              </w:rPr>
              <w:t>本项目竣工验收合格通过之日起</w:t>
            </w:r>
            <w:r>
              <w:rPr>
                <w:rFonts w:ascii="仿宋_GB2312" w:hAnsi="仿宋_GB2312" w:cs="仿宋_GB2312" w:eastAsia="仿宋_GB2312"/>
                <w:sz w:val="24"/>
              </w:rPr>
              <w:t>2</w:t>
            </w:r>
            <w:r>
              <w:rPr>
                <w:rFonts w:ascii="仿宋_GB2312" w:hAnsi="仿宋_GB2312" w:cs="仿宋_GB2312" w:eastAsia="仿宋_GB2312"/>
                <w:sz w:val="24"/>
              </w:rPr>
              <w:t>年，供应商可在此基础上根据企业自身情况自主承诺予以延长。</w:t>
            </w:r>
          </w:p>
          <w:p>
            <w:pPr>
              <w:pStyle w:val="null3"/>
            </w:pPr>
            <w:r>
              <w:rPr>
                <w:rFonts w:ascii="仿宋_GB2312" w:hAnsi="仿宋_GB2312" w:cs="仿宋_GB2312" w:eastAsia="仿宋_GB2312"/>
                <w:sz w:val="24"/>
              </w:rPr>
              <w:t xml:space="preserve">  属于保修范围和内容的项目，供应商应在接到维修通知后，</w:t>
            </w:r>
            <w:r>
              <w:rPr>
                <w:rFonts w:ascii="仿宋_GB2312" w:hAnsi="仿宋_GB2312" w:cs="仿宋_GB2312" w:eastAsia="仿宋_GB2312"/>
                <w:sz w:val="24"/>
              </w:rPr>
              <w:t>3天内派人维修。发生紧急抢修事故（如供电设施漏、断电等），供应商应在接到事故通知后1小时内到达事故现场并于2小时内完成应急维修。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质量标准：满足现行《建筑与市政工程施工质量控制通用规范》的要求，质量验收合格。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应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3.所有材料必须使用合格产品，使用前应当由采购人认质确认后方可投入使用。工程施工完毕后需对施工场地进行保洁，保洁标准达到采购人要求。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1.响应保证金注意事项： （1）响应保证金须从供应商户名支付，如从个人户名或非供应商户名支付，将被拒绝，视为自动放弃投标权利（该个人是供应商的情形除外）；响应保证金缴纳时间：开标时间之前；以保函形式交纳响应保证金的，将保函扫描成清晰的PDF文件上传至政府采购电子化交易平台，同时发送至邮箱1024225934@qq.com（邮件命名：项目名称+项目编号）；供应商应在响应文件中附保函复印件。保函必须由具有开具投标保函资格的单位开具；若供应商违约，开具保函单位承担连带责任。 2.供应商应充分考虑磋商文件的各项条款和所掌握的市场情况及本工程的实际情况，结合企业自身情况以“总价及单价”的形式自主填报磋商报价。其中总价为暂定总价，工程量按照工程量清单中的数量进行计算后填报；单价为全费用综合单价，供应商根据“工程量清单中的数量及单位”进行填报。 本项目所提供的工程量清单仅表达了主要工程做法，报价时各供应商应依据现场踏勘情况、合同条款、技术规范以及本项目的工程技术标准和要求进行科学合理报价。供应商所填报的报价，采购人视为在采购范围内的全部内容价格。 供应商可自行到实施地点踏勘以充分了解工地位置、情况、道路、储存空间、装卸限制及任何其他足以影响响应报价的情况，供应商因忽视或误解工地情况而导致的其提出的任何索赔或工期延长申请将不被批准。凡因供应商对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要求的其他相关费用以本磋商文件的内容和要求作为磋商响应依据。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供应商应提交的资格审查资料.docx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供应商应提交的资格审查资料.docx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7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供应商提供自2025年7月至今已缴纳的至少一个月纳税证明或完税证明，依法免税的单位应提供相关证明材料；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具备建设行政主管部门颁发的建筑装修装饰工程专业承包二级（含）以上资质；同时具备有效的安全生产许可证，且未被“全国工程质量安全监管信息平台公共服务门户”网站列为暂扣或吊销状态。并在人员、设备、资金等方面具备相应的能力</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具体内容及要求以“第六章 磋商办法 6.4.2评分标准”为准。</w:t>
            </w:r>
          </w:p>
        </w:tc>
        <w:tc>
          <w:tcPr>
            <w:tcW w:type="dxa" w:w="1661"/>
          </w:tcPr>
          <w:p>
            <w:pPr>
              <w:pStyle w:val="null3"/>
            </w:pPr>
            <w:r>
              <w:rPr>
                <w:rFonts w:ascii="仿宋_GB2312" w:hAnsi="仿宋_GB2312" w:cs="仿宋_GB2312" w:eastAsia="仿宋_GB2312"/>
              </w:rPr>
              <w:t>分项报价表.docx 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中小企业声明函 企业业绩.docx 技术服务合同条款及其他商务要求应答表 强制优先采购产品承诺函 响应文件封面 施工组织设计方案.docx 分项报价表.docx 项目部团队人员情况表.docx 残疾人福利性单位声明函 法定代表人证明书及授权书.docx 报价函 标的清单 响应函 监狱企业的证明文件 拟派项目经理学历、职称及业绩.docx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响应文件封面 分项报价表.docx 中小企业声明函 残疾人福利性单位声明函 法定代表人证明书及授权书.docx 报价函 技术服务合同条款及其他商务要求应答表 标的清单 响应函 监狱企业的证明文件 强制优先采购产品承诺函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响应文件封面 分项报价表.docx 报价函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技术服务合同条款及其他商务要求应答表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中小企业声明函 企业业绩.docx 技术服务合同条款及其他商务要求应答表 强制优先采购产品承诺函 施工组织设计方案.docx 响应文件封面 分项报价表.docx 项目部团队人员情况表.docx 残疾人福利性单位声明函 法定代表人证明书及授权书.docx 报价函 标的清单 响应函 监狱企业的证明文件 拟派项目经理学历、职称及业绩.docx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供应商提供自2023年1月1日至本项目响应文件递交截止时间前已承接的类似业绩证明材料，每提供1项的得2分，最多得10分。未提供的不得分。 评审依据：类似业绩证明材料指提供施工合同证明材料复印件，时间以合同体现时间为准。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拟派项目经理职称</w:t>
            </w:r>
          </w:p>
        </w:tc>
        <w:tc>
          <w:tcPr>
            <w:tcW w:type="dxa" w:w="2492"/>
          </w:tcPr>
          <w:p>
            <w:pPr>
              <w:pStyle w:val="null3"/>
            </w:pPr>
            <w:r>
              <w:rPr>
                <w:rFonts w:ascii="仿宋_GB2312" w:hAnsi="仿宋_GB2312" w:cs="仿宋_GB2312" w:eastAsia="仿宋_GB2312"/>
              </w:rPr>
              <w:t>1.拟派项目经理具备中级（含）以上职称证书的得4分，初级职称的得2分，其他情况不得分。 评审依据：评审时以供应商提供拟派项目经理最高职称证书的扫描件或复印件为准，提供多个职称证明材料的，以最高职称材料为准，未提供的不得分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拟派项目经理学历、职称及业绩.docx</w:t>
            </w:r>
          </w:p>
        </w:tc>
      </w:tr>
      <w:tr>
        <w:tc>
          <w:tcPr>
            <w:tcW w:type="dxa" w:w="831"/>
            <w:vMerge/>
          </w:tcPr>
          <w:p/>
        </w:tc>
        <w:tc>
          <w:tcPr>
            <w:tcW w:type="dxa" w:w="1661"/>
          </w:tcPr>
          <w:p>
            <w:pPr>
              <w:pStyle w:val="null3"/>
            </w:pPr>
            <w:r>
              <w:rPr>
                <w:rFonts w:ascii="仿宋_GB2312" w:hAnsi="仿宋_GB2312" w:cs="仿宋_GB2312" w:eastAsia="仿宋_GB2312"/>
              </w:rPr>
              <w:t>拟派项目经理学历</w:t>
            </w:r>
          </w:p>
        </w:tc>
        <w:tc>
          <w:tcPr>
            <w:tcW w:type="dxa" w:w="2492"/>
          </w:tcPr>
          <w:p>
            <w:pPr>
              <w:pStyle w:val="null3"/>
            </w:pPr>
            <w:r>
              <w:rPr>
                <w:rFonts w:ascii="仿宋_GB2312" w:hAnsi="仿宋_GB2312" w:cs="仿宋_GB2312" w:eastAsia="仿宋_GB2312"/>
              </w:rPr>
              <w:t>2.拟派项目经理具备本科（含）以上学历的得2分，大专学历的得1分，其他情况不得分。 评审依据：以供应商提供拟派项目经理学历证书的扫描件或复印件为准，提供多个学历或学位证书的，以最高学历为准，未提供的不得分。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拟派项目经理学历、职称及业绩.docx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3.供应商提供拟派项目经理自2023年1月1日以来至今已完成的类似项目的业绩证明材料（在该项目中担任项目经理一职）提供1项的得2分，本项最多得4分，未提供的不得分。 评审依据：所提供合同或竣工验收资料复印件或扫描件中必须体现拟派项目经理在该项目中担任项目经理一职，否则不予赋分。企业业绩和拟派项目经理业绩可重复计分。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拟派项目经理学历、职称及业绩.docx</w:t>
            </w:r>
          </w:p>
        </w:tc>
      </w:tr>
      <w:tr>
        <w:tc>
          <w:tcPr>
            <w:tcW w:type="dxa" w:w="831"/>
            <w:vMerge/>
          </w:tcPr>
          <w:p/>
        </w:tc>
        <w:tc>
          <w:tcPr>
            <w:tcW w:type="dxa" w:w="1661"/>
          </w:tcPr>
          <w:p>
            <w:pPr>
              <w:pStyle w:val="null3"/>
            </w:pPr>
            <w:r>
              <w:rPr>
                <w:rFonts w:ascii="仿宋_GB2312" w:hAnsi="仿宋_GB2312" w:cs="仿宋_GB2312" w:eastAsia="仿宋_GB2312"/>
              </w:rPr>
              <w:t>施工组织设计方案1</w:t>
            </w:r>
          </w:p>
        </w:tc>
        <w:tc>
          <w:tcPr>
            <w:tcW w:type="dxa" w:w="2492"/>
          </w:tcPr>
          <w:p>
            <w:pPr>
              <w:pStyle w:val="null3"/>
            </w:pPr>
            <w:r>
              <w:rPr>
                <w:rFonts w:ascii="仿宋_GB2312" w:hAnsi="仿宋_GB2312" w:cs="仿宋_GB2312" w:eastAsia="仿宋_GB2312"/>
              </w:rPr>
              <w:t>1.供应商提供的施工总体规划部署及施工方案需包含①项目施工总体思路；②施工实施阶段划分；③关键工序技术把控措施，共3项内容，每项满分3分，总分9分。 其中，每项以具体内容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施工组织设计方案2</w:t>
            </w:r>
          </w:p>
        </w:tc>
        <w:tc>
          <w:tcPr>
            <w:tcW w:type="dxa" w:w="2492"/>
          </w:tcPr>
          <w:p>
            <w:pPr>
              <w:pStyle w:val="null3"/>
            </w:pPr>
            <w:r>
              <w:rPr>
                <w:rFonts w:ascii="仿宋_GB2312" w:hAnsi="仿宋_GB2312" w:cs="仿宋_GB2312" w:eastAsia="仿宋_GB2312"/>
              </w:rPr>
              <w:t>2.供应商提供的质量管控体系方案需包含①质量目标及管控措施；②全流程质量检验、整改机制；③质量通病预防措施，共3项内容，每项满分3分，总分9分。 其中，每项以具体内容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施工组织设计方案3</w:t>
            </w:r>
          </w:p>
        </w:tc>
        <w:tc>
          <w:tcPr>
            <w:tcW w:type="dxa" w:w="2492"/>
          </w:tcPr>
          <w:p>
            <w:pPr>
              <w:pStyle w:val="null3"/>
            </w:pPr>
            <w:r>
              <w:rPr>
                <w:rFonts w:ascii="仿宋_GB2312" w:hAnsi="仿宋_GB2312" w:cs="仿宋_GB2312" w:eastAsia="仿宋_GB2312"/>
              </w:rPr>
              <w:t>3.供应商提供的进度管控与应急方案需包含①进度管控节点设置、动态调整；②工期延误风险预判及应对措施；③季节性施工（雨期）适配措施，共3项内容，每项满分3分，总分9分。 其中，每项以具体内容与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施工组织设计方案4</w:t>
            </w:r>
          </w:p>
        </w:tc>
        <w:tc>
          <w:tcPr>
            <w:tcW w:type="dxa" w:w="2492"/>
          </w:tcPr>
          <w:p>
            <w:pPr>
              <w:pStyle w:val="null3"/>
            </w:pPr>
            <w:r>
              <w:rPr>
                <w:rFonts w:ascii="仿宋_GB2312" w:hAnsi="仿宋_GB2312" w:cs="仿宋_GB2312" w:eastAsia="仿宋_GB2312"/>
              </w:rPr>
              <w:t>4.供应商提供的安全文明施工方案需包含①安全生产管理制度、责任分工；②安全风险防控、应急处置方案、文明施工、环保措施（扬尘、噪音管控等），共2项内容，每项满分3分，总分6分。 其中，每项以具体内容与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施工组织设计方案5</w:t>
            </w:r>
          </w:p>
        </w:tc>
        <w:tc>
          <w:tcPr>
            <w:tcW w:type="dxa" w:w="2492"/>
          </w:tcPr>
          <w:p>
            <w:pPr>
              <w:pStyle w:val="null3"/>
            </w:pPr>
            <w:r>
              <w:rPr>
                <w:rFonts w:ascii="仿宋_GB2312" w:hAnsi="仿宋_GB2312" w:cs="仿宋_GB2312" w:eastAsia="仿宋_GB2312"/>
              </w:rPr>
              <w:t>5.供应商提供的资源配置保障方案需包含①施工队伍、管理人员及经验；②施工机械设备、材料供应及人力、设备调度方案，共2项内容，每项满分3分，总分6分。 其中，每项以具体内容与与本项目及响应内容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vMerge/>
          </w:tcPr>
          <w:p/>
        </w:tc>
        <w:tc>
          <w:tcPr>
            <w:tcW w:type="dxa" w:w="1661"/>
          </w:tcPr>
          <w:p>
            <w:pPr>
              <w:pStyle w:val="null3"/>
            </w:pPr>
            <w:r>
              <w:rPr>
                <w:rFonts w:ascii="仿宋_GB2312" w:hAnsi="仿宋_GB2312" w:cs="仿宋_GB2312" w:eastAsia="仿宋_GB2312"/>
              </w:rPr>
              <w:t>施工组织设计方案6</w:t>
            </w:r>
          </w:p>
        </w:tc>
        <w:tc>
          <w:tcPr>
            <w:tcW w:type="dxa" w:w="2492"/>
          </w:tcPr>
          <w:p>
            <w:pPr>
              <w:pStyle w:val="null3"/>
            </w:pPr>
            <w:r>
              <w:rPr>
                <w:rFonts w:ascii="仿宋_GB2312" w:hAnsi="仿宋_GB2312" w:cs="仿宋_GB2312" w:eastAsia="仿宋_GB2312"/>
              </w:rPr>
              <w:t>供应商提供的质保售后服务方案，包含①整机质保服务方案及承诺；②与学校相关部门的配合协调承诺及人员安全保障承诺及优化建议等，共2项内容，每项满分3分，总分6分。 其中，每项以具体内容与与本项目及技术要求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综合评分法中的价格分统一采用低价优先法计算，即满足磋商文件要求且最后报价最低的供应商的价格为磋商基准价，其价格分为满分。其他供应商的价格分统一按照下列公式计算：磋商报价得分=（磋商基准价/最后磋商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详见附件：拟派项目经理学历、职称及业绩.docx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详见附件：施工组织设计方案.docx</w:t>
      </w:r>
    </w:p>
    <w:p>
      <w:pPr>
        <w:pStyle w:val="null3"/>
        <w:ind w:firstLine="960"/>
      </w:pPr>
      <w:r>
        <w:rPr>
          <w:rFonts w:ascii="仿宋_GB2312" w:hAnsi="仿宋_GB2312" w:cs="仿宋_GB2312" w:eastAsia="仿宋_GB2312"/>
        </w:rPr>
        <w:t>详见附件：项目部团队人员情况表.docx</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详见附件：供应商应提交的资格审查资料.docx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