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版本号：SXJHZB-2026-0608-00120260616002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镇巴县安全生产智慧管控平台建设项目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SXJHZB-2026-0608-001</w:t>
      </w:r>
      <w:r>
        <w:br/>
      </w:r>
      <w:r>
        <w:br/>
      </w:r>
      <w:r>
        <w:br/>
      </w:r>
    </w:p>
    <w:p>
      <w:pPr>
        <w:pStyle w:val="null3"/>
        <w:jc w:val="center"/>
        <w:outlineLvl w:val="2"/>
      </w:pPr>
      <w:r>
        <w:rPr>
          <w:rFonts w:ascii="仿宋_GB2312" w:hAnsi="仿宋_GB2312" w:cs="仿宋_GB2312" w:eastAsia="仿宋_GB2312"/>
          <w:sz w:val="28"/>
          <w:b/>
        </w:rPr>
        <w:t>镇巴县应急管理局</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镇巴县应急管理局</w:t>
      </w:r>
      <w:r>
        <w:rPr>
          <w:rFonts w:ascii="仿宋_GB2312" w:hAnsi="仿宋_GB2312" w:cs="仿宋_GB2312" w:eastAsia="仿宋_GB2312"/>
        </w:rPr>
        <w:t>委托，拟对</w:t>
      </w:r>
      <w:r>
        <w:rPr>
          <w:rFonts w:ascii="仿宋_GB2312" w:hAnsi="仿宋_GB2312" w:cs="仿宋_GB2312" w:eastAsia="仿宋_GB2312"/>
        </w:rPr>
        <w:t>镇巴县安全生产智慧管控平台建设项目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SXJHZB-2026-0608-001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镇巴县安全生产智慧管控平台建设项目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项目按照“突出重点、补齐短板、夯实基础、实战赋能”原则，打造“1+1+3+N”总体架构：建设1个低空应急及安全生产智慧管控平台，构建1个县域物联感知及低空应急网络，具备无人机智能巡查、物联感知数据汇聚、安全生产风险监测3大核心模块，赋能自然灾害防治、安全生产监管、地质灾害监测、应急救援处置等N类业务场景。</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投标人需在项目电子化交易系统中按要求上传相应证明文件并进行电子签章;</w:t>
      </w:r>
    </w:p>
    <w:p>
      <w:pPr>
        <w:pStyle w:val="null3"/>
      </w:pPr>
      <w:r>
        <w:rPr>
          <w:rFonts w:ascii="仿宋_GB2312" w:hAnsi="仿宋_GB2312" w:cs="仿宋_GB2312" w:eastAsia="仿宋_GB2312"/>
        </w:rPr>
        <w:t>2、法定代表人授权书或法定代表人身份证明：法定代表人参加投标须提供《法定代表人身份证明》及身份证复印件;法定代表人授权他人参加投标，须提供《法定代表人授权委托书》、委托代理人身份证复印件，投标人需在项目电子化交易系统中按要求上传相应证明文件并进行电子签章;</w:t>
      </w:r>
    </w:p>
    <w:p>
      <w:pPr>
        <w:pStyle w:val="null3"/>
      </w:pPr>
      <w:r>
        <w:rPr>
          <w:rFonts w:ascii="仿宋_GB2312" w:hAnsi="仿宋_GB2312" w:cs="仿宋_GB2312" w:eastAsia="仿宋_GB2312"/>
        </w:rPr>
        <w:t>3、资格承诺函：投标人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投标人需在项目电子化交易系统中按要求上传相应证明文件并进行电子签章;</w:t>
      </w:r>
    </w:p>
    <w:p>
      <w:pPr>
        <w:pStyle w:val="null3"/>
      </w:pPr>
      <w:r>
        <w:rPr>
          <w:rFonts w:ascii="仿宋_GB2312" w:hAnsi="仿宋_GB2312" w:cs="仿宋_GB2312" w:eastAsia="仿宋_GB2312"/>
        </w:rPr>
        <w:t>4、非联合体、不分包响应证明：本项目不接受联合体投标，不允许分包。投标人应提供《非联合体不分包投标声明》，视为独立响应，不分包，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镇巴县泾洋街道办新街22号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镇巴县应急管理局经办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13389163288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15332521029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开户名称：陕西巨和项目管理有限责任公司</w:t>
            </w:r>
          </w:p>
          <w:p>
            <w:pPr>
              <w:pStyle w:val="null3"/>
            </w:pPr>
            <w:r>
              <w:rPr>
                <w:rFonts w:ascii="仿宋_GB2312" w:hAnsi="仿宋_GB2312" w:cs="仿宋_GB2312" w:eastAsia="仿宋_GB2312"/>
              </w:rPr>
              <w:t>开户银行：长安银行股份有限公司镇巴县小微支行</w:t>
            </w:r>
          </w:p>
          <w:p>
            <w:pPr>
              <w:pStyle w:val="null3"/>
            </w:pPr>
            <w:r>
              <w:rPr>
                <w:rFonts w:ascii="仿宋_GB2312" w:hAnsi="仿宋_GB2312" w:cs="仿宋_GB2312" w:eastAsia="仿宋_GB2312"/>
              </w:rPr>
              <w:t>银行账号：806061701421002903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2、采购代理服务费的缴纳方式:在领取《成交通知书》前向采购代理机构一次性全额缴纳采购代理服务费。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镇巴县应急管理局</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镇巴县应急管理局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设备、软件系统、集成实施、培训服务、技术资料等全部内容，严格遵照采购文件、合同约定及国家、行业技术标准执行。系统运行平稳，各项功能达标，试运行期间故障已全部整改，达到采购人使用要求，采购人审核通过即完成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联系电话：15332521029</w:t>
      </w:r>
    </w:p>
    <w:p>
      <w:pPr>
        <w:pStyle w:val="null3"/>
      </w:pPr>
      <w:r>
        <w:rPr>
          <w:rFonts w:ascii="仿宋_GB2312" w:hAnsi="仿宋_GB2312" w:cs="仿宋_GB2312" w:eastAsia="仿宋_GB2312"/>
        </w:rPr>
        <w:t>地址：汉中市镇巴县河西路粮食局五楼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按照“突出重点、补齐短板、夯实基础、实战赋能”原则，打造“1+1+3+N”总体架构：建设1个低空应急及安全生产智慧管控平台，构建1个县域物联感知及低空应急网络，具备无人机智能巡查、物联感知数据汇聚、安全生产风险监测3大核心模块，赋能自然灾害防治、安全生产监管、地质灾害监测、应急救援处置等N类业务场景。</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3,400,000.00</w:t>
      </w:r>
    </w:p>
    <w:p>
      <w:pPr>
        <w:pStyle w:val="null3"/>
      </w:pPr>
      <w:r>
        <w:rPr>
          <w:rFonts w:ascii="仿宋_GB2312" w:hAnsi="仿宋_GB2312" w:cs="仿宋_GB2312" w:eastAsia="仿宋_GB2312"/>
        </w:rPr>
        <w:t>采购包最高限价（元）: 3,400,000.00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镇巴县安全生产智慧管控平台项目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标的名称：镇巴县安全生产智慧管控平台项目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708"/>
              <w:jc w:val="both"/>
            </w:pPr>
            <w:r>
              <w:rPr>
                <w:rFonts w:ascii="仿宋_GB2312" w:hAnsi="仿宋_GB2312" w:cs="仿宋_GB2312" w:eastAsia="仿宋_GB2312"/>
                <w:sz w:val="28"/>
              </w:rPr>
              <w:t>一、项目按照</w:t>
            </w:r>
            <w:r>
              <w:rPr>
                <w:rFonts w:ascii="仿宋_GB2312" w:hAnsi="仿宋_GB2312" w:cs="仿宋_GB2312" w:eastAsia="仿宋_GB2312"/>
                <w:sz w:val="28"/>
              </w:rPr>
              <w:t>“突出重点、补齐短板、夯实基础、实战赋能”原则，打造“1+1+3+N”总体架构：建设1个低空应急及安全生产智慧管控平台，构建1个县域物联感知及低空应急网络，具备无人机智能巡查、物联感知数据汇聚、安全生产风险监测3大核心模块，赋能自然灾害防治、安全生产监管、地质灾害监测、应急救援处置等N类业务场景。</w:t>
            </w:r>
          </w:p>
          <w:p>
            <w:pPr>
              <w:pStyle w:val="null3"/>
              <w:ind w:firstLine="708"/>
              <w:jc w:val="both"/>
            </w:pPr>
            <w:r>
              <w:rPr>
                <w:rFonts w:ascii="仿宋_GB2312" w:hAnsi="仿宋_GB2312" w:cs="仿宋_GB2312" w:eastAsia="仿宋_GB2312"/>
                <w:sz w:val="28"/>
              </w:rPr>
              <w:t>具体实现功能包含：</w:t>
            </w:r>
          </w:p>
          <w:p>
            <w:pPr>
              <w:pStyle w:val="null3"/>
              <w:ind w:firstLine="708"/>
              <w:jc w:val="both"/>
            </w:pPr>
            <w:r>
              <w:rPr>
                <w:rFonts w:ascii="仿宋_GB2312" w:hAnsi="仿宋_GB2312" w:cs="仿宋_GB2312" w:eastAsia="仿宋_GB2312"/>
                <w:sz w:val="28"/>
              </w:rPr>
              <w:t>1.无人机智能巡查及应急指挥调度：实现无人机设备全生命周期管理、风险监测对象管理、应急指挥调度、航线规划与飞行任务管理、远程飞控管理、搭载AI智能算法智能识别模烟火、边坡落石、河道侵占等隐患；完成3处乡镇无人机机巢部署，实现无人值守自动起降、充电、巡航作业。</w:t>
            </w:r>
          </w:p>
          <w:p>
            <w:pPr>
              <w:pStyle w:val="null3"/>
              <w:ind w:firstLine="708"/>
              <w:jc w:val="both"/>
            </w:pPr>
            <w:r>
              <w:rPr>
                <w:rFonts w:ascii="仿宋_GB2312" w:hAnsi="仿宋_GB2312" w:cs="仿宋_GB2312" w:eastAsia="仿宋_GB2312"/>
                <w:sz w:val="28"/>
              </w:rPr>
              <w:t>2.安全生产智慧管控：对接煤矿安全监测、人员定位、视频监控等系统，汇聚非煤矿山、加油站、工贸企业物联感知数据；建立企业一企一档企业监管档案，实现风险分级管控与隐患排查整改全流程闭环；搭建安全生产GIS一张图，开展视频AI违规行为智能分析，实现多源预警信息汇聚、阈值自定义、分级推送与闭环处置。</w:t>
            </w:r>
          </w:p>
          <w:p>
            <w:pPr>
              <w:pStyle w:val="null3"/>
              <w:ind w:firstLine="708"/>
              <w:jc w:val="both"/>
            </w:pPr>
            <w:r>
              <w:rPr>
                <w:rFonts w:ascii="仿宋_GB2312" w:hAnsi="仿宋_GB2312" w:cs="仿宋_GB2312" w:eastAsia="仿宋_GB2312"/>
                <w:sz w:val="28"/>
              </w:rPr>
              <w:t>3.应急物联感知底座：搭建全域空天地物联感知平台，支持多协议、多网络设备接入适配与统一管理；开展数据建模、治理、融合与运维保障；建设统一门户权限管理、能力开放服务；汇聚道路交通、河道、水库、景区、矿山、危化企业等全域视频资源，支持视频预案、轮巡预览、云台控制、地图联动等应用。</w:t>
            </w:r>
          </w:p>
          <w:p>
            <w:pPr>
              <w:pStyle w:val="null3"/>
              <w:ind w:firstLine="708"/>
              <w:jc w:val="both"/>
            </w:pPr>
            <w:r>
              <w:rPr>
                <w:rFonts w:ascii="仿宋_GB2312" w:hAnsi="仿宋_GB2312" w:cs="仿宋_GB2312" w:eastAsia="仿宋_GB2312"/>
                <w:sz w:val="28"/>
              </w:rPr>
              <w:t>4.基础软硬件适配：部署国产服务器、国产操作系统、国产数据库，适配信创生态，满足平台稳定运行、数据安全及保密要求。</w:t>
            </w:r>
          </w:p>
          <w:p>
            <w:pPr>
              <w:pStyle w:val="null3"/>
              <w:ind w:firstLine="708"/>
              <w:jc w:val="both"/>
            </w:pPr>
            <w:r>
              <w:rPr>
                <w:rFonts w:ascii="仿宋_GB2312" w:hAnsi="仿宋_GB2312" w:cs="仿宋_GB2312" w:eastAsia="仿宋_GB2312"/>
                <w:sz w:val="28"/>
              </w:rPr>
              <w:t>采购标的需满足的质量、安全、技术规格、物理特性等要求</w:t>
            </w:r>
            <w:r>
              <w:rPr>
                <w:rFonts w:ascii="仿宋_GB2312" w:hAnsi="仿宋_GB2312" w:cs="仿宋_GB2312" w:eastAsia="仿宋_GB2312"/>
                <w:sz w:val="28"/>
              </w:rPr>
              <w:t>;采购标的的数量、采购项目交付地点等;采购标的需满足的服务标准、期限、效率等要求。</w:t>
            </w:r>
          </w:p>
          <w:p>
            <w:pPr>
              <w:pStyle w:val="null3"/>
              <w:spacing w:before="105" w:after="105"/>
              <w:ind w:firstLine="1044"/>
              <w:jc w:val="both"/>
            </w:pPr>
            <w:r>
              <w:rPr>
                <w:rFonts w:ascii="仿宋_GB2312" w:hAnsi="仿宋_GB2312" w:cs="仿宋_GB2312" w:eastAsia="仿宋_GB2312"/>
                <w:sz w:val="24"/>
                <w:color w:val="252525"/>
              </w:rPr>
              <w:t>本项目采购标的应符合国家、行业、地方现行有关技术标准、规范性文件及采购文件要求。项目建设过程中涉及的软件开发、系统集成、物联感知接入、视频资源汇聚、数据治理、网络安全、平台部署、运行维护、设备安装及项目管理等内容，应遵循但不限于以下标准和规范。</w:t>
            </w:r>
          </w:p>
          <w:p>
            <w:pPr>
              <w:pStyle w:val="null3"/>
              <w:spacing w:before="105" w:after="105"/>
              <w:ind w:firstLine="1044"/>
              <w:jc w:val="both"/>
            </w:pPr>
            <w:r>
              <w:rPr>
                <w:rFonts w:ascii="仿宋_GB2312" w:hAnsi="仿宋_GB2312" w:cs="仿宋_GB2312" w:eastAsia="仿宋_GB2312"/>
                <w:sz w:val="30"/>
                <w:color w:val="252525"/>
              </w:rPr>
              <w:t>二、</w:t>
            </w:r>
            <w:r>
              <w:rPr>
                <w:rFonts w:ascii="仿宋_GB2312" w:hAnsi="仿宋_GB2312" w:cs="仿宋_GB2312" w:eastAsia="仿宋_GB2312"/>
                <w:sz w:val="30"/>
                <w:color w:val="252525"/>
              </w:rPr>
              <w:t>物联网及感知接入相关标准</w:t>
            </w:r>
          </w:p>
          <w:p>
            <w:pPr>
              <w:pStyle w:val="null3"/>
              <w:numPr>
                <w:ilvl w:val="0"/>
                <w:numId w:val="1"/>
              </w:numPr>
              <w:spacing w:before="105" w:after="105"/>
              <w:ind w:left="45"/>
              <w:jc w:val="both"/>
            </w:pPr>
            <w:r>
              <w:rPr>
                <w:rFonts w:ascii="仿宋_GB2312" w:hAnsi="仿宋_GB2312" w:cs="仿宋_GB2312" w:eastAsia="仿宋_GB2312"/>
                <w:sz w:val="28"/>
              </w:rPr>
              <w:t>《物联网</w:t>
            </w:r>
            <w:r>
              <w:rPr>
                <w:rFonts w:ascii="仿宋_GB2312" w:hAnsi="仿宋_GB2312" w:cs="仿宋_GB2312" w:eastAsia="仿宋_GB2312"/>
                <w:sz w:val="28"/>
              </w:rPr>
              <w:t>术语》（</w:t>
            </w:r>
            <w:r>
              <w:rPr>
                <w:rFonts w:ascii="仿宋_GB2312" w:hAnsi="仿宋_GB2312" w:cs="仿宋_GB2312" w:eastAsia="仿宋_GB2312"/>
                <w:sz w:val="28"/>
              </w:rPr>
              <w:t>GB/T 33745-2017</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《物联网</w:t>
            </w:r>
            <w:r>
              <w:rPr>
                <w:rFonts w:ascii="仿宋_GB2312" w:hAnsi="仿宋_GB2312" w:cs="仿宋_GB2312" w:eastAsia="仿宋_GB2312"/>
                <w:sz w:val="28"/>
              </w:rPr>
              <w:t>参考体系结构》（</w:t>
            </w:r>
            <w:r>
              <w:rPr>
                <w:rFonts w:ascii="仿宋_GB2312" w:hAnsi="仿宋_GB2312" w:cs="仿宋_GB2312" w:eastAsia="仿宋_GB2312"/>
                <w:sz w:val="28"/>
              </w:rPr>
              <w:t>GB/T 33474-2016</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《物联网</w:t>
            </w:r>
            <w:r>
              <w:rPr>
                <w:rFonts w:ascii="仿宋_GB2312" w:hAnsi="仿宋_GB2312" w:cs="仿宋_GB2312" w:eastAsia="仿宋_GB2312"/>
                <w:sz w:val="28"/>
              </w:rPr>
              <w:t>感知控制设备接入</w:t>
            </w:r>
            <w:r>
              <w:rPr>
                <w:rFonts w:ascii="仿宋_GB2312" w:hAnsi="仿宋_GB2312" w:cs="仿宋_GB2312" w:eastAsia="仿宋_GB2312"/>
                <w:sz w:val="28"/>
              </w:rPr>
              <w:t>第</w:t>
            </w:r>
            <w:r>
              <w:rPr>
                <w:rFonts w:ascii="仿宋_GB2312" w:hAnsi="仿宋_GB2312" w:cs="仿宋_GB2312" w:eastAsia="仿宋_GB2312"/>
                <w:sz w:val="28"/>
              </w:rPr>
              <w:t>2</w:t>
            </w:r>
            <w:r>
              <w:rPr>
                <w:rFonts w:ascii="仿宋_GB2312" w:hAnsi="仿宋_GB2312" w:cs="仿宋_GB2312" w:eastAsia="仿宋_GB2312"/>
                <w:sz w:val="28"/>
              </w:rPr>
              <w:t>部分：数据管理要求》（</w:t>
            </w:r>
            <w:r>
              <w:rPr>
                <w:rFonts w:ascii="仿宋_GB2312" w:hAnsi="仿宋_GB2312" w:cs="仿宋_GB2312" w:eastAsia="仿宋_GB2312"/>
                <w:sz w:val="28"/>
              </w:rPr>
              <w:t>GB/T 38637.2-2020</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《基于公众电信网的物联网总体要求》（</w:t>
            </w:r>
            <w:r>
              <w:rPr>
                <w:rFonts w:ascii="仿宋_GB2312" w:hAnsi="仿宋_GB2312" w:cs="仿宋_GB2312" w:eastAsia="仿宋_GB2312"/>
                <w:sz w:val="28"/>
              </w:rPr>
              <w:t>GB/T 40022-2021</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《智慧城市</w:t>
            </w:r>
            <w:r>
              <w:rPr>
                <w:rFonts w:ascii="仿宋_GB2312" w:hAnsi="仿宋_GB2312" w:cs="仿宋_GB2312" w:eastAsia="仿宋_GB2312"/>
                <w:sz w:val="28"/>
              </w:rPr>
              <w:t>设备联接管理与服务平台技术要求》（</w:t>
            </w:r>
            <w:r>
              <w:rPr>
                <w:rFonts w:ascii="仿宋_GB2312" w:hAnsi="仿宋_GB2312" w:cs="仿宋_GB2312" w:eastAsia="仿宋_GB2312"/>
                <w:sz w:val="28"/>
              </w:rPr>
              <w:t>GB/T 40689-2021</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《信息安全技术</w:t>
            </w:r>
            <w:r>
              <w:rPr>
                <w:rFonts w:ascii="仿宋_GB2312" w:hAnsi="仿宋_GB2312" w:cs="仿宋_GB2312" w:eastAsia="仿宋_GB2312"/>
                <w:sz w:val="28"/>
              </w:rPr>
              <w:t>物联网感知终端应用安全技术要求》（</w:t>
            </w:r>
            <w:r>
              <w:rPr>
                <w:rFonts w:ascii="仿宋_GB2312" w:hAnsi="仿宋_GB2312" w:cs="仿宋_GB2312" w:eastAsia="仿宋_GB2312"/>
                <w:sz w:val="28"/>
              </w:rPr>
              <w:t>GB/T 36951-2018</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《面向智慧城市的物联网技术应用指南》（</w:t>
            </w:r>
            <w:r>
              <w:rPr>
                <w:rFonts w:ascii="仿宋_GB2312" w:hAnsi="仿宋_GB2312" w:cs="仿宋_GB2312" w:eastAsia="仿宋_GB2312"/>
                <w:sz w:val="28"/>
              </w:rPr>
              <w:t>GB/T 36620-2018</w:t>
            </w:r>
            <w:r>
              <w:rPr>
                <w:rFonts w:ascii="仿宋_GB2312" w:hAnsi="仿宋_GB2312" w:cs="仿宋_GB2312" w:eastAsia="仿宋_GB2312"/>
                <w:sz w:val="28"/>
              </w:rPr>
              <w:t>）。</w:t>
            </w:r>
            <w:r>
              <w:rPr>
                <w:rFonts w:ascii="仿宋_GB2312" w:hAnsi="仿宋_GB2312" w:cs="仿宋_GB2312" w:eastAsia="仿宋_GB2312"/>
              </w:rPr>
              <w:t xml:space="preserve">   </w:t>
            </w:r>
          </w:p>
          <w:p>
            <w:pPr>
              <w:pStyle w:val="null3"/>
              <w:numPr>
                <w:ilvl w:val="0"/>
                <w:numId w:val="1"/>
              </w:numPr>
              <w:spacing w:before="105" w:after="105"/>
              <w:ind w:left="45"/>
              <w:jc w:val="both"/>
            </w:pPr>
            <w:r>
              <w:rPr>
                <w:rFonts w:ascii="仿宋_GB2312" w:hAnsi="仿宋_GB2312" w:cs="仿宋_GB2312" w:eastAsia="仿宋_GB2312"/>
                <w:sz w:val="28"/>
              </w:rPr>
              <w:t>三、软件工程及系统建设相关标准</w:t>
            </w:r>
          </w:p>
          <w:p>
            <w:pPr>
              <w:pStyle w:val="null3"/>
              <w:numPr>
                <w:ilvl w:val="0"/>
                <w:numId w:val="1"/>
              </w:numPr>
              <w:spacing w:before="105" w:after="105"/>
              <w:ind w:left="45"/>
              <w:jc w:val="both"/>
            </w:pPr>
            <w:r>
              <w:rPr>
                <w:rFonts w:ascii="仿宋_GB2312" w:hAnsi="仿宋_GB2312" w:cs="仿宋_GB2312" w:eastAsia="仿宋_GB2312"/>
                <w:sz w:val="28"/>
              </w:rPr>
              <w:t>《系统与软件工程</w:t>
            </w:r>
            <w:r>
              <w:rPr>
                <w:rFonts w:ascii="仿宋_GB2312" w:hAnsi="仿宋_GB2312" w:cs="仿宋_GB2312" w:eastAsia="仿宋_GB2312"/>
                <w:sz w:val="28"/>
              </w:rPr>
              <w:t>软件生存周期过程》（</w:t>
            </w:r>
            <w:r>
              <w:rPr>
                <w:rFonts w:ascii="仿宋_GB2312" w:hAnsi="仿宋_GB2312" w:cs="仿宋_GB2312" w:eastAsia="仿宋_GB2312"/>
                <w:sz w:val="28"/>
              </w:rPr>
              <w:t>GB/T 8566-2022</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《计算机软件文档编制规范》（</w:t>
            </w:r>
            <w:r>
              <w:rPr>
                <w:rFonts w:ascii="仿宋_GB2312" w:hAnsi="仿宋_GB2312" w:cs="仿宋_GB2312" w:eastAsia="仿宋_GB2312"/>
                <w:sz w:val="28"/>
              </w:rPr>
              <w:t>GB/T 8567-2006</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《计算机软件需求规格说明规范》（</w:t>
            </w:r>
            <w:r>
              <w:rPr>
                <w:rFonts w:ascii="仿宋_GB2312" w:hAnsi="仿宋_GB2312" w:cs="仿宋_GB2312" w:eastAsia="仿宋_GB2312"/>
                <w:sz w:val="28"/>
              </w:rPr>
              <w:t>GB/T 9385-2008</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《计算机软件测试文档编制规范》（</w:t>
            </w:r>
            <w:r>
              <w:rPr>
                <w:rFonts w:ascii="仿宋_GB2312" w:hAnsi="仿宋_GB2312" w:cs="仿宋_GB2312" w:eastAsia="仿宋_GB2312"/>
                <w:sz w:val="28"/>
              </w:rPr>
              <w:t>GB/T 9386-2008</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《计算机软件测试规范》（</w:t>
            </w:r>
            <w:r>
              <w:rPr>
                <w:rFonts w:ascii="仿宋_GB2312" w:hAnsi="仿宋_GB2312" w:cs="仿宋_GB2312" w:eastAsia="仿宋_GB2312"/>
                <w:sz w:val="28"/>
              </w:rPr>
              <w:t>GB/T 15532-2008</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《信息技术</w:t>
            </w:r>
            <w:r>
              <w:rPr>
                <w:rFonts w:ascii="仿宋_GB2312" w:hAnsi="仿宋_GB2312" w:cs="仿宋_GB2312" w:eastAsia="仿宋_GB2312"/>
                <w:sz w:val="28"/>
              </w:rPr>
              <w:t>系统及软件完整性级别》（</w:t>
            </w:r>
            <w:r>
              <w:rPr>
                <w:rFonts w:ascii="仿宋_GB2312" w:hAnsi="仿宋_GB2312" w:cs="仿宋_GB2312" w:eastAsia="仿宋_GB2312"/>
                <w:sz w:val="28"/>
              </w:rPr>
              <w:t>GB/T 18492-2001</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《信息技术</w:t>
            </w:r>
            <w:r>
              <w:rPr>
                <w:rFonts w:ascii="仿宋_GB2312" w:hAnsi="仿宋_GB2312" w:cs="仿宋_GB2312" w:eastAsia="仿宋_GB2312"/>
                <w:sz w:val="28"/>
              </w:rPr>
              <w:t>软件生存周期过程</w:t>
            </w:r>
            <w:r>
              <w:rPr>
                <w:rFonts w:ascii="仿宋_GB2312" w:hAnsi="仿宋_GB2312" w:cs="仿宋_GB2312" w:eastAsia="仿宋_GB2312"/>
                <w:sz w:val="28"/>
              </w:rPr>
              <w:t>配置管理》（</w:t>
            </w:r>
            <w:r>
              <w:rPr>
                <w:rFonts w:ascii="仿宋_GB2312" w:hAnsi="仿宋_GB2312" w:cs="仿宋_GB2312" w:eastAsia="仿宋_GB2312"/>
                <w:sz w:val="28"/>
              </w:rPr>
              <w:t>GB/T 20158-2006</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《信息技术服务</w:t>
            </w:r>
            <w:r>
              <w:rPr>
                <w:rFonts w:ascii="仿宋_GB2312" w:hAnsi="仿宋_GB2312" w:cs="仿宋_GB2312" w:eastAsia="仿宋_GB2312"/>
                <w:sz w:val="28"/>
              </w:rPr>
              <w:t>分类与代码》（</w:t>
            </w:r>
            <w:r>
              <w:rPr>
                <w:rFonts w:ascii="仿宋_GB2312" w:hAnsi="仿宋_GB2312" w:cs="仿宋_GB2312" w:eastAsia="仿宋_GB2312"/>
                <w:sz w:val="28"/>
              </w:rPr>
              <w:t>GB/T 29264-2012</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《电子文件存储与交换格式</w:t>
            </w:r>
            <w:r>
              <w:rPr>
                <w:rFonts w:ascii="仿宋_GB2312" w:hAnsi="仿宋_GB2312" w:cs="仿宋_GB2312" w:eastAsia="仿宋_GB2312"/>
                <w:sz w:val="28"/>
              </w:rPr>
              <w:t>版式文档》（</w:t>
            </w:r>
            <w:r>
              <w:rPr>
                <w:rFonts w:ascii="仿宋_GB2312" w:hAnsi="仿宋_GB2312" w:cs="仿宋_GB2312" w:eastAsia="仿宋_GB2312"/>
                <w:sz w:val="28"/>
              </w:rPr>
              <w:t>GB/T 33190-2016</w:t>
            </w:r>
            <w:r>
              <w:rPr>
                <w:rFonts w:ascii="仿宋_GB2312" w:hAnsi="仿宋_GB2312" w:cs="仿宋_GB2312" w:eastAsia="仿宋_GB2312"/>
                <w:sz w:val="28"/>
              </w:rPr>
              <w:t>）。</w:t>
            </w:r>
            <w:r>
              <w:rPr>
                <w:rFonts w:ascii="仿宋_GB2312" w:hAnsi="仿宋_GB2312" w:cs="仿宋_GB2312" w:eastAsia="仿宋_GB2312"/>
              </w:rPr>
              <w:t xml:space="preserve">             </w:t>
            </w:r>
          </w:p>
          <w:p>
            <w:pPr>
              <w:pStyle w:val="null3"/>
              <w:numPr>
                <w:ilvl w:val="0"/>
                <w:numId w:val="1"/>
              </w:numPr>
              <w:spacing w:before="105" w:after="105"/>
              <w:ind w:left="45"/>
              <w:jc w:val="both"/>
            </w:pPr>
            <w:r>
              <w:rPr>
                <w:rFonts w:ascii="仿宋_GB2312" w:hAnsi="仿宋_GB2312" w:cs="仿宋_GB2312" w:eastAsia="仿宋_GB2312"/>
                <w:sz w:val="28"/>
              </w:rPr>
              <w:t>四、</w:t>
            </w:r>
            <w:r>
              <w:rPr>
                <w:rFonts w:ascii="仿宋_GB2312" w:hAnsi="仿宋_GB2312" w:cs="仿宋_GB2312" w:eastAsia="仿宋_GB2312"/>
                <w:sz w:val="30"/>
                <w:b/>
              </w:rPr>
              <w:t>网络安全、数据安全及等级保护相关标准</w:t>
            </w:r>
          </w:p>
          <w:p>
            <w:pPr>
              <w:pStyle w:val="null3"/>
              <w:numPr>
                <w:ilvl w:val="0"/>
                <w:numId w:val="1"/>
              </w:numPr>
              <w:spacing w:before="105" w:after="105"/>
              <w:ind w:left="45"/>
              <w:jc w:val="both"/>
            </w:pPr>
            <w:r>
              <w:rPr>
                <w:rFonts w:ascii="仿宋_GB2312" w:hAnsi="仿宋_GB2312" w:cs="仿宋_GB2312" w:eastAsia="仿宋_GB2312"/>
                <w:sz w:val="28"/>
              </w:rPr>
              <w:t>《信息安全技术</w:t>
            </w:r>
            <w:r>
              <w:rPr>
                <w:rFonts w:ascii="仿宋_GB2312" w:hAnsi="仿宋_GB2312" w:cs="仿宋_GB2312" w:eastAsia="仿宋_GB2312"/>
                <w:sz w:val="28"/>
              </w:rPr>
              <w:t>信息安全风险评估方法》（</w:t>
            </w:r>
            <w:r>
              <w:rPr>
                <w:rFonts w:ascii="仿宋_GB2312" w:hAnsi="仿宋_GB2312" w:cs="仿宋_GB2312" w:eastAsia="仿宋_GB2312"/>
                <w:sz w:val="28"/>
              </w:rPr>
              <w:t>GB/T 20984-2022</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《信息安全技术</w:t>
            </w:r>
            <w:r>
              <w:rPr>
                <w:rFonts w:ascii="仿宋_GB2312" w:hAnsi="仿宋_GB2312" w:cs="仿宋_GB2312" w:eastAsia="仿宋_GB2312"/>
                <w:sz w:val="28"/>
              </w:rPr>
              <w:t>云计算服务安全指南》（</w:t>
            </w:r>
            <w:r>
              <w:rPr>
                <w:rFonts w:ascii="仿宋_GB2312" w:hAnsi="仿宋_GB2312" w:cs="仿宋_GB2312" w:eastAsia="仿宋_GB2312"/>
                <w:sz w:val="28"/>
              </w:rPr>
              <w:t>GB/T 31167-2023</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《信息安全技术</w:t>
            </w:r>
            <w:r>
              <w:rPr>
                <w:rFonts w:ascii="仿宋_GB2312" w:hAnsi="仿宋_GB2312" w:cs="仿宋_GB2312" w:eastAsia="仿宋_GB2312"/>
                <w:sz w:val="28"/>
              </w:rPr>
              <w:t>关键信息基础设施安全保护要求》（</w:t>
            </w:r>
            <w:r>
              <w:rPr>
                <w:rFonts w:ascii="仿宋_GB2312" w:hAnsi="仿宋_GB2312" w:cs="仿宋_GB2312" w:eastAsia="仿宋_GB2312"/>
                <w:sz w:val="28"/>
              </w:rPr>
              <w:t>GB/T 39204-2022</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《信息安全技术</w:t>
            </w:r>
            <w:r>
              <w:rPr>
                <w:rFonts w:ascii="仿宋_GB2312" w:hAnsi="仿宋_GB2312" w:cs="仿宋_GB2312" w:eastAsia="仿宋_GB2312"/>
                <w:sz w:val="28"/>
              </w:rPr>
              <w:t>云计算服务安全能力要求》（</w:t>
            </w:r>
            <w:r>
              <w:rPr>
                <w:rFonts w:ascii="仿宋_GB2312" w:hAnsi="仿宋_GB2312" w:cs="仿宋_GB2312" w:eastAsia="仿宋_GB2312"/>
                <w:sz w:val="28"/>
              </w:rPr>
              <w:t>GB/T 31168-2023</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《信息安全技术</w:t>
            </w:r>
            <w:r>
              <w:rPr>
                <w:rFonts w:ascii="仿宋_GB2312" w:hAnsi="仿宋_GB2312" w:cs="仿宋_GB2312" w:eastAsia="仿宋_GB2312"/>
                <w:sz w:val="28"/>
              </w:rPr>
              <w:t>信息系统安全运维管理指南》（</w:t>
            </w:r>
            <w:r>
              <w:rPr>
                <w:rFonts w:ascii="仿宋_GB2312" w:hAnsi="仿宋_GB2312" w:cs="仿宋_GB2312" w:eastAsia="仿宋_GB2312"/>
                <w:sz w:val="28"/>
              </w:rPr>
              <w:t>GB/T 36626-2018</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《信息安全技术</w:t>
            </w:r>
            <w:r>
              <w:rPr>
                <w:rFonts w:ascii="仿宋_GB2312" w:hAnsi="仿宋_GB2312" w:cs="仿宋_GB2312" w:eastAsia="仿宋_GB2312"/>
                <w:sz w:val="28"/>
              </w:rPr>
              <w:t>网络安全等级保护测试评估技术指南》（</w:t>
            </w:r>
            <w:r>
              <w:rPr>
                <w:rFonts w:ascii="仿宋_GB2312" w:hAnsi="仿宋_GB2312" w:cs="仿宋_GB2312" w:eastAsia="仿宋_GB2312"/>
                <w:sz w:val="28"/>
              </w:rPr>
              <w:t>GB/T 36627-2018</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《信息安全技术</w:t>
            </w:r>
            <w:r>
              <w:rPr>
                <w:rFonts w:ascii="仿宋_GB2312" w:hAnsi="仿宋_GB2312" w:cs="仿宋_GB2312" w:eastAsia="仿宋_GB2312"/>
                <w:sz w:val="28"/>
              </w:rPr>
              <w:t>网络安全等级保护基本要求》（</w:t>
            </w:r>
            <w:r>
              <w:rPr>
                <w:rFonts w:ascii="仿宋_GB2312" w:hAnsi="仿宋_GB2312" w:cs="仿宋_GB2312" w:eastAsia="仿宋_GB2312"/>
                <w:sz w:val="28"/>
              </w:rPr>
              <w:t>GB/T 22239-2019</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《信息安全技术</w:t>
            </w:r>
            <w:r>
              <w:rPr>
                <w:rFonts w:ascii="仿宋_GB2312" w:hAnsi="仿宋_GB2312" w:cs="仿宋_GB2312" w:eastAsia="仿宋_GB2312"/>
                <w:sz w:val="28"/>
              </w:rPr>
              <w:t>网络安全等级保护测评要求》（</w:t>
            </w:r>
            <w:r>
              <w:rPr>
                <w:rFonts w:ascii="仿宋_GB2312" w:hAnsi="仿宋_GB2312" w:cs="仿宋_GB2312" w:eastAsia="仿宋_GB2312"/>
                <w:sz w:val="28"/>
              </w:rPr>
              <w:t>GB/T 28448-2019</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《信息安全技术</w:t>
            </w:r>
            <w:r>
              <w:rPr>
                <w:rFonts w:ascii="仿宋_GB2312" w:hAnsi="仿宋_GB2312" w:cs="仿宋_GB2312" w:eastAsia="仿宋_GB2312"/>
                <w:sz w:val="28"/>
              </w:rPr>
              <w:t>网络安全等级保护安全设计技术要求》（</w:t>
            </w:r>
            <w:r>
              <w:rPr>
                <w:rFonts w:ascii="仿宋_GB2312" w:hAnsi="仿宋_GB2312" w:cs="仿宋_GB2312" w:eastAsia="仿宋_GB2312"/>
                <w:sz w:val="28"/>
              </w:rPr>
              <w:t>GB/T 25070-2019</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《信息安全技术</w:t>
            </w:r>
            <w:r>
              <w:rPr>
                <w:rFonts w:ascii="仿宋_GB2312" w:hAnsi="仿宋_GB2312" w:cs="仿宋_GB2312" w:eastAsia="仿宋_GB2312"/>
                <w:sz w:val="28"/>
              </w:rPr>
              <w:t>网络安全等级保护定级指南》（</w:t>
            </w:r>
            <w:r>
              <w:rPr>
                <w:rFonts w:ascii="仿宋_GB2312" w:hAnsi="仿宋_GB2312" w:cs="仿宋_GB2312" w:eastAsia="仿宋_GB2312"/>
                <w:sz w:val="28"/>
              </w:rPr>
              <w:t>GB/T 22240-2020</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《信息安全技术</w:t>
            </w:r>
            <w:r>
              <w:rPr>
                <w:rFonts w:ascii="仿宋_GB2312" w:hAnsi="仿宋_GB2312" w:cs="仿宋_GB2312" w:eastAsia="仿宋_GB2312"/>
                <w:sz w:val="28"/>
              </w:rPr>
              <w:t>网络安全漏洞分类分级指南》（</w:t>
            </w:r>
            <w:r>
              <w:rPr>
                <w:rFonts w:ascii="仿宋_GB2312" w:hAnsi="仿宋_GB2312" w:cs="仿宋_GB2312" w:eastAsia="仿宋_GB2312"/>
                <w:sz w:val="28"/>
              </w:rPr>
              <w:t>GB/T 30279-2020</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《信息安全技术</w:t>
            </w:r>
            <w:r>
              <w:rPr>
                <w:rFonts w:ascii="仿宋_GB2312" w:hAnsi="仿宋_GB2312" w:cs="仿宋_GB2312" w:eastAsia="仿宋_GB2312"/>
                <w:sz w:val="28"/>
              </w:rPr>
              <w:t>信息系统安全等级保护实施指南》（</w:t>
            </w:r>
            <w:r>
              <w:rPr>
                <w:rFonts w:ascii="仿宋_GB2312" w:hAnsi="仿宋_GB2312" w:cs="仿宋_GB2312" w:eastAsia="仿宋_GB2312"/>
                <w:sz w:val="28"/>
              </w:rPr>
              <w:t>GB/T 25058-2010</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《信息安全技术</w:t>
            </w:r>
            <w:r>
              <w:rPr>
                <w:rFonts w:ascii="仿宋_GB2312" w:hAnsi="仿宋_GB2312" w:cs="仿宋_GB2312" w:eastAsia="仿宋_GB2312"/>
                <w:sz w:val="28"/>
              </w:rPr>
              <w:t>政务信息共享数据安全技术要求》（</w:t>
            </w:r>
            <w:r>
              <w:rPr>
                <w:rFonts w:ascii="仿宋_GB2312" w:hAnsi="仿宋_GB2312" w:cs="仿宋_GB2312" w:eastAsia="仿宋_GB2312"/>
                <w:sz w:val="28"/>
              </w:rPr>
              <w:t>GB/T 39477-2020</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《信息安全技术</w:t>
            </w:r>
            <w:r>
              <w:rPr>
                <w:rFonts w:ascii="仿宋_GB2312" w:hAnsi="仿宋_GB2312" w:cs="仿宋_GB2312" w:eastAsia="仿宋_GB2312"/>
                <w:sz w:val="28"/>
              </w:rPr>
              <w:t>时间戳策略和时间戳业务操作规则》（</w:t>
            </w:r>
            <w:r>
              <w:rPr>
                <w:rFonts w:ascii="仿宋_GB2312" w:hAnsi="仿宋_GB2312" w:cs="仿宋_GB2312" w:eastAsia="仿宋_GB2312"/>
                <w:sz w:val="28"/>
              </w:rPr>
              <w:t>GB/T 36631-2018</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《信息安全技术</w:t>
            </w:r>
            <w:r>
              <w:rPr>
                <w:rFonts w:ascii="仿宋_GB2312" w:hAnsi="仿宋_GB2312" w:cs="仿宋_GB2312" w:eastAsia="仿宋_GB2312"/>
                <w:sz w:val="28"/>
              </w:rPr>
              <w:t>网络用户身份鉴别技术指南》（</w:t>
            </w:r>
            <w:r>
              <w:rPr>
                <w:rFonts w:ascii="仿宋_GB2312" w:hAnsi="仿宋_GB2312" w:cs="仿宋_GB2312" w:eastAsia="仿宋_GB2312"/>
                <w:sz w:val="28"/>
              </w:rPr>
              <w:t>GB/T 36633-2018</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《信息安全技术</w:t>
            </w:r>
            <w:r>
              <w:rPr>
                <w:rFonts w:ascii="仿宋_GB2312" w:hAnsi="仿宋_GB2312" w:cs="仿宋_GB2312" w:eastAsia="仿宋_GB2312"/>
                <w:sz w:val="28"/>
              </w:rPr>
              <w:t>网络安全监测基本要求与实施指南》（</w:t>
            </w:r>
            <w:r>
              <w:rPr>
                <w:rFonts w:ascii="仿宋_GB2312" w:hAnsi="仿宋_GB2312" w:cs="仿宋_GB2312" w:eastAsia="仿宋_GB2312"/>
                <w:sz w:val="28"/>
              </w:rPr>
              <w:t>GB/T 36635-2018</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《信息安全技术</w:t>
            </w:r>
            <w:r>
              <w:rPr>
                <w:rFonts w:ascii="仿宋_GB2312" w:hAnsi="仿宋_GB2312" w:cs="仿宋_GB2312" w:eastAsia="仿宋_GB2312"/>
                <w:sz w:val="28"/>
              </w:rPr>
              <w:t>可信计算规范</w:t>
            </w:r>
            <w:r>
              <w:rPr>
                <w:rFonts w:ascii="仿宋_GB2312" w:hAnsi="仿宋_GB2312" w:cs="仿宋_GB2312" w:eastAsia="仿宋_GB2312"/>
                <w:sz w:val="28"/>
              </w:rPr>
              <w:t>服务器可信支撑平台》（</w:t>
            </w:r>
            <w:r>
              <w:rPr>
                <w:rFonts w:ascii="仿宋_GB2312" w:hAnsi="仿宋_GB2312" w:cs="仿宋_GB2312" w:eastAsia="仿宋_GB2312"/>
                <w:sz w:val="28"/>
              </w:rPr>
              <w:t>GB/T 36639-2018</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《信息安全技术</w:t>
            </w:r>
            <w:r>
              <w:rPr>
                <w:rFonts w:ascii="仿宋_GB2312" w:hAnsi="仿宋_GB2312" w:cs="仿宋_GB2312" w:eastAsia="仿宋_GB2312"/>
                <w:sz w:val="28"/>
              </w:rPr>
              <w:t>数字签名应用安全证明获取方法》（</w:t>
            </w:r>
            <w:r>
              <w:rPr>
                <w:rFonts w:ascii="仿宋_GB2312" w:hAnsi="仿宋_GB2312" w:cs="仿宋_GB2312" w:eastAsia="仿宋_GB2312"/>
                <w:sz w:val="28"/>
              </w:rPr>
              <w:t>GB/T 36644-2018</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《信息安全技术</w:t>
            </w:r>
            <w:r>
              <w:rPr>
                <w:rFonts w:ascii="仿宋_GB2312" w:hAnsi="仿宋_GB2312" w:cs="仿宋_GB2312" w:eastAsia="仿宋_GB2312"/>
                <w:sz w:val="28"/>
              </w:rPr>
              <w:t>代码安全审计规范》（</w:t>
            </w:r>
            <w:r>
              <w:rPr>
                <w:rFonts w:ascii="仿宋_GB2312" w:hAnsi="仿宋_GB2312" w:cs="仿宋_GB2312" w:eastAsia="仿宋_GB2312"/>
                <w:sz w:val="28"/>
              </w:rPr>
              <w:t>GB/T 39412-2020</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《信息安全技术</w:t>
            </w:r>
            <w:r>
              <w:rPr>
                <w:rFonts w:ascii="仿宋_GB2312" w:hAnsi="仿宋_GB2312" w:cs="仿宋_GB2312" w:eastAsia="仿宋_GB2312"/>
                <w:sz w:val="28"/>
              </w:rPr>
              <w:t>应用软件安全编程指南》（</w:t>
            </w:r>
            <w:r>
              <w:rPr>
                <w:rFonts w:ascii="仿宋_GB2312" w:hAnsi="仿宋_GB2312" w:cs="仿宋_GB2312" w:eastAsia="仿宋_GB2312"/>
                <w:sz w:val="28"/>
              </w:rPr>
              <w:t>GB/T 38674-2020</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《信息安全技术</w:t>
            </w:r>
            <w:r>
              <w:rPr>
                <w:rFonts w:ascii="仿宋_GB2312" w:hAnsi="仿宋_GB2312" w:cs="仿宋_GB2312" w:eastAsia="仿宋_GB2312"/>
                <w:sz w:val="28"/>
              </w:rPr>
              <w:t>信息系统密码应用基本要求》（</w:t>
            </w:r>
            <w:r>
              <w:rPr>
                <w:rFonts w:ascii="仿宋_GB2312" w:hAnsi="仿宋_GB2312" w:cs="仿宋_GB2312" w:eastAsia="仿宋_GB2312"/>
                <w:sz w:val="28"/>
              </w:rPr>
              <w:t>GB/T 39786-2021</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《信息系统密码应用基本要求》（</w:t>
            </w:r>
            <w:r>
              <w:rPr>
                <w:rFonts w:ascii="仿宋_GB2312" w:hAnsi="仿宋_GB2312" w:cs="仿宋_GB2312" w:eastAsia="仿宋_GB2312"/>
                <w:sz w:val="28"/>
              </w:rPr>
              <w:t>GM/T 0054-2018</w:t>
            </w:r>
            <w:r>
              <w:rPr>
                <w:rFonts w:ascii="仿宋_GB2312" w:hAnsi="仿宋_GB2312" w:cs="仿宋_GB2312" w:eastAsia="仿宋_GB2312"/>
                <w:sz w:val="28"/>
              </w:rPr>
              <w:t xml:space="preserve">）。         </w:t>
            </w:r>
          </w:p>
          <w:p>
            <w:pPr>
              <w:pStyle w:val="null3"/>
              <w:numPr>
                <w:ilvl w:val="0"/>
                <w:numId w:val="1"/>
              </w:numPr>
              <w:spacing w:before="105" w:after="105"/>
              <w:ind w:left="45"/>
              <w:jc w:val="both"/>
            </w:pPr>
            <w:r>
              <w:rPr>
                <w:rFonts w:ascii="仿宋_GB2312" w:hAnsi="仿宋_GB2312" w:cs="仿宋_GB2312" w:eastAsia="仿宋_GB2312"/>
                <w:sz w:val="28"/>
              </w:rPr>
              <w:t>五、</w:t>
            </w:r>
            <w:r>
              <w:rPr>
                <w:rFonts w:ascii="仿宋_GB2312" w:hAnsi="仿宋_GB2312" w:cs="仿宋_GB2312" w:eastAsia="仿宋_GB2312"/>
                <w:sz w:val="30"/>
                <w:b/>
              </w:rPr>
              <w:t>云计算、平台部署及数据管理相关标准</w:t>
            </w:r>
          </w:p>
          <w:p>
            <w:pPr>
              <w:pStyle w:val="null3"/>
              <w:numPr>
                <w:ilvl w:val="0"/>
                <w:numId w:val="1"/>
              </w:numPr>
              <w:spacing w:before="105" w:after="105"/>
              <w:ind w:left="45"/>
              <w:jc w:val="both"/>
            </w:pPr>
            <w:r>
              <w:rPr>
                <w:rFonts w:ascii="仿宋_GB2312" w:hAnsi="仿宋_GB2312" w:cs="仿宋_GB2312" w:eastAsia="仿宋_GB2312"/>
                <w:sz w:val="28"/>
              </w:rPr>
              <w:t>《信息技术</w:t>
            </w:r>
            <w:r>
              <w:rPr>
                <w:rFonts w:ascii="仿宋_GB2312" w:hAnsi="仿宋_GB2312" w:cs="仿宋_GB2312" w:eastAsia="仿宋_GB2312"/>
                <w:sz w:val="28"/>
              </w:rPr>
              <w:t>云计算</w:t>
            </w:r>
            <w:r>
              <w:rPr>
                <w:rFonts w:ascii="仿宋_GB2312" w:hAnsi="仿宋_GB2312" w:cs="仿宋_GB2312" w:eastAsia="仿宋_GB2312"/>
                <w:sz w:val="28"/>
              </w:rPr>
              <w:t>概览与词汇》（</w:t>
            </w:r>
            <w:r>
              <w:rPr>
                <w:rFonts w:ascii="仿宋_GB2312" w:hAnsi="仿宋_GB2312" w:cs="仿宋_GB2312" w:eastAsia="仿宋_GB2312"/>
                <w:sz w:val="28"/>
              </w:rPr>
              <w:t>GB/T 32400-2015</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《信息技术</w:t>
            </w:r>
            <w:r>
              <w:rPr>
                <w:rFonts w:ascii="仿宋_GB2312" w:hAnsi="仿宋_GB2312" w:cs="仿宋_GB2312" w:eastAsia="仿宋_GB2312"/>
                <w:sz w:val="28"/>
              </w:rPr>
              <w:t>云计算</w:t>
            </w:r>
            <w:r>
              <w:rPr>
                <w:rFonts w:ascii="仿宋_GB2312" w:hAnsi="仿宋_GB2312" w:cs="仿宋_GB2312" w:eastAsia="仿宋_GB2312"/>
                <w:sz w:val="28"/>
              </w:rPr>
              <w:t>参考架构》（</w:t>
            </w:r>
            <w:r>
              <w:rPr>
                <w:rFonts w:ascii="仿宋_GB2312" w:hAnsi="仿宋_GB2312" w:cs="仿宋_GB2312" w:eastAsia="仿宋_GB2312"/>
                <w:sz w:val="28"/>
              </w:rPr>
              <w:t>GB/T 32399-2024</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《信息技术</w:t>
            </w:r>
            <w:r>
              <w:rPr>
                <w:rFonts w:ascii="仿宋_GB2312" w:hAnsi="仿宋_GB2312" w:cs="仿宋_GB2312" w:eastAsia="仿宋_GB2312"/>
                <w:sz w:val="28"/>
              </w:rPr>
              <w:t>数据质量评价指标》（</w:t>
            </w:r>
            <w:r>
              <w:rPr>
                <w:rFonts w:ascii="仿宋_GB2312" w:hAnsi="仿宋_GB2312" w:cs="仿宋_GB2312" w:eastAsia="仿宋_GB2312"/>
                <w:sz w:val="28"/>
              </w:rPr>
              <w:t>GB/T 36344-2018</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《数据管理能力成熟度评估模型》（</w:t>
            </w:r>
            <w:r>
              <w:rPr>
                <w:rFonts w:ascii="仿宋_GB2312" w:hAnsi="仿宋_GB2312" w:cs="仿宋_GB2312" w:eastAsia="仿宋_GB2312"/>
                <w:sz w:val="28"/>
              </w:rPr>
              <w:t>GB/T 36073-2018</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《政务信息资源目录体系》（</w:t>
            </w:r>
            <w:r>
              <w:rPr>
                <w:rFonts w:ascii="仿宋_GB2312" w:hAnsi="仿宋_GB2312" w:cs="仿宋_GB2312" w:eastAsia="仿宋_GB2312"/>
                <w:sz w:val="28"/>
              </w:rPr>
              <w:t>GB/T 21063-2007</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《数字化城市管理信息系统</w:t>
            </w:r>
            <w:r>
              <w:rPr>
                <w:rFonts w:ascii="仿宋_GB2312" w:hAnsi="仿宋_GB2312" w:cs="仿宋_GB2312" w:eastAsia="仿宋_GB2312"/>
                <w:sz w:val="28"/>
              </w:rPr>
              <w:t>第</w:t>
            </w:r>
            <w:r>
              <w:rPr>
                <w:rFonts w:ascii="仿宋_GB2312" w:hAnsi="仿宋_GB2312" w:cs="仿宋_GB2312" w:eastAsia="仿宋_GB2312"/>
                <w:sz w:val="28"/>
              </w:rPr>
              <w:t>2</w:t>
            </w:r>
            <w:r>
              <w:rPr>
                <w:rFonts w:ascii="仿宋_GB2312" w:hAnsi="仿宋_GB2312" w:cs="仿宋_GB2312" w:eastAsia="仿宋_GB2312"/>
                <w:sz w:val="28"/>
              </w:rPr>
              <w:t>部分：管理部件和事件》（</w:t>
            </w:r>
            <w:r>
              <w:rPr>
                <w:rFonts w:ascii="仿宋_GB2312" w:hAnsi="仿宋_GB2312" w:cs="仿宋_GB2312" w:eastAsia="仿宋_GB2312"/>
                <w:sz w:val="28"/>
              </w:rPr>
              <w:t>GB/T 30428.2-2013</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《云计算服务协议参考框架》（</w:t>
            </w:r>
            <w:r>
              <w:rPr>
                <w:rFonts w:ascii="仿宋_GB2312" w:hAnsi="仿宋_GB2312" w:cs="仿宋_GB2312" w:eastAsia="仿宋_GB2312"/>
                <w:sz w:val="28"/>
              </w:rPr>
              <w:t>YDB 144-2014</w:t>
            </w:r>
            <w:r>
              <w:rPr>
                <w:rFonts w:ascii="仿宋_GB2312" w:hAnsi="仿宋_GB2312" w:cs="仿宋_GB2312" w:eastAsia="仿宋_GB2312"/>
                <w:sz w:val="28"/>
              </w:rPr>
              <w:t xml:space="preserve">）。           </w:t>
            </w:r>
          </w:p>
          <w:p>
            <w:pPr>
              <w:pStyle w:val="null3"/>
              <w:numPr>
                <w:ilvl w:val="0"/>
                <w:numId w:val="1"/>
              </w:numPr>
              <w:spacing w:before="105" w:after="105"/>
              <w:ind w:left="45"/>
              <w:jc w:val="both"/>
            </w:pPr>
            <w:r>
              <w:rPr>
                <w:rFonts w:ascii="仿宋_GB2312" w:hAnsi="仿宋_GB2312" w:cs="仿宋_GB2312" w:eastAsia="仿宋_GB2312"/>
                <w:sz w:val="28"/>
              </w:rPr>
              <w:t>六、</w:t>
            </w:r>
            <w:r>
              <w:rPr>
                <w:rFonts w:ascii="仿宋_GB2312" w:hAnsi="仿宋_GB2312" w:cs="仿宋_GB2312" w:eastAsia="仿宋_GB2312"/>
                <w:sz w:val="30"/>
                <w:b/>
              </w:rPr>
              <w:t>项目建设、造价及信息化管理相关规范</w:t>
            </w:r>
          </w:p>
          <w:p>
            <w:pPr>
              <w:pStyle w:val="null3"/>
              <w:numPr>
                <w:ilvl w:val="0"/>
                <w:numId w:val="1"/>
              </w:numPr>
              <w:spacing w:before="105" w:after="105"/>
              <w:ind w:left="45"/>
              <w:jc w:val="both"/>
            </w:pPr>
            <w:r>
              <w:rPr>
                <w:rFonts w:ascii="仿宋_GB2312" w:hAnsi="仿宋_GB2312" w:cs="仿宋_GB2312" w:eastAsia="仿宋_GB2312"/>
                <w:sz w:val="28"/>
              </w:rPr>
              <w:t>《基本建设项目建设成本管理规定》（财建〔</w:t>
            </w:r>
            <w:r>
              <w:rPr>
                <w:rFonts w:ascii="仿宋_GB2312" w:hAnsi="仿宋_GB2312" w:cs="仿宋_GB2312" w:eastAsia="仿宋_GB2312"/>
                <w:sz w:val="28"/>
              </w:rPr>
              <w:t>2016</w:t>
            </w:r>
            <w:r>
              <w:rPr>
                <w:rFonts w:ascii="仿宋_GB2312" w:hAnsi="仿宋_GB2312" w:cs="仿宋_GB2312" w:eastAsia="仿宋_GB2312"/>
                <w:sz w:val="28"/>
              </w:rPr>
              <w:t>〕</w:t>
            </w:r>
            <w:r>
              <w:rPr>
                <w:rFonts w:ascii="仿宋_GB2312" w:hAnsi="仿宋_GB2312" w:cs="仿宋_GB2312" w:eastAsia="仿宋_GB2312"/>
                <w:sz w:val="28"/>
              </w:rPr>
              <w:t>504</w:t>
            </w:r>
            <w:r>
              <w:rPr>
                <w:rFonts w:ascii="仿宋_GB2312" w:hAnsi="仿宋_GB2312" w:cs="仿宋_GB2312" w:eastAsia="仿宋_GB2312"/>
                <w:sz w:val="28"/>
              </w:rPr>
              <w:t>号）；</w:t>
            </w:r>
          </w:p>
          <w:p>
            <w:pPr>
              <w:pStyle w:val="null3"/>
              <w:numPr>
                <w:ilvl w:val="0"/>
                <w:numId w:val="1"/>
              </w:numPr>
              <w:spacing w:before="105" w:after="105"/>
              <w:ind w:left="45"/>
              <w:jc w:val="both"/>
            </w:pPr>
            <w:r>
              <w:rPr>
                <w:rFonts w:ascii="仿宋_GB2312" w:hAnsi="仿宋_GB2312" w:cs="仿宋_GB2312" w:eastAsia="仿宋_GB2312"/>
                <w:sz w:val="28"/>
              </w:rPr>
              <w:t>《信息化项目软件开发费用测算规范》（</w:t>
            </w:r>
            <w:r>
              <w:rPr>
                <w:rFonts w:ascii="仿宋_GB2312" w:hAnsi="仿宋_GB2312" w:cs="仿宋_GB2312" w:eastAsia="仿宋_GB2312"/>
                <w:sz w:val="28"/>
              </w:rPr>
              <w:t>DB11/T 1010-2019</w:t>
            </w:r>
            <w:r>
              <w:rPr>
                <w:rFonts w:ascii="仿宋_GB2312" w:hAnsi="仿宋_GB2312" w:cs="仿宋_GB2312" w:eastAsia="仿宋_GB2312"/>
                <w:sz w:val="28"/>
              </w:rPr>
              <w:t>）；</w:t>
            </w:r>
          </w:p>
          <w:p>
            <w:pPr>
              <w:pStyle w:val="null3"/>
              <w:numPr>
                <w:ilvl w:val="0"/>
                <w:numId w:val="1"/>
              </w:numPr>
              <w:spacing w:before="105" w:after="105"/>
              <w:ind w:left="45"/>
              <w:jc w:val="both"/>
            </w:pPr>
            <w:r>
              <w:rPr>
                <w:rFonts w:ascii="仿宋_GB2312" w:hAnsi="仿宋_GB2312" w:cs="仿宋_GB2312" w:eastAsia="仿宋_GB2312"/>
                <w:sz w:val="28"/>
              </w:rPr>
              <w:t>《西安市信息化项目方案编制指南（试行）》；</w:t>
            </w:r>
          </w:p>
          <w:p>
            <w:pPr>
              <w:pStyle w:val="null3"/>
              <w:numPr>
                <w:ilvl w:val="0"/>
                <w:numId w:val="1"/>
              </w:numPr>
              <w:spacing w:before="105" w:after="105"/>
              <w:ind w:left="45"/>
              <w:jc w:val="both"/>
            </w:pPr>
            <w:r>
              <w:rPr>
                <w:rFonts w:ascii="仿宋_GB2312" w:hAnsi="仿宋_GB2312" w:cs="仿宋_GB2312" w:eastAsia="仿宋_GB2312"/>
                <w:sz w:val="28"/>
              </w:rPr>
              <w:t>国家、行业、陕西省、汉中市关于信息化项目建设、系统集成、数据共享、网络安全、运行维护、项目验收等方面的其他现行标准和规范。</w:t>
            </w:r>
          </w:p>
          <w:p>
            <w:pPr>
              <w:pStyle w:val="null3"/>
              <w:numPr>
                <w:ilvl w:val="0"/>
                <w:numId w:val="1"/>
              </w:numPr>
              <w:spacing w:before="105" w:after="105"/>
              <w:ind w:left="45"/>
              <w:jc w:val="both"/>
            </w:pPr>
            <w:r>
              <w:rPr>
                <w:rFonts w:ascii="仿宋_GB2312" w:hAnsi="仿宋_GB2312" w:cs="仿宋_GB2312" w:eastAsia="仿宋_GB2312"/>
                <w:sz w:val="28"/>
              </w:rPr>
              <w:t>七、</w:t>
            </w:r>
            <w:r>
              <w:rPr>
                <w:rFonts w:ascii="仿宋_GB2312" w:hAnsi="仿宋_GB2312" w:cs="仿宋_GB2312" w:eastAsia="仿宋_GB2312"/>
                <w:sz w:val="30"/>
                <w:b/>
              </w:rPr>
              <w:t>执行原则</w:t>
            </w:r>
          </w:p>
          <w:p>
            <w:pPr>
              <w:pStyle w:val="null3"/>
              <w:numPr>
                <w:ilvl w:val="0"/>
                <w:numId w:val="1"/>
              </w:numPr>
              <w:spacing w:before="105" w:after="105"/>
              <w:ind w:left="45"/>
              <w:jc w:val="both"/>
            </w:pPr>
            <w:r>
              <w:rPr>
                <w:rFonts w:ascii="仿宋_GB2312" w:hAnsi="仿宋_GB2312" w:cs="仿宋_GB2312" w:eastAsia="仿宋_GB2312"/>
                <w:sz w:val="28"/>
              </w:rPr>
              <w:t>供应商所提供的软件系统、硬件设备、无人机及机场设备、平台部署环境、数据接入服务、系统集成服务、安装施工服务和售后服务，应符合上述标准规范及采购文件要求。</w:t>
            </w:r>
          </w:p>
          <w:p>
            <w:pPr>
              <w:pStyle w:val="null3"/>
              <w:numPr>
                <w:ilvl w:val="0"/>
                <w:numId w:val="1"/>
              </w:numPr>
              <w:spacing w:before="105" w:after="105"/>
              <w:ind w:left="45"/>
              <w:jc w:val="both"/>
            </w:pPr>
            <w:r>
              <w:rPr>
                <w:rFonts w:ascii="仿宋_GB2312" w:hAnsi="仿宋_GB2312" w:cs="仿宋_GB2312" w:eastAsia="仿宋_GB2312"/>
                <w:sz w:val="28"/>
              </w:rPr>
              <w:t>本项目建设过程中涉及的软件开发、系统部署、数据接入、物联感知、视频汇聚、网络安全、数据安全、设备安装、系统测试、运行维护等内容，应按照国家、行业及地方现行有效标准执行。</w:t>
            </w:r>
          </w:p>
          <w:p>
            <w:pPr>
              <w:pStyle w:val="null3"/>
              <w:numPr>
                <w:ilvl w:val="0"/>
                <w:numId w:val="1"/>
              </w:numPr>
              <w:spacing w:before="105" w:after="105"/>
              <w:ind w:left="45"/>
              <w:jc w:val="both"/>
            </w:pPr>
            <w:r>
              <w:rPr>
                <w:rFonts w:ascii="仿宋_GB2312" w:hAnsi="仿宋_GB2312" w:cs="仿宋_GB2312" w:eastAsia="仿宋_GB2312"/>
                <w:sz w:val="28"/>
              </w:rPr>
              <w:t>如上述标准规范在项目实施期间发生更新、替代或废止，应按照最新有效版本执行。</w:t>
            </w:r>
          </w:p>
          <w:p>
            <w:pPr>
              <w:pStyle w:val="null3"/>
              <w:numPr>
                <w:ilvl w:val="0"/>
                <w:numId w:val="1"/>
              </w:numPr>
              <w:spacing w:before="105" w:after="105"/>
              <w:ind w:left="45"/>
              <w:jc w:val="both"/>
            </w:pPr>
            <w:r>
              <w:rPr>
                <w:rFonts w:ascii="仿宋_GB2312" w:hAnsi="仿宋_GB2312" w:cs="仿宋_GB2312" w:eastAsia="仿宋_GB2312"/>
                <w:sz w:val="28"/>
              </w:rPr>
              <w:t>如不同标准、规范之间存在不一致的，应按照较高标准、较新标准或采购人要求执行。</w:t>
            </w:r>
          </w:p>
          <w:p>
            <w:pPr>
              <w:pStyle w:val="null3"/>
              <w:numPr>
                <w:ilvl w:val="0"/>
                <w:numId w:val="1"/>
              </w:numPr>
              <w:spacing w:before="105" w:after="105"/>
              <w:ind w:left="45"/>
              <w:jc w:val="both"/>
            </w:pPr>
            <w:r>
              <w:rPr>
                <w:rFonts w:ascii="仿宋_GB2312" w:hAnsi="仿宋_GB2312" w:cs="仿宋_GB2312" w:eastAsia="仿宋_GB2312"/>
                <w:sz w:val="28"/>
              </w:rPr>
              <w:t>本项目未列明但与项目建设、运行、验收、维护相关的国家标准、行业标准、地方标准及管理规范，供应商也应遵照执行。</w:t>
            </w:r>
          </w:p>
          <w:p>
            <w:pPr>
              <w:pStyle w:val="null3"/>
              <w:numPr>
                <w:ilvl w:val="0"/>
                <w:numId w:val="1"/>
              </w:numPr>
              <w:spacing w:before="105" w:after="105"/>
              <w:ind w:left="45"/>
              <w:jc w:val="both"/>
            </w:pPr>
            <w:r>
              <w:rPr>
                <w:rFonts w:ascii="仿宋_GB2312" w:hAnsi="仿宋_GB2312" w:cs="仿宋_GB2312" w:eastAsia="仿宋_GB2312"/>
                <w:sz w:val="28"/>
              </w:rPr>
              <w:t xml:space="preserve">供应商应保证项目建设成果满足采购文件、合同约定、用户需求明细表及相关技术标准要求，确保系统安全、稳定、可靠运行。               </w:t>
            </w:r>
            <w:r>
              <w:rPr>
                <w:rFonts w:ascii="仿宋_GB2312" w:hAnsi="仿宋_GB2312" w:cs="仿宋_GB2312" w:eastAsia="仿宋_GB2312"/>
                <w:sz w:val="28"/>
              </w:rPr>
              <w:t>详细参数详见附件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90日历天，后期运行维护3年。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预付款，项目政府采购合同签订生效后，中标供应商完成项目方案深化设计、全部软硬件设备备货、项目实施团队进场就位，提交合法有效等额发票后，达到付款条件起30个工作日内，支付合同总金额的30.0%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进度款，项目硬件设备安装部署、软件系统开发集成、功能联调全部完成，平台投入试运行，经建设单位组织验收合格后，提交剩余对应金额合法有效发票，达到付款条件起30个工作日内，支付合同总金额的30.0%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进度款，试运行期满、正式竣工验收通过，全套资料归档、运维交接完成，收票后支付，达到付款条件起30个工作日内，支付合同总金额的35.0%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进度款，质保期届满，无质量问题、无运维投诉，无息付清，达到付款条件起30个工作日内，支付合同总金额的5.0%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供产品数量、规格、参数、功能、性能、安装部署、系统联调、试运行效果、培训服务、售后服务及交付资料均满足采购文件、合同、技术标准要求及采购人实际使用要求，系统运行稳定，各项业务功能可正常使用，试运行期间无重大故障、问题整改完毕，并经采购人确认通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保修范围 涵盖本项目全部硬件设备、平台软件、定制模块及配套集成服务，正常使用下的故障、缺陷、功能异常均纳入保修。 因人为误操作、擅自改装、外力破坏、不可抗力、环境异常及正常耗材损耗引发的问题，不在保修范围内。 2. 保修期限 整体保修期自项目终验合格之日起计算，共计3年。硬件设备质保不低于原厂标准，且不短于本项目整体保修期。 3. 保修服务 提供7×24小时技术支持，一般故障1小时内响应、24小时内修复；重大故障30分钟内响应，4小时内到场处置、48小时内恢复运行。质保期内免费提供安全补丁、常规系统优化。 4. 顺延规则 因乙方原因造成系统停机超24小时，保修期相应顺延。质保期满后，后续运维服务双方另行协商。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如是中小企业，中小企业声明函必须按照财政部财〔2020]46号关于印发《政府采购促进中小企业发展管理办法》执行，“标的名称”逐条按照设备清单名称填写。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的财务审计报告(成立时间至提交响应文件截止时间不足一年的可提供成立后任意时段的资产负债表)，或其基本存款账户开户银行自开标时间前六个月内出具的资信证明。依法不需要提供此项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供应商应提交的相关资格证明材料(1)(2).pdf 供应商认为需要补充的其他内容.pdf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供应商应提交的相关资格证明材料(1)(2).pdf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供应商应提交的相关资格证明材料(1)(2).pdf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供应商应提交的相关资格证明材料(1)(2).pdf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供应商应提交的相关资格证明材料(1)(2).pdf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非联合体、不分包响应证明</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本项目不接受联合体投标，不允许分包。投标人应提供《非联合体不分包投标声明》，视为独立响应，不分包，供应商需在项目电子化交易系统中按要求上传相应证明文件并进行电子签章;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供应商应提交的相关资格证明材料(1)(2).pdf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投标文件中，凡格式要求法定代表人或其授权委托人签字或盖章的地方，均须由法定代表人或其授权委托人签字或盖章；同时，整本投标文件须逐页加盖投标供应商的公章。</w:t>
            </w:r>
          </w:p>
        </w:tc>
        <w:tc>
          <w:tcPr>
            <w:tcW w:type="dxa" w:w="1661"/>
          </w:tcPr>
          <w:p>
            <w:pPr>
              <w:pStyle w:val="null3"/>
            </w:pPr>
            <w:r>
              <w:rPr>
                <w:rFonts w:ascii="仿宋_GB2312" w:hAnsi="仿宋_GB2312" w:cs="仿宋_GB2312" w:eastAsia="仿宋_GB2312"/>
              </w:rPr>
              <w:t>开标一览表 技术方案.pdf 中小企业声明函 商务应答表 业绩一览表.pdf 供应商承诺书.pdf 供应商应提交的相关资格证明材料(1)(2).pdf 产品技术参数表 投标函 项目负责人简历表.docx 残疾人福利性单位声明函 标的清单 投标文件封面 监狱企业的证明文件 供应商认为需要补充的其他内容.pdf 拟投入项目团队人员配备一览表.pdf 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1、报价唯一；2、报价货币符合招标文件要求;3、未超出采购预算或招标文件规定的最高限价。</w:t>
            </w:r>
          </w:p>
        </w:tc>
        <w:tc>
          <w:tcPr>
            <w:tcW w:type="dxa" w:w="1661"/>
          </w:tcPr>
          <w:p>
            <w:pPr>
              <w:pStyle w:val="null3"/>
            </w:pPr>
            <w:r>
              <w:rPr>
                <w:rFonts w:ascii="仿宋_GB2312" w:hAnsi="仿宋_GB2312" w:cs="仿宋_GB2312" w:eastAsia="仿宋_GB2312"/>
              </w:rPr>
              <w:t>开标一览表 投标函 标的清单 投标文件封面 分项报价表.pdf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投标文件封面 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核心参数的佐证资料</w:t>
            </w:r>
          </w:p>
        </w:tc>
        <w:tc>
          <w:tcPr>
            <w:tcW w:type="dxa" w:w="3322"/>
          </w:tcPr>
          <w:p>
            <w:pPr>
              <w:pStyle w:val="null3"/>
            </w:pPr>
            <w:r>
              <w:rPr>
                <w:rFonts w:ascii="仿宋_GB2312" w:hAnsi="仿宋_GB2312" w:cs="仿宋_GB2312" w:eastAsia="仿宋_GB2312"/>
              </w:rPr>
              <w:t>1、标“★”的参数为核心参数，投标人须在投标文件中提供上述核心参数对应的技术参数佐证材料，包括但不限于检测报告、产品彩页、产品说明书、官网参数截图、系统功能性截图说明等。未按规定提供佐证材料的，视为未实质性响应招标文件要求，否决其投标； 2、本项目核心产品（两个）为：无人机机场、无人机。 核心产品，投标人须在投标文件中提供合法来源证明。证明材料包括但不限于： • 原厂针对本项目的专项授权书（原件扫描件）； • 或能证明合法取得的其他等效文件（如正规采购合同+发票等）。 未提供、提供不全或证明材料与所投产品不一致的，视为未对招标文件作实质性响应，否决其投标。</w:t>
            </w:r>
          </w:p>
        </w:tc>
        <w:tc>
          <w:tcPr>
            <w:tcW w:type="dxa" w:w="1661"/>
          </w:tcPr>
          <w:p>
            <w:pPr>
              <w:pStyle w:val="null3"/>
            </w:pPr>
            <w:r>
              <w:rPr>
                <w:rFonts w:ascii="仿宋_GB2312" w:hAnsi="仿宋_GB2312" w:cs="仿宋_GB2312" w:eastAsia="仿宋_GB2312"/>
              </w:rPr>
              <w:t>开标一览表 产品技术参数表 投标文件封面 供应商认为需要补充的其他内容.pdf 分项报价表.pdf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招标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投标文件封面 供应商认为需要补充的其他内容.pdf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拟安排项目负责人（仅限1人）为投标人自有员工（提供社保证明），否则本项不得分，在此基础上： 1、具有计算机类、电子信息类、安全工程类相关专业本科及以上学历的得2分； 2、具有人社部门或工信部门颁发的计算机、电子信息、安全工程相关专业中级及以上工程师职称的得2分。 证明文件： 1、提供开标日前由投标人为拟投入本项目的负责人缴交的载有政府部门公章（或专用章）的2026年1月至今任意三个月的社保缴交证明材料（已退休返聘人员需提供聘用合同）；社保资料至少显示缴交养老保险信息，未显示该信息的该社保资料则不符合要求，原件备查。如供应商为新成立企业且成立时间不足3个月的，需承诺相关人员为投标人自有员工，承诺函格式自拟并加盖公章视为符合； 2、第1项提供毕业证书、学位证书以及学历信息在学信网查询结果截图（https://www.chsi.com.cn/xlcx/index.jsp），由于日期较早无法查询的，需提供毕业院校或者人社部门或教育主管部门出具的证明，国外学历证书提供教育部留学服务中心出具的国外学历认证书以及教育部留学服务中心官网查询截图（查询网址https://zwfw.cscse.edu.cn/）； 3、第2项提供证书扫描件； 4、未提供或未按要求提供或提供的不清晰导致专家无法判断的，不得分。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项目负责人简历表.docx</w:t>
            </w:r>
          </w:p>
        </w:tc>
      </w:tr>
      <w:tr>
        <w:tc>
          <w:tcPr>
            <w:tcW w:type="dxa" w:w="831"/>
            <w:vMerge/>
          </w:tcPr>
          <w:p/>
        </w:tc>
        <w:tc>
          <w:tcPr>
            <w:tcW w:type="dxa" w:w="1661"/>
          </w:tcPr>
          <w:p>
            <w:pPr>
              <w:pStyle w:val="null3"/>
            </w:pPr>
            <w:r>
              <w:rPr>
                <w:rFonts w:ascii="仿宋_GB2312" w:hAnsi="仿宋_GB2312" w:cs="仿宋_GB2312" w:eastAsia="仿宋_GB2312"/>
              </w:rPr>
              <w:t>项目团队成员（项目负责人除外）</w:t>
            </w:r>
          </w:p>
        </w:tc>
        <w:tc>
          <w:tcPr>
            <w:tcW w:type="dxa" w:w="2492"/>
          </w:tcPr>
          <w:p>
            <w:pPr>
              <w:pStyle w:val="null3"/>
            </w:pPr>
            <w:r>
              <w:rPr>
                <w:rFonts w:ascii="仿宋_GB2312" w:hAnsi="仿宋_GB2312" w:cs="仿宋_GB2312" w:eastAsia="仿宋_GB2312"/>
              </w:rPr>
              <w:t>拟投入项目核心团队成员为投标人自有员工的，本项予以计分，否则本项不得分。在此基础上： 团队核心成员持有人社部门核发的计算机软件（项目管理方向）专业技术资格证书或通信专业技术人员（传输与接入方向）职业资格证书，每提供1人得1.5分，本项最高得6分。 证明材料要求 1. 社保材料：提供开标日前，投标人（含分公司）为对应人员缴纳、加盖社保经办机构公章/专用章的2026年1月至今任意三个月养老保险缴纳证明。已退休返聘人员，须提供正式聘用合同。 新设立企业成立时间不足3个月的，可出具加盖单位公章的自有员工承诺函（格式自拟），视同满足要求。所有社保材料原件备查；材料未体现养老保险缴纳信息的，不予计分。 2. 资格证书：提供有效证书扫描件。 3. 凡未按要求提供材料、材料缺失或影像模糊无法辨识的，该项均不得分。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拟投入项目团队人员配备一览表.pdf</w:t>
            </w:r>
          </w:p>
        </w:tc>
      </w:tr>
      <w:tr>
        <w:tc>
          <w:tcPr>
            <w:tcW w:type="dxa" w:w="831"/>
            <w:vMerge/>
          </w:tcPr>
          <w:p/>
        </w:tc>
        <w:tc>
          <w:tcPr>
            <w:tcW w:type="dxa" w:w="1661"/>
          </w:tcPr>
          <w:p>
            <w:pPr>
              <w:pStyle w:val="null3"/>
            </w:pPr>
            <w:r>
              <w:rPr>
                <w:rFonts w:ascii="仿宋_GB2312" w:hAnsi="仿宋_GB2312" w:cs="仿宋_GB2312" w:eastAsia="仿宋_GB2312"/>
              </w:rPr>
              <w:t>投标人通过相关认证情况</w:t>
            </w:r>
          </w:p>
        </w:tc>
        <w:tc>
          <w:tcPr>
            <w:tcW w:type="dxa" w:w="2492"/>
          </w:tcPr>
          <w:p>
            <w:pPr>
              <w:pStyle w:val="null3"/>
            </w:pPr>
            <w:r>
              <w:rPr>
                <w:rFonts w:ascii="仿宋_GB2312" w:hAnsi="仿宋_GB2312" w:cs="仿宋_GB2312" w:eastAsia="仿宋_GB2312"/>
              </w:rPr>
              <w:t>1、投标人具有质量管理体系认证、环境管理体系认证、职业健康安全管理体系认证且认证范围包含物联网平台系统软件的研发和销售相关的，每具有一个体系认证得1.5分，本项最高得分得4.5分。 2、投标人通过CMMI软件能力成熟度模型集成3级（或以上）认证的，得2分。 证明文件： 1、第1项提供有效期内的体系认证证书扫描件）及在全国认证认可信息公共服务平台（认e云）（http://cx.cnca.cn/CertECloud/index/index/page）查询有效的截图； 2、第2项提供证书扫描件； 3、未提供或未按要求提供或提供的不清晰导致专家无法判断的，不得分。</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供应商认为需要补充的其他内容.pdf</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标人知识产权产品情况</w:t>
            </w:r>
          </w:p>
        </w:tc>
        <w:tc>
          <w:tcPr>
            <w:tcW w:type="dxa" w:w="2492"/>
          </w:tcPr>
          <w:p>
            <w:pPr>
              <w:pStyle w:val="null3"/>
            </w:pPr>
            <w:r>
              <w:rPr>
                <w:rFonts w:ascii="仿宋_GB2312" w:hAnsi="仿宋_GB2312" w:cs="仿宋_GB2312" w:eastAsia="仿宋_GB2312"/>
              </w:rPr>
              <w:t>投标人拥有国家版权部门核发的软件著作权或国家专利管理部门核发的专利证书，与物联网平台及设备管理、数据传输、应用运维等相关即可计分（证书名称无需完全一致，功能相关即可）： • 每提供1项有效软件著作权证书：1分 • 每提供1项有效专利证书：1.5分 • 本项最高9分 相关技术方向参考（供判断相关性） 1. 物联网平台管理 2. 物联网设备接入与管理 3. 物联网数据传输与处理 4. 物联网应用服务管理 5. 物联网安全与运维管理 证明文件 1. 自有证书：提供证书扫描件，著作权/专利权人须为投标人。 2. 非自有证书：提供证书扫描件+有效授权合同，授权范围须覆盖本项目，有效期须覆盖本项目服务期。 3. 未提供、提供不全或模糊无法辨识的，该项不得分。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供应商认为需要补充的其他内容.pdf</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同类型项目案列</w:t>
            </w:r>
          </w:p>
        </w:tc>
        <w:tc>
          <w:tcPr>
            <w:tcW w:type="dxa" w:w="2492"/>
          </w:tcPr>
          <w:p>
            <w:pPr>
              <w:pStyle w:val="null3"/>
            </w:pPr>
            <w:r>
              <w:rPr>
                <w:rFonts w:ascii="仿宋_GB2312" w:hAnsi="仿宋_GB2312" w:cs="仿宋_GB2312" w:eastAsia="仿宋_GB2312"/>
              </w:rPr>
              <w:t>自2022年1月1日至本项目投标截止之日（以合同签订时间为准），投标人承担过物联网平台、智慧监管平台、信息化管控平台相关项目业绩的，每提供1项有效业绩得1分，本项最高得5分。 证明文件要求 1. 提供合同关键页扫描件，须包含甲乙双方单位名称、项目名称、服务内容、签订日期及双方盖章页。 2. 若合同内容无法清晰判定项目类型，须另行提供验收报告或中标通知书作为补充佐证。 3. 未按要求提供材料、材料信息不全、影像模糊导致评审委员会无法判定的，该项业绩不得分。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业绩一览表.pdf</w:t>
            </w:r>
          </w:p>
        </w:tc>
      </w:tr>
      <w:tr>
        <w:tc>
          <w:tcPr>
            <w:tcW w:type="dxa" w:w="831"/>
            <w:vMerge/>
          </w:tcPr>
          <w:p/>
        </w:tc>
        <w:tc>
          <w:tcPr>
            <w:tcW w:type="dxa" w:w="1661"/>
          </w:tcPr>
          <w:p>
            <w:pPr>
              <w:pStyle w:val="null3"/>
            </w:pPr>
            <w:r>
              <w:rPr>
                <w:rFonts w:ascii="仿宋_GB2312" w:hAnsi="仿宋_GB2312" w:cs="仿宋_GB2312" w:eastAsia="仿宋_GB2312"/>
              </w:rPr>
              <w:t>技术参数响应情况</w:t>
            </w:r>
          </w:p>
        </w:tc>
        <w:tc>
          <w:tcPr>
            <w:tcW w:type="dxa" w:w="2492"/>
          </w:tcPr>
          <w:p>
            <w:pPr>
              <w:pStyle w:val="null3"/>
            </w:pPr>
            <w:r>
              <w:rPr>
                <w:rFonts w:ascii="仿宋_GB2312" w:hAnsi="仿宋_GB2312" w:cs="仿宋_GB2312" w:eastAsia="仿宋_GB2312"/>
              </w:rPr>
              <w:t>（1）标注“▲”项为重要技术参数项，总分13分。每满足1项且按要求提供有效证明材料的，得1分；未满足或未按要求提供证明材料的，对应项不得分。 （2）一般技术参数项总分7分。一般参数全部满足的，得7分；每出现1项负偏离扣0.2分，扣完为止。 （3）重要技术参数评审依据为技术参数响应表及招标文件要求的证明材料，包括但不限于检测报告、产品白皮书、官网截图、功能截图、彩页等；未提供证明材料或无法判断的，对应项不得分。（4）一般技术参数评审依据为技术参数响应表。</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供应商认为需要补充的其他内容.pdf</w:t>
            </w:r>
          </w:p>
          <w:p>
            <w:pPr>
              <w:pStyle w:val="null3"/>
            </w:pPr>
            <w:r>
              <w:rPr>
                <w:rFonts w:ascii="仿宋_GB2312" w:hAnsi="仿宋_GB2312" w:cs="仿宋_GB2312" w:eastAsia="仿宋_GB2312"/>
              </w:rPr>
              <w:t>技术方案.pdf</w:t>
            </w:r>
          </w:p>
          <w:p>
            <w:pPr>
              <w:pStyle w:val="null3"/>
            </w:pPr>
            <w:r>
              <w:rPr>
                <w:rFonts w:ascii="仿宋_GB2312" w:hAnsi="仿宋_GB2312" w:cs="仿宋_GB2312" w:eastAsia="仿宋_GB2312"/>
              </w:rPr>
              <w:t>分项报价表.pdf</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针对本项目提出适用于本项目的方案，方案包括：①实施部署与交付管理；②巡检运维与培训；③服务与保障支撑；二、评审标准1、完整性：方案必须全面，对评审内容中的各项要求有详细描述；2、可实施性：切合本项目实际情况，提出步骤清晰、合理的方案；3、针对性：方案能够紧扣项目实际情况，内容科学合理。 三、赋分标准（满分6分） ①实施部署与交付管理：每完全满足一个评审标准得1.0分，满分3.0分； ②巡检运维与培训：每完全满足一个评审标准得0.5分，满分1.5分； ③服务与保障支撑：每完全满足一个评审标准得0.5分，满分1.5分；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团队建设方案</w:t>
            </w:r>
          </w:p>
        </w:tc>
        <w:tc>
          <w:tcPr>
            <w:tcW w:type="dxa" w:w="2492"/>
          </w:tcPr>
          <w:p>
            <w:pPr>
              <w:pStyle w:val="null3"/>
            </w:pPr>
            <w:r>
              <w:rPr>
                <w:rFonts w:ascii="仿宋_GB2312" w:hAnsi="仿宋_GB2312" w:cs="仿宋_GB2312" w:eastAsia="仿宋_GB2312"/>
              </w:rPr>
              <w:t>一、评审内容根据本项目提供团队建设方案，方案内容包括：①团队组织管理②专业服务团队人员的职能分工。 二、评审标准1、完整性：方案必须全面，对评审内容中的各项要求有详细描述；2、可实施性：切合本项目实际情况，提出步骤清晰、合理的方案；3、针对性：方案能够紧扣项目实际情况，人员分工及职责等内容科学合理。三、赋分标准（满分4.5分）①团队组织管理：每完全满足一个评审标准得1.0分，满分3.0分；②专业服务团队人员的职能分工: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拟投入项目团队人员配备一览表.pdf</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用于本项目的方案，包括：①保密措施方案；②保密实施细则；③人员保密管理。 二、评审标准 1、完整性：方案必须全面，对评审内容中的各项要求有详细描述； 2、可实施性：切合本项目实际情况，提出步骤清晰、合理的方案； 3、针对性：方案能够紧扣项目实际情况，内容科学合理。 三、赋分标准（满分4.5分） ①保密措施方案：每完全满足一个评审标准得0.5分，满分1.5分；②保密实施细则：每完全满足一个评审标准得0.5分，满分1.5分；③人员保密管理：每完全满足一个评审标准得0.5分，满分1.5分。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采购需求提出适用于本项目的应急处理方案，方案包括：①应急方案②应急预案③处理措施二、评审标准1、完整性：方案必须全面，对评审内容中的各项要求有详细描述；2、可实施性：切合本项目实际情况，提出步骤清晰、合理的方案；3、针对性：方案能够紧扣项目实际情况，内容科学合理。三、赋分标准（满分4.5分） ①应急方案：每完全满足一个评审标准得0.5分，满分1.5分； ②应急预案：每完全满足一个评审标准得0.5分，满分1.5分； ③处理措施：每完全满足一个评审标准得0.5分，满分1.5分。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招标文件要求且投标价格最低的投标报价为评标基准价，其价格分为满分30分，其他投标单位的价格分按照下列公式计算:投标报价得分=(评标基准价/投标报价)x30%x100。经评标委员会一致认定，投标单位的投标最终总报价低于公认市场成本，或超过采购预算,其响应将被拒绝;(得分计算结果保留小数点后两位，小数点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详见附件：供应商应提交的相关资格证明材料(1)(2).pdf</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详见附件：项目负责人简历表.docx</w:t>
      </w:r>
    </w:p>
    <w:p>
      <w:pPr>
        <w:pStyle w:val="null3"/>
        <w:ind w:firstLine="960"/>
      </w:pPr>
      <w:r>
        <w:rPr>
          <w:rFonts w:ascii="仿宋_GB2312" w:hAnsi="仿宋_GB2312" w:cs="仿宋_GB2312" w:eastAsia="仿宋_GB2312"/>
        </w:rPr>
        <w:t>详见附件：拟投入项目团队人员配备一览表.pdf</w:t>
      </w:r>
    </w:p>
    <w:p>
      <w:pPr>
        <w:pStyle w:val="null3"/>
        <w:ind w:firstLine="960"/>
      </w:pPr>
      <w:r>
        <w:rPr>
          <w:rFonts w:ascii="仿宋_GB2312" w:hAnsi="仿宋_GB2312" w:cs="仿宋_GB2312" w:eastAsia="仿宋_GB2312"/>
        </w:rPr>
        <w:t>详见附件：业绩一览表.pdf</w:t>
      </w:r>
    </w:p>
    <w:p>
      <w:pPr>
        <w:pStyle w:val="null3"/>
        <w:ind w:firstLine="960"/>
      </w:pPr>
      <w:r>
        <w:rPr>
          <w:rFonts w:ascii="仿宋_GB2312" w:hAnsi="仿宋_GB2312" w:cs="仿宋_GB2312" w:eastAsia="仿宋_GB2312"/>
        </w:rPr>
        <w:t>详见附件：技术方案.pdf</w:t>
      </w:r>
    </w:p>
    <w:p>
      <w:pPr>
        <w:pStyle w:val="null3"/>
        <w:ind w:firstLine="960"/>
      </w:pPr>
      <w:r>
        <w:rPr>
          <w:rFonts w:ascii="仿宋_GB2312" w:hAnsi="仿宋_GB2312" w:cs="仿宋_GB2312" w:eastAsia="仿宋_GB2312"/>
        </w:rPr>
        <w:t>详见附件：分项报价表.pdf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