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EFD5B4">
      <w:pPr>
        <w:pStyle w:val="17"/>
        <w:jc w:val="center"/>
        <w:outlineLvl w:val="1"/>
        <w:rPr>
          <w:rFonts w:hint="eastAsia" w:ascii="宋体" w:hAnsi="宋体" w:eastAsia="宋体" w:cs="宋体"/>
          <w:sz w:val="32"/>
          <w:szCs w:val="32"/>
        </w:rPr>
      </w:pPr>
      <w:r>
        <w:rPr>
          <w:rFonts w:hint="eastAsia" w:ascii="宋体" w:hAnsi="宋体" w:eastAsia="宋体" w:cs="宋体"/>
          <w:b/>
          <w:sz w:val="32"/>
          <w:szCs w:val="32"/>
        </w:rPr>
        <w:t>拟签订采购合同文本</w:t>
      </w:r>
    </w:p>
    <w:p w14:paraId="6920C532">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i w:val="0"/>
          <w:iCs w:val="0"/>
          <w:caps w:val="0"/>
          <w:spacing w:val="0"/>
          <w:sz w:val="24"/>
          <w:szCs w:val="24"/>
          <w:shd w:val="clear" w:color="auto" w:fill="FFFFFF"/>
        </w:rPr>
      </w:pPr>
      <w:r>
        <w:rPr>
          <w:rFonts w:hint="eastAsia" w:ascii="宋体" w:hAnsi="宋体" w:eastAsia="宋体" w:cs="宋体"/>
          <w:b w:val="0"/>
          <w:bCs w:val="0"/>
          <w:i w:val="0"/>
          <w:iCs w:val="0"/>
          <w:caps w:val="0"/>
          <w:spacing w:val="0"/>
          <w:sz w:val="24"/>
          <w:szCs w:val="24"/>
          <w:shd w:val="clear" w:color="auto" w:fill="FFFFFF"/>
        </w:rPr>
        <w:t xml:space="preserve">合同编号： </w:t>
      </w:r>
    </w:p>
    <w:p w14:paraId="7CD0DB0B">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i w:val="0"/>
          <w:iCs w:val="0"/>
          <w:caps w:val="0"/>
          <w:spacing w:val="0"/>
          <w:sz w:val="24"/>
          <w:szCs w:val="24"/>
          <w:shd w:val="clear" w:color="auto" w:fill="FFFFFF"/>
        </w:rPr>
      </w:pPr>
      <w:r>
        <w:rPr>
          <w:rFonts w:hint="eastAsia" w:ascii="宋体" w:hAnsi="宋体" w:eastAsia="宋体" w:cs="宋体"/>
          <w:b w:val="0"/>
          <w:bCs w:val="0"/>
          <w:i w:val="0"/>
          <w:iCs w:val="0"/>
          <w:caps w:val="0"/>
          <w:spacing w:val="0"/>
          <w:sz w:val="24"/>
          <w:szCs w:val="24"/>
          <w:shd w:val="clear" w:color="auto" w:fill="FFFFFF"/>
        </w:rPr>
        <w:t xml:space="preserve">签订地点： </w:t>
      </w:r>
    </w:p>
    <w:p w14:paraId="1DB7F74D">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i w:val="0"/>
          <w:iCs w:val="0"/>
          <w:caps w:val="0"/>
          <w:spacing w:val="0"/>
          <w:sz w:val="24"/>
          <w:szCs w:val="24"/>
          <w:shd w:val="clear" w:color="auto" w:fill="FFFFFF"/>
        </w:rPr>
      </w:pPr>
      <w:r>
        <w:rPr>
          <w:rFonts w:hint="eastAsia" w:ascii="宋体" w:hAnsi="宋体" w:eastAsia="宋体" w:cs="宋体"/>
          <w:b w:val="0"/>
          <w:bCs w:val="0"/>
          <w:i w:val="0"/>
          <w:iCs w:val="0"/>
          <w:caps w:val="0"/>
          <w:spacing w:val="0"/>
          <w:sz w:val="24"/>
          <w:szCs w:val="24"/>
          <w:shd w:val="clear" w:color="auto" w:fill="FFFFFF"/>
        </w:rPr>
        <w:t xml:space="preserve">签订时间: </w:t>
      </w:r>
    </w:p>
    <w:p w14:paraId="0567940F">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i w:val="0"/>
          <w:iCs w:val="0"/>
          <w:caps w:val="0"/>
          <w:spacing w:val="0"/>
          <w:sz w:val="24"/>
          <w:szCs w:val="24"/>
          <w:shd w:val="clear" w:color="auto" w:fill="FFFFFF"/>
          <w:lang w:val="en-US" w:eastAsia="zh-CN"/>
        </w:rPr>
      </w:pPr>
      <w:r>
        <w:rPr>
          <w:rFonts w:hint="eastAsia" w:ascii="宋体" w:hAnsi="宋体" w:eastAsia="宋体" w:cs="宋体"/>
          <w:b w:val="0"/>
          <w:bCs w:val="0"/>
          <w:i w:val="0"/>
          <w:iCs w:val="0"/>
          <w:caps w:val="0"/>
          <w:spacing w:val="0"/>
          <w:sz w:val="24"/>
          <w:szCs w:val="24"/>
          <w:shd w:val="clear" w:color="auto" w:fill="FFFFFF"/>
        </w:rPr>
        <w:t>是否为专门面向中小企业的采购项目：</w:t>
      </w:r>
      <w:r>
        <w:rPr>
          <w:rFonts w:hint="eastAsia" w:ascii="宋体" w:hAnsi="宋体" w:cs="宋体"/>
          <w:b w:val="0"/>
          <w:bCs w:val="0"/>
          <w:i w:val="0"/>
          <w:iCs w:val="0"/>
          <w:caps w:val="0"/>
          <w:spacing w:val="0"/>
          <w:sz w:val="24"/>
          <w:szCs w:val="24"/>
          <w:shd w:val="clear" w:color="auto" w:fill="FFFFFF"/>
          <w:lang w:val="en-US" w:eastAsia="zh-CN"/>
        </w:rPr>
        <w:t>否</w:t>
      </w:r>
    </w:p>
    <w:p w14:paraId="6BFD5609">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i w:val="0"/>
          <w:iCs w:val="0"/>
          <w:caps w:val="0"/>
          <w:spacing w:val="0"/>
          <w:sz w:val="24"/>
          <w:szCs w:val="24"/>
          <w:shd w:val="clear" w:color="auto" w:fill="FFFFFF"/>
        </w:rPr>
      </w:pPr>
      <w:r>
        <w:rPr>
          <w:rFonts w:hint="eastAsia" w:ascii="宋体" w:hAnsi="宋体" w:eastAsia="宋体" w:cs="宋体"/>
          <w:b w:val="0"/>
          <w:bCs w:val="0"/>
          <w:i w:val="0"/>
          <w:iCs w:val="0"/>
          <w:caps w:val="0"/>
          <w:spacing w:val="0"/>
          <w:sz w:val="24"/>
          <w:szCs w:val="24"/>
          <w:shd w:val="clear" w:color="auto" w:fill="FFFFFF"/>
        </w:rPr>
        <w:t>采购人（甲方）：</w:t>
      </w:r>
    </w:p>
    <w:p w14:paraId="660EF41F">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i w:val="0"/>
          <w:iCs w:val="0"/>
          <w:caps w:val="0"/>
          <w:spacing w:val="0"/>
          <w:sz w:val="24"/>
          <w:szCs w:val="24"/>
          <w:shd w:val="clear" w:color="auto" w:fill="FFFFFF"/>
        </w:rPr>
      </w:pPr>
      <w:r>
        <w:rPr>
          <w:rFonts w:hint="eastAsia" w:ascii="宋体" w:hAnsi="宋体" w:eastAsia="宋体" w:cs="宋体"/>
          <w:b w:val="0"/>
          <w:bCs w:val="0"/>
          <w:i w:val="0"/>
          <w:iCs w:val="0"/>
          <w:caps w:val="0"/>
          <w:spacing w:val="0"/>
          <w:sz w:val="24"/>
          <w:szCs w:val="24"/>
          <w:shd w:val="clear" w:color="auto" w:fill="FFFFFF"/>
          <w:lang w:val="en-US" w:eastAsia="zh-CN"/>
        </w:rPr>
        <w:t>投标人</w:t>
      </w:r>
      <w:r>
        <w:rPr>
          <w:rFonts w:hint="eastAsia" w:ascii="宋体" w:hAnsi="宋体" w:eastAsia="宋体" w:cs="宋体"/>
          <w:b w:val="0"/>
          <w:bCs w:val="0"/>
          <w:i w:val="0"/>
          <w:iCs w:val="0"/>
          <w:caps w:val="0"/>
          <w:spacing w:val="0"/>
          <w:sz w:val="24"/>
          <w:szCs w:val="24"/>
          <w:shd w:val="clear" w:color="auto" w:fill="FFFFFF"/>
        </w:rPr>
        <w:t>（乙方）：</w:t>
      </w:r>
    </w:p>
    <w:p w14:paraId="2E64B5C2">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i w:val="0"/>
          <w:iCs w:val="0"/>
          <w:caps w:val="0"/>
          <w:spacing w:val="0"/>
          <w:sz w:val="24"/>
          <w:szCs w:val="24"/>
          <w:shd w:val="clear" w:color="auto" w:fill="FFFFFF"/>
        </w:rPr>
      </w:pPr>
      <w:r>
        <w:rPr>
          <w:rFonts w:hint="eastAsia" w:ascii="宋体" w:hAnsi="宋体" w:eastAsia="宋体" w:cs="宋体"/>
          <w:b w:val="0"/>
          <w:bCs w:val="0"/>
          <w:i w:val="0"/>
          <w:iCs w:val="0"/>
          <w:caps w:val="0"/>
          <w:spacing w:val="0"/>
          <w:sz w:val="24"/>
          <w:szCs w:val="24"/>
          <w:shd w:val="clear" w:color="auto" w:fill="FFFFFF"/>
        </w:rPr>
        <w:t>根据《中华人民共和国政府采购法》及实施条例、《中华人民共和国民法典》和</w:t>
      </w:r>
      <w:r>
        <w:rPr>
          <w:rFonts w:hint="eastAsia" w:ascii="宋体" w:hAnsi="宋体" w:eastAsia="宋体" w:cs="宋体"/>
          <w:b w:val="0"/>
          <w:bCs w:val="0"/>
          <w:i w:val="0"/>
          <w:iCs w:val="0"/>
          <w:caps w:val="0"/>
          <w:spacing w:val="0"/>
          <w:sz w:val="24"/>
          <w:szCs w:val="24"/>
          <w:shd w:val="clear" w:color="auto" w:fill="FFFFFF"/>
          <w:lang w:eastAsia="zh-CN"/>
        </w:rPr>
        <w:t>（</w:t>
      </w:r>
      <w:r>
        <w:rPr>
          <w:rFonts w:hint="eastAsia" w:ascii="宋体" w:hAnsi="宋体" w:eastAsia="宋体" w:cs="宋体"/>
          <w:b w:val="0"/>
          <w:bCs w:val="0"/>
          <w:i w:val="0"/>
          <w:iCs w:val="0"/>
          <w:caps w:val="0"/>
          <w:spacing w:val="0"/>
          <w:sz w:val="24"/>
          <w:szCs w:val="24"/>
          <w:shd w:val="clear" w:color="auto" w:fill="FFFFFF"/>
          <w:lang w:val="en-US" w:eastAsia="zh-CN"/>
        </w:rPr>
        <w:t>项目名称、包号</w:t>
      </w:r>
      <w:r>
        <w:rPr>
          <w:rFonts w:hint="eastAsia" w:ascii="宋体" w:hAnsi="宋体" w:eastAsia="宋体" w:cs="宋体"/>
          <w:b w:val="0"/>
          <w:bCs w:val="0"/>
          <w:i w:val="0"/>
          <w:iCs w:val="0"/>
          <w:caps w:val="0"/>
          <w:spacing w:val="0"/>
          <w:sz w:val="24"/>
          <w:szCs w:val="24"/>
          <w:shd w:val="clear" w:color="auto" w:fill="FFFFFF"/>
          <w:lang w:eastAsia="zh-CN"/>
        </w:rPr>
        <w:t>）</w:t>
      </w:r>
      <w:r>
        <w:rPr>
          <w:rFonts w:hint="eastAsia" w:ascii="宋体" w:hAnsi="宋体" w:eastAsia="宋体" w:cs="宋体"/>
          <w:b w:val="0"/>
          <w:bCs w:val="0"/>
          <w:i w:val="0"/>
          <w:iCs w:val="0"/>
          <w:caps w:val="0"/>
          <w:spacing w:val="0"/>
          <w:sz w:val="24"/>
          <w:szCs w:val="24"/>
          <w:shd w:val="clear" w:color="auto" w:fill="FFFFFF"/>
        </w:rPr>
        <w:t>（采购项目编号</w:t>
      </w:r>
      <w:r>
        <w:rPr>
          <w:rFonts w:hint="eastAsia" w:ascii="宋体" w:hAnsi="宋体" w:eastAsia="宋体" w:cs="宋体"/>
          <w:b w:val="0"/>
          <w:bCs w:val="0"/>
          <w:i w:val="0"/>
          <w:iCs w:val="0"/>
          <w:caps w:val="0"/>
          <w:spacing w:val="0"/>
          <w:sz w:val="24"/>
          <w:szCs w:val="24"/>
          <w:shd w:val="clear" w:color="auto" w:fill="FFFFFF"/>
          <w:lang w:eastAsia="zh-CN"/>
        </w:rPr>
        <w:t>）</w:t>
      </w:r>
      <w:r>
        <w:rPr>
          <w:rFonts w:hint="eastAsia" w:ascii="宋体" w:hAnsi="宋体" w:eastAsia="宋体" w:cs="宋体"/>
          <w:b w:val="0"/>
          <w:bCs w:val="0"/>
          <w:i w:val="0"/>
          <w:iCs w:val="0"/>
          <w:caps w:val="0"/>
          <w:spacing w:val="0"/>
          <w:sz w:val="24"/>
          <w:szCs w:val="24"/>
          <w:shd w:val="clear" w:color="auto" w:fill="FFFFFF"/>
        </w:rPr>
        <w:t>的采购文件、响应文件等有关规定，为确保甲方采购项目的顺利实施，甲、乙双方在平等自愿原则下签订本合同，并共同遵守如下条款，其主要要求如下：</w:t>
      </w:r>
    </w:p>
    <w:p w14:paraId="583B0818">
      <w:pPr>
        <w:keepNext w:val="0"/>
        <w:keepLines w:val="0"/>
        <w:pageBreakBefore w:val="0"/>
        <w:widowControl/>
        <w:numPr>
          <w:ilvl w:val="0"/>
          <w:numId w:val="1"/>
        </w:numPr>
        <w:kinsoku/>
        <w:wordWrap/>
        <w:overflowPunct/>
        <w:topLinePunct w:val="0"/>
        <w:autoSpaceDE/>
        <w:autoSpaceDN/>
        <w:bidi w:val="0"/>
        <w:spacing w:line="360" w:lineRule="auto"/>
        <w:ind w:firstLine="482" w:firstLineChars="200"/>
        <w:jc w:val="left"/>
        <w:outlineLvl w:val="1"/>
        <w:rPr>
          <w:rFonts w:hint="eastAsia" w:ascii="宋体" w:hAnsi="宋体" w:eastAsia="宋体" w:cs="宋体"/>
          <w:b/>
          <w:bCs/>
          <w:kern w:val="2"/>
          <w:sz w:val="24"/>
          <w:szCs w:val="24"/>
          <w:lang w:val="en-US" w:eastAsia="zh-CN" w:bidi="ar-SA"/>
        </w:rPr>
      </w:pPr>
      <w:bookmarkStart w:id="0" w:name="_Toc11438"/>
      <w:r>
        <w:rPr>
          <w:rFonts w:hint="eastAsia" w:ascii="宋体" w:hAnsi="宋体" w:eastAsia="宋体" w:cs="宋体"/>
          <w:b/>
          <w:sz w:val="24"/>
          <w:szCs w:val="24"/>
        </w:rPr>
        <w:t>项目基本情况</w:t>
      </w:r>
      <w:bookmarkEnd w:id="0"/>
      <w:bookmarkStart w:id="1" w:name="_Toc24394"/>
    </w:p>
    <w:p w14:paraId="653CB51F">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i w:val="0"/>
          <w:iCs w:val="0"/>
          <w:caps w:val="0"/>
          <w:spacing w:val="0"/>
          <w:sz w:val="24"/>
          <w:szCs w:val="24"/>
          <w:shd w:val="clear" w:color="auto" w:fill="FFFFFF"/>
          <w:lang w:val="en-US" w:eastAsia="zh-CN"/>
        </w:rPr>
      </w:pPr>
      <w:r>
        <w:rPr>
          <w:rFonts w:hint="eastAsia" w:ascii="宋体" w:hAnsi="宋体" w:cs="宋体"/>
          <w:b w:val="0"/>
          <w:bCs w:val="0"/>
          <w:i w:val="0"/>
          <w:iCs w:val="0"/>
          <w:caps w:val="0"/>
          <w:spacing w:val="0"/>
          <w:sz w:val="24"/>
          <w:szCs w:val="24"/>
          <w:shd w:val="clear" w:color="auto" w:fill="FFFFFF"/>
          <w:lang w:val="en-US" w:eastAsia="zh-CN"/>
        </w:rPr>
        <w:t>镇巴县安全生产智慧管控平台建设项目</w:t>
      </w:r>
    </w:p>
    <w:p w14:paraId="228D6D47">
      <w:pPr>
        <w:keepNext w:val="0"/>
        <w:keepLines w:val="0"/>
        <w:pageBreakBefore w:val="0"/>
        <w:widowControl/>
        <w:numPr>
          <w:ilvl w:val="0"/>
          <w:numId w:val="2"/>
        </w:numPr>
        <w:kinsoku/>
        <w:wordWrap/>
        <w:overflowPunct/>
        <w:topLinePunct w:val="0"/>
        <w:autoSpaceDE/>
        <w:autoSpaceDN/>
        <w:bidi w:val="0"/>
        <w:spacing w:line="360" w:lineRule="auto"/>
        <w:ind w:firstLine="482" w:firstLineChars="200"/>
        <w:jc w:val="left"/>
        <w:outlineLvl w:val="1"/>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服务期限</w:t>
      </w:r>
      <w:bookmarkEnd w:id="1"/>
    </w:p>
    <w:p w14:paraId="07F5A312">
      <w:pPr>
        <w:keepNext w:val="0"/>
        <w:keepLines w:val="0"/>
        <w:pageBreakBefore w:val="0"/>
        <w:widowControl/>
        <w:numPr>
          <w:ilvl w:val="0"/>
          <w:numId w:val="0"/>
        </w:numPr>
        <w:kinsoku/>
        <w:wordWrap/>
        <w:overflowPunct/>
        <w:topLinePunct w:val="0"/>
        <w:autoSpaceDE/>
        <w:autoSpaceDN/>
        <w:bidi w:val="0"/>
        <w:spacing w:line="360" w:lineRule="auto"/>
        <w:jc w:val="left"/>
        <w:outlineLvl w:val="1"/>
        <w:rPr>
          <w:rFonts w:hint="eastAsia" w:ascii="宋体" w:hAnsi="宋体" w:eastAsia="宋体" w:cs="宋体"/>
          <w:b/>
          <w:sz w:val="24"/>
          <w:szCs w:val="24"/>
          <w:u w:val="none"/>
          <w:lang w:val="en-US" w:eastAsia="zh-CN"/>
        </w:rPr>
      </w:pPr>
      <w:r>
        <w:rPr>
          <w:rFonts w:hint="eastAsia" w:ascii="宋体" w:hAnsi="宋体" w:eastAsia="宋体" w:cs="宋体"/>
          <w:b/>
          <w:sz w:val="24"/>
          <w:szCs w:val="24"/>
          <w:lang w:val="en-US" w:eastAsia="zh-CN"/>
        </w:rPr>
        <w:t xml:space="preserve">    </w:t>
      </w:r>
      <w:r>
        <w:rPr>
          <w:rFonts w:hint="eastAsia" w:ascii="宋体" w:hAnsi="宋体" w:eastAsia="宋体" w:cs="宋体"/>
          <w:b/>
          <w:sz w:val="24"/>
          <w:szCs w:val="24"/>
          <w:u w:val="single"/>
          <w:lang w:val="en-US" w:eastAsia="zh-CN"/>
        </w:rPr>
        <w:t xml:space="preserve">                         </w:t>
      </w:r>
      <w:r>
        <w:rPr>
          <w:rFonts w:hint="eastAsia" w:ascii="宋体" w:hAnsi="宋体" w:eastAsia="宋体" w:cs="宋体"/>
          <w:b/>
          <w:sz w:val="24"/>
          <w:szCs w:val="24"/>
          <w:u w:val="none"/>
          <w:lang w:val="en-US" w:eastAsia="zh-CN"/>
        </w:rPr>
        <w:t>。</w:t>
      </w:r>
    </w:p>
    <w:p w14:paraId="7206624C">
      <w:pPr>
        <w:keepNext w:val="0"/>
        <w:keepLines w:val="0"/>
        <w:pageBreakBefore w:val="0"/>
        <w:widowControl/>
        <w:tabs>
          <w:tab w:val="left" w:pos="387"/>
        </w:tabs>
        <w:kinsoku/>
        <w:wordWrap/>
        <w:overflowPunct/>
        <w:topLinePunct w:val="0"/>
        <w:autoSpaceDE/>
        <w:autoSpaceDN/>
        <w:bidi w:val="0"/>
        <w:spacing w:line="360" w:lineRule="auto"/>
        <w:ind w:firstLine="482" w:firstLineChars="200"/>
        <w:jc w:val="left"/>
        <w:outlineLvl w:val="1"/>
        <w:rPr>
          <w:rFonts w:hint="eastAsia" w:ascii="宋体" w:hAnsi="宋体" w:eastAsia="宋体" w:cs="宋体"/>
          <w:b/>
          <w:sz w:val="24"/>
          <w:szCs w:val="24"/>
        </w:rPr>
      </w:pPr>
      <w:bookmarkStart w:id="2" w:name="_Toc2407"/>
      <w:bookmarkStart w:id="3" w:name="_Toc241833903"/>
      <w:bookmarkStart w:id="4" w:name="_Toc232492928"/>
      <w:bookmarkStart w:id="5" w:name="_Toc211854449"/>
      <w:bookmarkStart w:id="6" w:name="_Toc211911348"/>
      <w:bookmarkStart w:id="7" w:name="_Toc225654644"/>
      <w:bookmarkStart w:id="8" w:name="_Toc239233914"/>
      <w:bookmarkStart w:id="9" w:name="_Toc238984975"/>
      <w:bookmarkStart w:id="10" w:name="_Toc251768862"/>
      <w:bookmarkStart w:id="11" w:name="_Toc282696226"/>
      <w:bookmarkStart w:id="12" w:name="_Toc237145406"/>
      <w:bookmarkStart w:id="13" w:name="_Toc225670751"/>
      <w:bookmarkStart w:id="14" w:name="_Toc212019594"/>
      <w:bookmarkStart w:id="15" w:name="_Toc286993786"/>
      <w:bookmarkStart w:id="16" w:name="_Toc283019214"/>
      <w:bookmarkStart w:id="17" w:name="_Toc225244852"/>
      <w:bookmarkStart w:id="18" w:name="_Toc239568418"/>
      <w:bookmarkStart w:id="19" w:name="_Toc185395249"/>
      <w:bookmarkStart w:id="20" w:name="_Toc247334841"/>
      <w:r>
        <w:rPr>
          <w:rFonts w:hint="eastAsia" w:ascii="宋体" w:hAnsi="宋体" w:eastAsia="宋体" w:cs="宋体"/>
          <w:b/>
          <w:sz w:val="24"/>
          <w:szCs w:val="24"/>
        </w:rPr>
        <w:t>第三条 服务</w:t>
      </w:r>
      <w:r>
        <w:rPr>
          <w:rFonts w:hint="eastAsia" w:ascii="宋体" w:hAnsi="宋体" w:cs="宋体"/>
          <w:b/>
          <w:sz w:val="24"/>
          <w:szCs w:val="24"/>
          <w:lang w:val="en-US" w:eastAsia="zh-CN"/>
        </w:rPr>
        <w:t>内容</w:t>
      </w:r>
      <w:r>
        <w:rPr>
          <w:rFonts w:hint="eastAsia" w:ascii="宋体" w:hAnsi="宋体" w:eastAsia="宋体" w:cs="宋体"/>
          <w:b/>
          <w:sz w:val="24"/>
          <w:szCs w:val="24"/>
        </w:rPr>
        <w:t>与质量标准</w:t>
      </w:r>
      <w:bookmarkEnd w:id="2"/>
    </w:p>
    <w:p w14:paraId="49992F2A">
      <w:pPr>
        <w:keepNext w:val="0"/>
        <w:keepLines w:val="0"/>
        <w:pageBreakBefore w:val="0"/>
        <w:widowControl/>
        <w:numPr>
          <w:ilvl w:val="0"/>
          <w:numId w:val="0"/>
        </w:numPr>
        <w:kinsoku/>
        <w:wordWrap/>
        <w:overflowPunct/>
        <w:topLinePunct w:val="0"/>
        <w:autoSpaceDE/>
        <w:autoSpaceDN/>
        <w:bidi w:val="0"/>
        <w:spacing w:line="360" w:lineRule="auto"/>
        <w:ind w:firstLine="482" w:firstLineChars="200"/>
        <w:jc w:val="left"/>
        <w:outlineLvl w:val="1"/>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1、</w:t>
      </w:r>
      <w:r>
        <w:rPr>
          <w:rFonts w:hint="eastAsia" w:ascii="宋体" w:hAnsi="宋体" w:cs="宋体"/>
          <w:b/>
          <w:bCs/>
          <w:sz w:val="24"/>
          <w:szCs w:val="24"/>
          <w:lang w:val="en-US" w:eastAsia="zh-CN"/>
        </w:rPr>
        <w:t>服务内容</w:t>
      </w:r>
      <w:r>
        <w:rPr>
          <w:rFonts w:hint="eastAsia" w:ascii="宋体" w:hAnsi="宋体" w:eastAsia="宋体" w:cs="宋体"/>
          <w:sz w:val="24"/>
          <w:szCs w:val="24"/>
          <w:lang w:val="en-US" w:eastAsia="zh-CN"/>
        </w:rPr>
        <w:t>：</w:t>
      </w:r>
      <w:r>
        <w:rPr>
          <w:rFonts w:hint="eastAsia" w:ascii="宋体" w:hAnsi="宋体" w:cs="宋体"/>
          <w:sz w:val="24"/>
          <w:szCs w:val="24"/>
          <w:lang w:val="en-US" w:eastAsia="zh-CN"/>
        </w:rPr>
        <w:t>镇巴县安全生产智慧管控平台建设项目</w:t>
      </w:r>
      <w:r>
        <w:rPr>
          <w:rFonts w:hint="eastAsia" w:ascii="宋体" w:hAnsi="宋体" w:eastAsia="宋体" w:cs="宋体"/>
          <w:sz w:val="24"/>
          <w:szCs w:val="24"/>
          <w:lang w:val="en-US" w:eastAsia="zh-CN"/>
        </w:rPr>
        <w:t>。</w:t>
      </w:r>
    </w:p>
    <w:p w14:paraId="18FFABE4">
      <w:pPr>
        <w:keepNext w:val="0"/>
        <w:keepLines w:val="0"/>
        <w:pageBreakBefore w:val="0"/>
        <w:kinsoku/>
        <w:wordWrap/>
        <w:overflowPunct/>
        <w:topLinePunct w:val="0"/>
        <w:autoSpaceDE/>
        <w:autoSpaceDN/>
        <w:bidi w:val="0"/>
        <w:spacing w:line="360" w:lineRule="auto"/>
        <w:ind w:firstLine="482" w:firstLineChars="200"/>
        <w:rPr>
          <w:rFonts w:hint="eastAsia" w:ascii="宋体" w:hAnsi="宋体" w:eastAsia="宋体" w:cs="宋体"/>
          <w:sz w:val="24"/>
          <w:szCs w:val="24"/>
          <w:lang w:eastAsia="zh-CN"/>
        </w:rPr>
      </w:pPr>
      <w:r>
        <w:rPr>
          <w:rFonts w:hint="eastAsia" w:ascii="宋体" w:hAnsi="宋体" w:cs="宋体"/>
          <w:b/>
          <w:bCs/>
          <w:sz w:val="24"/>
          <w:szCs w:val="24"/>
          <w:lang w:val="en-US" w:eastAsia="zh-CN"/>
        </w:rPr>
        <w:t>2、质量标准：</w:t>
      </w:r>
      <w:r>
        <w:rPr>
          <w:rFonts w:hint="eastAsia" w:ascii="宋体" w:hAnsi="宋体" w:eastAsia="宋体" w:cs="宋体"/>
          <w:sz w:val="24"/>
          <w:szCs w:val="24"/>
        </w:rPr>
        <w:t>整个项目应符合国家有关规范和标准</w:t>
      </w:r>
      <w:r>
        <w:rPr>
          <w:rFonts w:hint="eastAsia" w:ascii="宋体" w:hAnsi="宋体" w:eastAsia="宋体" w:cs="宋体"/>
          <w:sz w:val="24"/>
          <w:szCs w:val="24"/>
          <w:lang w:eastAsia="zh-CN"/>
        </w:rPr>
        <w:t>。</w:t>
      </w:r>
    </w:p>
    <w:p w14:paraId="35041741">
      <w:pPr>
        <w:keepNext w:val="0"/>
        <w:keepLines w:val="0"/>
        <w:pageBreakBefore w:val="0"/>
        <w:widowControl/>
        <w:kinsoku/>
        <w:wordWrap/>
        <w:overflowPunct/>
        <w:topLinePunct w:val="0"/>
        <w:autoSpaceDE/>
        <w:autoSpaceDN/>
        <w:bidi w:val="0"/>
        <w:spacing w:line="360" w:lineRule="auto"/>
        <w:ind w:firstLine="482" w:firstLineChars="200"/>
        <w:jc w:val="left"/>
        <w:outlineLvl w:val="1"/>
        <w:rPr>
          <w:rFonts w:hint="eastAsia" w:ascii="宋体" w:hAnsi="宋体" w:eastAsia="宋体" w:cs="宋体"/>
          <w:b/>
          <w:sz w:val="24"/>
          <w:szCs w:val="24"/>
        </w:rPr>
      </w:pPr>
      <w:bookmarkStart w:id="21" w:name="_Toc20078"/>
      <w:r>
        <w:rPr>
          <w:rFonts w:hint="eastAsia" w:ascii="宋体" w:hAnsi="宋体" w:eastAsia="宋体" w:cs="宋体"/>
          <w:b/>
          <w:sz w:val="24"/>
          <w:szCs w:val="24"/>
        </w:rPr>
        <w:t>第四条  服务费用及支付方式</w:t>
      </w:r>
      <w:bookmarkEnd w:id="21"/>
    </w:p>
    <w:p w14:paraId="1EF11206">
      <w:pPr>
        <w:pStyle w:val="3"/>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1、服务费按下列比例支付价款</w:t>
      </w:r>
    </w:p>
    <w:p w14:paraId="63E66C96">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i w:val="0"/>
          <w:iCs w:val="0"/>
          <w:caps w:val="0"/>
          <w:spacing w:val="0"/>
          <w:sz w:val="24"/>
          <w:szCs w:val="24"/>
          <w:shd w:val="clear" w:color="auto" w:fill="FFFFFF"/>
        </w:rPr>
      </w:pPr>
      <w:r>
        <w:rPr>
          <w:rFonts w:hint="eastAsia" w:ascii="宋体" w:hAnsi="宋体" w:eastAsia="宋体" w:cs="宋体"/>
          <w:b w:val="0"/>
          <w:bCs w:val="0"/>
          <w:i w:val="0"/>
          <w:iCs w:val="0"/>
          <w:caps w:val="0"/>
          <w:spacing w:val="0"/>
          <w:sz w:val="24"/>
          <w:szCs w:val="24"/>
          <w:shd w:val="clear" w:color="auto" w:fill="FFFFFF"/>
        </w:rPr>
        <w:t>服务总费用为人民币（大写）：</w:t>
      </w:r>
      <w:r>
        <w:rPr>
          <w:rFonts w:hint="eastAsia" w:ascii="宋体" w:hAnsi="宋体" w:eastAsia="宋体" w:cs="宋体"/>
          <w:b w:val="0"/>
          <w:bCs w:val="0"/>
          <w:i w:val="0"/>
          <w:iCs w:val="0"/>
          <w:caps w:val="0"/>
          <w:spacing w:val="0"/>
          <w:sz w:val="24"/>
          <w:szCs w:val="24"/>
          <w:u w:val="single"/>
          <w:shd w:val="clear" w:color="auto" w:fill="FFFFFF"/>
          <w:lang w:val="en-US" w:eastAsia="zh-CN"/>
        </w:rPr>
        <w:t xml:space="preserve">      </w:t>
      </w:r>
      <w:r>
        <w:rPr>
          <w:rFonts w:hint="eastAsia" w:ascii="宋体" w:hAnsi="宋体" w:eastAsia="宋体" w:cs="宋体"/>
          <w:b w:val="0"/>
          <w:bCs w:val="0"/>
          <w:i w:val="0"/>
          <w:iCs w:val="0"/>
          <w:caps w:val="0"/>
          <w:spacing w:val="0"/>
          <w:sz w:val="24"/>
          <w:szCs w:val="24"/>
          <w:shd w:val="clear" w:color="auto" w:fill="FFFFFF"/>
        </w:rPr>
        <w:t>元，￥</w:t>
      </w:r>
      <w:r>
        <w:rPr>
          <w:rFonts w:hint="eastAsia" w:ascii="宋体" w:hAnsi="宋体" w:eastAsia="宋体" w:cs="宋体"/>
          <w:b w:val="0"/>
          <w:bCs w:val="0"/>
          <w:i w:val="0"/>
          <w:iCs w:val="0"/>
          <w:caps w:val="0"/>
          <w:spacing w:val="0"/>
          <w:sz w:val="24"/>
          <w:szCs w:val="24"/>
          <w:u w:val="single"/>
          <w:shd w:val="clear" w:color="auto" w:fill="FFFFFF"/>
        </w:rPr>
        <w:t xml:space="preserve"> </w:t>
      </w:r>
      <w:r>
        <w:rPr>
          <w:rFonts w:hint="eastAsia" w:ascii="宋体" w:hAnsi="宋体" w:eastAsia="宋体" w:cs="宋体"/>
          <w:b w:val="0"/>
          <w:bCs w:val="0"/>
          <w:i w:val="0"/>
          <w:iCs w:val="0"/>
          <w:caps w:val="0"/>
          <w:spacing w:val="0"/>
          <w:sz w:val="24"/>
          <w:szCs w:val="24"/>
          <w:u w:val="single"/>
          <w:shd w:val="clear" w:color="auto" w:fill="FFFFFF"/>
          <w:lang w:val="en-US" w:eastAsia="zh-CN"/>
        </w:rPr>
        <w:t xml:space="preserve">     </w:t>
      </w:r>
      <w:r>
        <w:rPr>
          <w:rFonts w:hint="eastAsia" w:ascii="宋体" w:hAnsi="宋体" w:cs="宋体"/>
          <w:b w:val="0"/>
          <w:bCs w:val="0"/>
          <w:i w:val="0"/>
          <w:iCs w:val="0"/>
          <w:caps w:val="0"/>
          <w:spacing w:val="0"/>
          <w:sz w:val="24"/>
          <w:szCs w:val="24"/>
          <w:u w:val="none"/>
          <w:shd w:val="clear" w:color="auto" w:fill="FFFFFF"/>
          <w:lang w:val="en-US" w:eastAsia="zh-CN"/>
        </w:rPr>
        <w:t>（含服务期结束后3年运行维护，每年</w:t>
      </w:r>
      <w:r>
        <w:rPr>
          <w:rFonts w:hint="eastAsia" w:ascii="宋体" w:hAnsi="宋体" w:cs="宋体"/>
          <w:b w:val="0"/>
          <w:bCs w:val="0"/>
          <w:i w:val="0"/>
          <w:iCs w:val="0"/>
          <w:caps w:val="0"/>
          <w:spacing w:val="0"/>
          <w:sz w:val="24"/>
          <w:szCs w:val="24"/>
          <w:u w:val="single"/>
          <w:shd w:val="clear" w:color="auto" w:fill="FFFFFF"/>
          <w:lang w:val="en-US" w:eastAsia="zh-CN"/>
        </w:rPr>
        <w:t xml:space="preserve">          </w:t>
      </w:r>
      <w:r>
        <w:rPr>
          <w:rFonts w:hint="eastAsia" w:ascii="宋体" w:hAnsi="宋体" w:cs="宋体"/>
          <w:b w:val="0"/>
          <w:bCs w:val="0"/>
          <w:i w:val="0"/>
          <w:iCs w:val="0"/>
          <w:caps w:val="0"/>
          <w:spacing w:val="0"/>
          <w:sz w:val="24"/>
          <w:szCs w:val="24"/>
          <w:u w:val="none"/>
          <w:shd w:val="clear" w:color="auto" w:fill="FFFFFF"/>
          <w:lang w:val="en-US" w:eastAsia="zh-CN"/>
        </w:rPr>
        <w:t>元）</w:t>
      </w:r>
      <w:r>
        <w:rPr>
          <w:rFonts w:hint="eastAsia" w:ascii="宋体" w:hAnsi="宋体" w:eastAsia="宋体" w:cs="宋体"/>
          <w:b w:val="0"/>
          <w:bCs w:val="0"/>
          <w:i w:val="0"/>
          <w:iCs w:val="0"/>
          <w:caps w:val="0"/>
          <w:spacing w:val="0"/>
          <w:sz w:val="24"/>
          <w:szCs w:val="24"/>
          <w:shd w:val="clear" w:color="auto" w:fill="FFFFFF"/>
        </w:rPr>
        <w:t>。</w:t>
      </w:r>
    </w:p>
    <w:p w14:paraId="074FBA34">
      <w:pPr>
        <w:pStyle w:val="21"/>
        <w:keepNext w:val="0"/>
        <w:keepLines w:val="0"/>
        <w:pageBreakBefore w:val="0"/>
        <w:kinsoku/>
        <w:wordWrap/>
        <w:overflowPunct/>
        <w:topLinePunct w:val="0"/>
        <w:autoSpaceDE/>
        <w:autoSpaceDN/>
        <w:bidi w:val="0"/>
        <w:spacing w:line="360" w:lineRule="auto"/>
        <w:ind w:firstLine="480" w:firstLineChars="2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支付方式：</w:t>
      </w:r>
    </w:p>
    <w:p w14:paraId="13300494">
      <w:pPr>
        <w:pStyle w:val="3"/>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0"/>
          <w:sz w:val="24"/>
          <w:szCs w:val="24"/>
          <w:lang w:val="en-US" w:eastAsia="zh-CN" w:bidi="ar-SA"/>
        </w:rPr>
      </w:pPr>
      <w:r>
        <w:rPr>
          <w:rFonts w:hint="eastAsia" w:ascii="宋体" w:hAnsi="宋体" w:eastAsia="宋体" w:cs="宋体"/>
          <w:b w:val="0"/>
          <w:bCs w:val="0"/>
          <w:kern w:val="0"/>
          <w:sz w:val="24"/>
          <w:szCs w:val="24"/>
          <w:lang w:val="en-US" w:eastAsia="zh-CN" w:bidi="ar-SA"/>
        </w:rPr>
        <w:t xml:space="preserve">1、 预付款，项⽬政府采购合同签订⽣效后，中标供应商完成项⽬⽅案深化设计、全部软硬件设备备货、项⽬实施 团队进场就位，提交合法有效等额发票后，达到付款条件起30个⼯作⽇内，⽀付合同总⾦额的30.0% </w:t>
      </w:r>
    </w:p>
    <w:p w14:paraId="40C3D28C">
      <w:pPr>
        <w:pStyle w:val="3"/>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0"/>
          <w:sz w:val="24"/>
          <w:szCs w:val="24"/>
          <w:lang w:val="en-US" w:eastAsia="zh-CN" w:bidi="ar-SA"/>
        </w:rPr>
      </w:pPr>
      <w:r>
        <w:rPr>
          <w:rFonts w:hint="eastAsia" w:ascii="宋体" w:hAnsi="宋体" w:eastAsia="宋体" w:cs="宋体"/>
          <w:b w:val="0"/>
          <w:bCs w:val="0"/>
          <w:kern w:val="0"/>
          <w:sz w:val="24"/>
          <w:szCs w:val="24"/>
          <w:lang w:val="en-US" w:eastAsia="zh-CN" w:bidi="ar-SA"/>
        </w:rPr>
        <w:t xml:space="preserve">2、 进度款，项⽬硬件设备安装部署、软件系统开发集成、功能联调全部完成，平台投⼊试运⾏，经建设单位组织 验收合格后，提交剩余对应⾦额合法有效发票，达到付款条件起30个⼯作⽇内，⽀付合同总⾦额的30.0% </w:t>
      </w:r>
    </w:p>
    <w:p w14:paraId="454C2E51">
      <w:pPr>
        <w:pStyle w:val="3"/>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0"/>
          <w:sz w:val="24"/>
          <w:szCs w:val="24"/>
          <w:lang w:val="en-US" w:eastAsia="zh-CN" w:bidi="ar-SA"/>
        </w:rPr>
      </w:pPr>
      <w:r>
        <w:rPr>
          <w:rFonts w:hint="eastAsia" w:ascii="宋体" w:hAnsi="宋体" w:eastAsia="宋体" w:cs="宋体"/>
          <w:b w:val="0"/>
          <w:bCs w:val="0"/>
          <w:kern w:val="0"/>
          <w:sz w:val="24"/>
          <w:szCs w:val="24"/>
          <w:lang w:val="en-US" w:eastAsia="zh-CN" w:bidi="ar-SA"/>
        </w:rPr>
        <w:t xml:space="preserve">3、 进度款，试运⾏期满、正式竣⼯验收通过，全套资料归档、运维交接完成，收票后⽀付，达到付款条件起30 个⼯作⽇内，⽀付合同总⾦额的35.0% </w:t>
      </w:r>
    </w:p>
    <w:p w14:paraId="19CDA703">
      <w:pPr>
        <w:pStyle w:val="3"/>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0"/>
          <w:sz w:val="24"/>
          <w:szCs w:val="24"/>
          <w:lang w:val="en-US" w:eastAsia="zh-CN" w:bidi="ar-SA"/>
        </w:rPr>
      </w:pPr>
      <w:r>
        <w:rPr>
          <w:rFonts w:hint="eastAsia" w:ascii="宋体" w:hAnsi="宋体" w:eastAsia="宋体" w:cs="宋体"/>
          <w:b w:val="0"/>
          <w:bCs w:val="0"/>
          <w:kern w:val="0"/>
          <w:sz w:val="24"/>
          <w:szCs w:val="24"/>
          <w:lang w:val="en-US" w:eastAsia="zh-CN" w:bidi="ar-SA"/>
        </w:rPr>
        <w:t>4、 进度款，质保期届满，⽆质量问题、⽆运维投诉，⽆息付清，达到付款条件起30个⼯作⽇内，⽀付合同总⾦额的5.0%</w:t>
      </w:r>
    </w:p>
    <w:p w14:paraId="76508DC3">
      <w:pPr>
        <w:pStyle w:val="3"/>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0"/>
          <w:sz w:val="24"/>
          <w:szCs w:val="24"/>
          <w:lang w:val="en-US" w:eastAsia="zh-CN" w:bidi="ar-SA"/>
        </w:rPr>
      </w:pPr>
      <w:r>
        <w:rPr>
          <w:rFonts w:hint="eastAsia" w:ascii="宋体" w:hAnsi="宋体" w:eastAsia="宋体" w:cs="宋体"/>
          <w:b w:val="0"/>
          <w:bCs w:val="0"/>
          <w:kern w:val="0"/>
          <w:sz w:val="24"/>
          <w:szCs w:val="24"/>
          <w:lang w:val="en-US" w:eastAsia="zh-CN" w:bidi="ar-SA"/>
        </w:rPr>
        <w:t>4、结算方式：银行转账</w:t>
      </w:r>
    </w:p>
    <w:p w14:paraId="21CC4735">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rPr>
      </w:pPr>
      <w:r>
        <w:rPr>
          <w:rFonts w:hint="eastAsia" w:ascii="宋体" w:hAnsi="宋体" w:cs="宋体"/>
          <w:kern w:val="0"/>
          <w:sz w:val="24"/>
          <w:szCs w:val="24"/>
          <w:lang w:val="en-US" w:eastAsia="zh-CN"/>
        </w:rPr>
        <w:t>3</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乙方收款账户</w:t>
      </w:r>
    </w:p>
    <w:p w14:paraId="34AFEE6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 xml:space="preserve">账户名称：                 </w:t>
      </w:r>
    </w:p>
    <w:p w14:paraId="4B1E0B7F">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 xml:space="preserve">开户银行：                  </w:t>
      </w:r>
    </w:p>
    <w:p w14:paraId="2D34CF1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kern w:val="0"/>
          <w:sz w:val="24"/>
          <w:szCs w:val="24"/>
        </w:rPr>
        <w:t>银行账号：</w:t>
      </w:r>
      <w:r>
        <w:rPr>
          <w:rFonts w:hint="eastAsia" w:ascii="宋体" w:hAnsi="宋体" w:eastAsia="宋体" w:cs="宋体"/>
          <w:kern w:val="0"/>
          <w:sz w:val="24"/>
          <w:szCs w:val="24"/>
          <w:lang w:val="en-US" w:eastAsia="zh-CN"/>
        </w:rPr>
        <w:t xml:space="preserve">                  </w:t>
      </w:r>
    </w:p>
    <w:p w14:paraId="33C43B1B">
      <w:pPr>
        <w:keepNext w:val="0"/>
        <w:keepLines w:val="0"/>
        <w:pageBreakBefore w:val="0"/>
        <w:kinsoku/>
        <w:wordWrap/>
        <w:overflowPunct/>
        <w:topLinePunct w:val="0"/>
        <w:autoSpaceDE/>
        <w:autoSpaceDN/>
        <w:bidi w:val="0"/>
        <w:spacing w:line="360" w:lineRule="auto"/>
        <w:ind w:firstLine="482" w:firstLineChars="200"/>
        <w:outlineLvl w:val="1"/>
        <w:rPr>
          <w:rFonts w:hint="eastAsia" w:ascii="宋体" w:hAnsi="宋体" w:eastAsia="宋体" w:cs="宋体"/>
          <w:b/>
          <w:color w:val="auto"/>
          <w:sz w:val="24"/>
          <w:szCs w:val="24"/>
        </w:rPr>
      </w:pPr>
      <w:bookmarkStart w:id="22" w:name="_Toc22959"/>
      <w:r>
        <w:rPr>
          <w:rFonts w:hint="eastAsia" w:ascii="宋体" w:hAnsi="宋体" w:eastAsia="宋体" w:cs="宋体"/>
          <w:b/>
          <w:color w:val="auto"/>
          <w:sz w:val="24"/>
          <w:szCs w:val="24"/>
        </w:rPr>
        <w:t>第五条  知识产权（若有）</w:t>
      </w:r>
      <w:bookmarkEnd w:id="22"/>
    </w:p>
    <w:p w14:paraId="2027956E">
      <w:pPr>
        <w:keepNext w:val="0"/>
        <w:keepLines w:val="0"/>
        <w:pageBreakBefore w:val="0"/>
        <w:tabs>
          <w:tab w:val="left" w:pos="1440"/>
        </w:tabs>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乙方应保证所提供的服务或其任何一部分均不会侵犯任何第三方的专利权、商标权或著作权。</w:t>
      </w:r>
    </w:p>
    <w:p w14:paraId="6C34EECB">
      <w:pPr>
        <w:keepNext w:val="0"/>
        <w:keepLines w:val="0"/>
        <w:pageBreakBefore w:val="0"/>
        <w:kinsoku/>
        <w:wordWrap/>
        <w:overflowPunct/>
        <w:topLinePunct w:val="0"/>
        <w:autoSpaceDE/>
        <w:autoSpaceDN/>
        <w:bidi w:val="0"/>
        <w:spacing w:line="360" w:lineRule="auto"/>
        <w:ind w:firstLine="482" w:firstLineChars="200"/>
        <w:outlineLvl w:val="1"/>
        <w:rPr>
          <w:rFonts w:hint="eastAsia" w:ascii="宋体" w:hAnsi="宋体" w:eastAsia="宋体" w:cs="宋体"/>
          <w:b/>
          <w:color w:val="auto"/>
          <w:sz w:val="24"/>
          <w:szCs w:val="24"/>
        </w:rPr>
      </w:pPr>
      <w:bookmarkStart w:id="23" w:name="_Toc31647"/>
      <w:r>
        <w:rPr>
          <w:rFonts w:hint="eastAsia" w:ascii="宋体" w:hAnsi="宋体" w:eastAsia="宋体" w:cs="宋体"/>
          <w:b/>
          <w:color w:val="auto"/>
          <w:sz w:val="24"/>
          <w:szCs w:val="24"/>
        </w:rPr>
        <w:t>第六条  无产权瑕疵条款（如有）</w:t>
      </w:r>
      <w:bookmarkEnd w:id="23"/>
    </w:p>
    <w:p w14:paraId="25ABA474">
      <w:pPr>
        <w:keepNext w:val="0"/>
        <w:keepLines w:val="0"/>
        <w:pageBreakBefore w:val="0"/>
        <w:tabs>
          <w:tab w:val="left" w:pos="1440"/>
        </w:tabs>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乙方保证所提供的服务的所有权完全属于乙方且无任何抵押、查封等产权瑕疵。如有产权瑕疵的，视为乙方违约。乙方应负担由此而产生的一切损失。</w:t>
      </w:r>
    </w:p>
    <w:p w14:paraId="7A20CF94">
      <w:pPr>
        <w:keepNext w:val="0"/>
        <w:keepLines w:val="0"/>
        <w:pageBreakBefore w:val="0"/>
        <w:widowControl/>
        <w:kinsoku/>
        <w:wordWrap/>
        <w:overflowPunct/>
        <w:topLinePunct w:val="0"/>
        <w:autoSpaceDE/>
        <w:autoSpaceDN/>
        <w:bidi w:val="0"/>
        <w:spacing w:line="360" w:lineRule="auto"/>
        <w:ind w:firstLine="482" w:firstLineChars="200"/>
        <w:jc w:val="left"/>
        <w:outlineLvl w:val="1"/>
        <w:rPr>
          <w:rFonts w:hint="eastAsia" w:ascii="宋体" w:hAnsi="宋体" w:eastAsia="宋体" w:cs="宋体"/>
          <w:b/>
          <w:color w:val="auto"/>
          <w:sz w:val="24"/>
          <w:szCs w:val="24"/>
        </w:rPr>
      </w:pPr>
      <w:bookmarkStart w:id="24" w:name="_Toc4779"/>
      <w:r>
        <w:rPr>
          <w:rFonts w:hint="eastAsia" w:ascii="宋体" w:hAnsi="宋体" w:eastAsia="宋体" w:cs="宋体"/>
          <w:b/>
          <w:color w:val="auto"/>
          <w:sz w:val="24"/>
          <w:szCs w:val="24"/>
        </w:rPr>
        <w:t>第七条  履约保证金（如有）</w:t>
      </w:r>
      <w:bookmarkEnd w:id="24"/>
    </w:p>
    <w:p w14:paraId="13C5F0EE">
      <w:pPr>
        <w:keepNext w:val="0"/>
        <w:keepLines w:val="0"/>
        <w:pageBreakBefore w:val="0"/>
        <w:widowControl/>
        <w:kinsoku/>
        <w:wordWrap/>
        <w:overflowPunct/>
        <w:topLinePunct w:val="0"/>
        <w:autoSpaceDE/>
        <w:autoSpaceDN/>
        <w:bidi w:val="0"/>
        <w:spacing w:line="360" w:lineRule="auto"/>
        <w:ind w:firstLine="480" w:firstLineChars="200"/>
        <w:jc w:val="left"/>
        <w:rPr>
          <w:rFonts w:hint="eastAsia" w:ascii="宋体" w:hAnsi="宋体" w:eastAsia="宋体" w:cs="宋体"/>
          <w:b/>
          <w:color w:val="auto"/>
          <w:sz w:val="24"/>
          <w:szCs w:val="24"/>
        </w:rPr>
      </w:pPr>
      <w:r>
        <w:rPr>
          <w:rFonts w:hint="eastAsia" w:ascii="宋体" w:hAnsi="宋体" w:eastAsia="宋体" w:cs="宋体"/>
          <w:color w:val="auto"/>
          <w:kern w:val="0"/>
          <w:sz w:val="24"/>
          <w:szCs w:val="24"/>
        </w:rPr>
        <w:t>1.乙方在签订本合同之前，向甲方构提交履约保证金人民币</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元，</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p>
    <w:p w14:paraId="027E33FB">
      <w:pPr>
        <w:keepNext w:val="0"/>
        <w:keepLines w:val="0"/>
        <w:pageBreakBefore w:val="0"/>
        <w:widowControl/>
        <w:kinsoku/>
        <w:wordWrap/>
        <w:overflowPunct/>
        <w:topLinePunct w:val="0"/>
        <w:autoSpaceDE/>
        <w:autoSpaceDN/>
        <w:bidi w:val="0"/>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bCs/>
          <w:color w:val="auto"/>
          <w:sz w:val="24"/>
          <w:szCs w:val="24"/>
        </w:rPr>
        <w:t>2.</w:t>
      </w:r>
      <w:r>
        <w:rPr>
          <w:rFonts w:hint="eastAsia" w:ascii="宋体" w:hAnsi="宋体" w:eastAsia="宋体" w:cs="宋体"/>
          <w:color w:val="auto"/>
          <w:kern w:val="0"/>
          <w:sz w:val="24"/>
          <w:szCs w:val="24"/>
        </w:rPr>
        <w:t>履约保证金的有效期为乙方承诺的服务期限。</w:t>
      </w:r>
    </w:p>
    <w:p w14:paraId="3A34DEEE">
      <w:pPr>
        <w:keepNext w:val="0"/>
        <w:keepLines w:val="0"/>
        <w:pageBreakBefore w:val="0"/>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3.履约保证金作为违约金的一部分及用于补偿甲方因乙方不能履行合同义务而蒙受的损失。</w:t>
      </w:r>
    </w:p>
    <w:p w14:paraId="66390BE4">
      <w:pPr>
        <w:keepNext w:val="0"/>
        <w:keepLines w:val="0"/>
        <w:pageBreakBefore w:val="0"/>
        <w:widowControl/>
        <w:kinsoku/>
        <w:wordWrap/>
        <w:overflowPunct/>
        <w:topLinePunct w:val="0"/>
        <w:autoSpaceDE/>
        <w:autoSpaceDN/>
        <w:bidi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kern w:val="0"/>
          <w:sz w:val="24"/>
          <w:szCs w:val="24"/>
        </w:rPr>
        <w:t>4.</w:t>
      </w:r>
      <w:r>
        <w:rPr>
          <w:rFonts w:hint="eastAsia" w:ascii="宋体" w:hAnsi="宋体" w:eastAsia="宋体" w:cs="宋体"/>
          <w:color w:val="auto"/>
          <w:sz w:val="24"/>
          <w:szCs w:val="24"/>
        </w:rPr>
        <w:t>服务期限结束后，甲方财务部门接到甲方确认本合同服务等约定事项已经履行完毕的正式书面文件后的</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日内，向乙方退还履约保证金。</w:t>
      </w:r>
    </w:p>
    <w:p w14:paraId="132C8F78">
      <w:pPr>
        <w:keepNext w:val="0"/>
        <w:keepLines w:val="0"/>
        <w:pageBreakBefore w:val="0"/>
        <w:widowControl/>
        <w:kinsoku/>
        <w:wordWrap/>
        <w:overflowPunct/>
        <w:topLinePunct w:val="0"/>
        <w:autoSpaceDE/>
        <w:autoSpaceDN/>
        <w:bidi w:val="0"/>
        <w:spacing w:line="360" w:lineRule="auto"/>
        <w:ind w:firstLine="480" w:firstLineChars="200"/>
        <w:jc w:val="left"/>
        <w:rPr>
          <w:rFonts w:hint="eastAsia" w:ascii="宋体" w:hAnsi="宋体" w:eastAsia="宋体" w:cs="宋体"/>
          <w:bCs/>
          <w:color w:val="auto"/>
          <w:sz w:val="24"/>
          <w:szCs w:val="24"/>
        </w:rPr>
      </w:pPr>
      <w:r>
        <w:rPr>
          <w:rFonts w:hint="eastAsia" w:ascii="宋体" w:hAnsi="宋体" w:eastAsia="宋体" w:cs="宋体"/>
          <w:color w:val="auto"/>
          <w:sz w:val="24"/>
          <w:szCs w:val="24"/>
        </w:rPr>
        <w:t>5.乙方可以履约担保函的形式交纳履约保证金。</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5FF33D5B">
      <w:pPr>
        <w:keepNext w:val="0"/>
        <w:keepLines w:val="0"/>
        <w:pageBreakBefore w:val="0"/>
        <w:kinsoku/>
        <w:wordWrap/>
        <w:overflowPunct/>
        <w:topLinePunct w:val="0"/>
        <w:autoSpaceDE/>
        <w:autoSpaceDN/>
        <w:bidi w:val="0"/>
        <w:spacing w:line="360" w:lineRule="auto"/>
        <w:ind w:left="426"/>
        <w:outlineLvl w:val="1"/>
        <w:rPr>
          <w:rFonts w:hint="eastAsia" w:ascii="宋体" w:hAnsi="宋体" w:eastAsia="宋体" w:cs="宋体"/>
          <w:b/>
          <w:color w:val="auto"/>
          <w:sz w:val="24"/>
          <w:szCs w:val="24"/>
        </w:rPr>
      </w:pPr>
      <w:bookmarkStart w:id="25" w:name="_Toc16162"/>
      <w:r>
        <w:rPr>
          <w:rFonts w:hint="eastAsia" w:ascii="宋体" w:hAnsi="宋体" w:eastAsia="宋体" w:cs="宋体"/>
          <w:b/>
          <w:color w:val="auto"/>
          <w:sz w:val="24"/>
          <w:szCs w:val="24"/>
        </w:rPr>
        <w:t>第八条  甲方的权利和义务</w:t>
      </w:r>
      <w:bookmarkEnd w:id="25"/>
    </w:p>
    <w:p w14:paraId="47861C3A">
      <w:pPr>
        <w:keepNext w:val="0"/>
        <w:keepLines w:val="0"/>
        <w:pageBreakBefore w:val="0"/>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1.甲方有权对合同规定范围内乙方的服务行为进行监督和检查，拥有监管权。有权定期核对乙方提供服务所配备的人员数量。对甲方认为不合理的部分有权下达整改通知书，并要求乙方限期整改。</w:t>
      </w:r>
    </w:p>
    <w:p w14:paraId="29DD2D58">
      <w:pPr>
        <w:keepNext w:val="0"/>
        <w:keepLines w:val="0"/>
        <w:pageBreakBefore w:val="0"/>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2.负责检查监督乙方管理工作的实施及制度的执行情况。</w:t>
      </w:r>
    </w:p>
    <w:p w14:paraId="1EA2E6B0">
      <w:pPr>
        <w:keepNext w:val="0"/>
        <w:keepLines w:val="0"/>
        <w:pageBreakBefore w:val="0"/>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3.根据本合同规定，按时向乙方支付应付服务费用。</w:t>
      </w:r>
    </w:p>
    <w:p w14:paraId="29CDC53C">
      <w:pPr>
        <w:keepNext w:val="0"/>
        <w:keepLines w:val="0"/>
        <w:pageBreakBefore w:val="0"/>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4.国家法律、法规所规定由甲方承担的其它责任。</w:t>
      </w:r>
    </w:p>
    <w:p w14:paraId="13DD6CDA">
      <w:pPr>
        <w:keepNext w:val="0"/>
        <w:keepLines w:val="0"/>
        <w:pageBreakBefore w:val="0"/>
        <w:kinsoku/>
        <w:wordWrap/>
        <w:overflowPunct/>
        <w:topLinePunct w:val="0"/>
        <w:autoSpaceDE/>
        <w:autoSpaceDN/>
        <w:bidi w:val="0"/>
        <w:spacing w:line="360" w:lineRule="auto"/>
        <w:ind w:left="426"/>
        <w:outlineLvl w:val="1"/>
        <w:rPr>
          <w:rFonts w:hint="eastAsia" w:ascii="宋体" w:hAnsi="宋体" w:eastAsia="宋体" w:cs="宋体"/>
          <w:b/>
          <w:color w:val="auto"/>
          <w:sz w:val="24"/>
          <w:szCs w:val="24"/>
        </w:rPr>
      </w:pPr>
      <w:bookmarkStart w:id="26" w:name="_Toc27740"/>
      <w:r>
        <w:rPr>
          <w:rFonts w:hint="eastAsia" w:ascii="宋体" w:hAnsi="宋体" w:eastAsia="宋体" w:cs="宋体"/>
          <w:b/>
          <w:color w:val="auto"/>
          <w:sz w:val="24"/>
          <w:szCs w:val="24"/>
        </w:rPr>
        <w:t>第九条  乙方的权利和义务</w:t>
      </w:r>
      <w:bookmarkEnd w:id="26"/>
    </w:p>
    <w:p w14:paraId="324921E0">
      <w:pPr>
        <w:keepNext w:val="0"/>
        <w:keepLines w:val="0"/>
        <w:pageBreakBefore w:val="0"/>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1.对本合同规定的委托服务范围内的项目享有管理权及服务义务。</w:t>
      </w:r>
    </w:p>
    <w:p w14:paraId="01837786">
      <w:pPr>
        <w:keepNext w:val="0"/>
        <w:keepLines w:val="0"/>
        <w:pageBreakBefore w:val="0"/>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2.根据本合同的规定向甲方收取相关服务费用，并有权在本项目管理范围内管理及合理使用。</w:t>
      </w:r>
    </w:p>
    <w:p w14:paraId="5AFC6935">
      <w:pPr>
        <w:keepNext w:val="0"/>
        <w:keepLines w:val="0"/>
        <w:pageBreakBefore w:val="0"/>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3.及时向甲方通告本项目服务范围内有关服务的重大事项，及时配合处理投诉。</w:t>
      </w:r>
    </w:p>
    <w:p w14:paraId="4C5880F4">
      <w:pPr>
        <w:keepNext w:val="0"/>
        <w:keepLines w:val="0"/>
        <w:pageBreakBefore w:val="0"/>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color w:val="auto"/>
          <w:sz w:val="24"/>
          <w:szCs w:val="24"/>
        </w:rPr>
        <w:t>4.</w:t>
      </w:r>
      <w:r>
        <w:rPr>
          <w:rFonts w:hint="eastAsia" w:ascii="宋体" w:hAnsi="宋体" w:eastAsia="宋体" w:cs="宋体"/>
          <w:bCs/>
          <w:color w:val="auto"/>
          <w:sz w:val="24"/>
          <w:szCs w:val="24"/>
        </w:rPr>
        <w:t>接受项目行业管理部门及政府有关部门的指导，接受甲方的监督。</w:t>
      </w:r>
    </w:p>
    <w:p w14:paraId="10175B93">
      <w:pPr>
        <w:keepNext w:val="0"/>
        <w:keepLines w:val="0"/>
        <w:pageBreakBefore w:val="0"/>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5.国家法律、法规所规定由乙方承担的其它责任。</w:t>
      </w:r>
    </w:p>
    <w:p w14:paraId="3CD13FB8">
      <w:pPr>
        <w:keepNext w:val="0"/>
        <w:keepLines w:val="0"/>
        <w:pageBreakBefore w:val="0"/>
        <w:kinsoku/>
        <w:wordWrap/>
        <w:overflowPunct/>
        <w:topLinePunct w:val="0"/>
        <w:autoSpaceDE/>
        <w:autoSpaceDN/>
        <w:bidi w:val="0"/>
        <w:spacing w:line="360" w:lineRule="auto"/>
        <w:ind w:left="426"/>
        <w:outlineLvl w:val="1"/>
        <w:rPr>
          <w:rFonts w:hint="eastAsia" w:ascii="宋体" w:hAnsi="宋体" w:eastAsia="宋体" w:cs="宋体"/>
          <w:b/>
          <w:color w:val="auto"/>
          <w:sz w:val="24"/>
          <w:szCs w:val="24"/>
        </w:rPr>
      </w:pPr>
      <w:bookmarkStart w:id="27" w:name="_Toc25988"/>
      <w:r>
        <w:rPr>
          <w:rFonts w:hint="eastAsia" w:ascii="宋体" w:hAnsi="宋体" w:eastAsia="宋体" w:cs="宋体"/>
          <w:b/>
          <w:color w:val="auto"/>
          <w:sz w:val="24"/>
          <w:szCs w:val="24"/>
        </w:rPr>
        <w:t>第十条  违约责任</w:t>
      </w:r>
      <w:bookmarkEnd w:id="27"/>
    </w:p>
    <w:p w14:paraId="592D9418">
      <w:pPr>
        <w:keepNext w:val="0"/>
        <w:keepLines w:val="0"/>
        <w:pageBreakBefore w:val="0"/>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1.甲乙双方必须遵守本合同并执行合同中的各项规定，保证本合同的正常履行。</w:t>
      </w:r>
    </w:p>
    <w:p w14:paraId="00753A99">
      <w:pPr>
        <w:keepNext w:val="0"/>
        <w:keepLines w:val="0"/>
        <w:pageBreakBefore w:val="0"/>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bCs/>
          <w:sz w:val="24"/>
          <w:szCs w:val="24"/>
        </w:rPr>
      </w:pPr>
      <w:r>
        <w:rPr>
          <w:rFonts w:hint="eastAsia" w:ascii="宋体" w:hAnsi="宋体" w:eastAsia="宋体" w:cs="宋体"/>
          <w:bCs/>
          <w:sz w:val="24"/>
          <w:szCs w:val="24"/>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476E6497">
      <w:pPr>
        <w:keepNext w:val="0"/>
        <w:keepLines w:val="0"/>
        <w:pageBreakBefore w:val="0"/>
        <w:kinsoku/>
        <w:wordWrap/>
        <w:overflowPunct/>
        <w:topLinePunct w:val="0"/>
        <w:autoSpaceDE/>
        <w:autoSpaceDN/>
        <w:bidi w:val="0"/>
        <w:spacing w:line="360" w:lineRule="auto"/>
        <w:ind w:left="426"/>
        <w:outlineLvl w:val="1"/>
        <w:rPr>
          <w:rFonts w:hint="eastAsia" w:ascii="宋体" w:hAnsi="宋体" w:eastAsia="宋体" w:cs="宋体"/>
          <w:b/>
          <w:sz w:val="24"/>
          <w:szCs w:val="24"/>
        </w:rPr>
      </w:pPr>
      <w:bookmarkStart w:id="28" w:name="_Toc26448"/>
      <w:r>
        <w:rPr>
          <w:rFonts w:hint="eastAsia" w:ascii="宋体" w:hAnsi="宋体" w:eastAsia="宋体" w:cs="宋体"/>
          <w:b/>
          <w:sz w:val="24"/>
          <w:szCs w:val="24"/>
        </w:rPr>
        <w:t>第十一条  不可抗力事件处理</w:t>
      </w:r>
      <w:bookmarkEnd w:id="28"/>
    </w:p>
    <w:p w14:paraId="23CADF6C">
      <w:pPr>
        <w:keepNext w:val="0"/>
        <w:keepLines w:val="0"/>
        <w:pageBreakBefore w:val="0"/>
        <w:tabs>
          <w:tab w:val="left" w:pos="0"/>
        </w:tabs>
        <w:kinsoku/>
        <w:wordWrap/>
        <w:overflowPunct/>
        <w:topLinePunct w:val="0"/>
        <w:autoSpaceDE/>
        <w:autoSpaceDN/>
        <w:bidi w:val="0"/>
        <w:spacing w:line="360" w:lineRule="auto"/>
        <w:ind w:firstLine="480" w:firstLineChars="200"/>
        <w:rPr>
          <w:rFonts w:hint="eastAsia" w:ascii="宋体" w:hAnsi="宋体" w:eastAsia="宋体" w:cs="宋体"/>
          <w:sz w:val="24"/>
          <w:szCs w:val="24"/>
        </w:rPr>
      </w:pPr>
      <w:bookmarkStart w:id="29" w:name="_Toc185395254"/>
      <w:bookmarkStart w:id="30" w:name="_Toc239233919"/>
      <w:bookmarkStart w:id="31" w:name="_Toc286993792"/>
      <w:bookmarkStart w:id="32" w:name="_Toc241833908"/>
      <w:bookmarkStart w:id="33" w:name="_Toc251768867"/>
      <w:bookmarkStart w:id="34" w:name="_Toc247334846"/>
      <w:bookmarkStart w:id="35" w:name="_Toc239568423"/>
      <w:bookmarkStart w:id="36" w:name="_Toc211911353"/>
      <w:bookmarkStart w:id="37" w:name="_Toc225654649"/>
      <w:bookmarkStart w:id="38" w:name="_Toc238984980"/>
      <w:bookmarkStart w:id="39" w:name="_Toc237145411"/>
      <w:bookmarkStart w:id="40" w:name="_Toc212019599"/>
      <w:bookmarkStart w:id="41" w:name="_Toc211854454"/>
      <w:bookmarkStart w:id="42" w:name="_Toc225670756"/>
      <w:bookmarkStart w:id="43" w:name="_Toc232492933"/>
      <w:bookmarkStart w:id="44" w:name="_Toc225244857"/>
      <w:r>
        <w:rPr>
          <w:rFonts w:hint="eastAsia" w:ascii="宋体" w:hAnsi="宋体" w:eastAsia="宋体" w:cs="宋体"/>
          <w:sz w:val="24"/>
          <w:szCs w:val="24"/>
        </w:rPr>
        <w:t>1.在合同有效期内，任何一方因不可抗力事件导致不能履行合同，则合同履行期可延长，其延长期与不可抗力影响期相同。</w:t>
      </w:r>
    </w:p>
    <w:p w14:paraId="4CEC8B90">
      <w:pPr>
        <w:keepNext w:val="0"/>
        <w:keepLines w:val="0"/>
        <w:pageBreakBefore w:val="0"/>
        <w:tabs>
          <w:tab w:val="left" w:pos="0"/>
        </w:tabs>
        <w:kinsoku/>
        <w:wordWrap/>
        <w:overflowPunct/>
        <w:topLinePunct w:val="0"/>
        <w:autoSpaceDE/>
        <w:autoSpaceDN/>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2.不可抗力事件发生后，应立即通知对方，并寄送有关权威机构出具的证明。</w:t>
      </w:r>
    </w:p>
    <w:p w14:paraId="67C7BC2D">
      <w:pPr>
        <w:keepNext w:val="0"/>
        <w:keepLines w:val="0"/>
        <w:pageBreakBefore w:val="0"/>
        <w:tabs>
          <w:tab w:val="left" w:pos="0"/>
        </w:tabs>
        <w:kinsoku/>
        <w:wordWrap/>
        <w:overflowPunct/>
        <w:topLinePunct w:val="0"/>
        <w:autoSpaceDE/>
        <w:autoSpaceDN/>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3.不可抗力事件延续</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天以上，双方应通过友好协商，确定是否继续履行合同。</w:t>
      </w:r>
    </w:p>
    <w:p w14:paraId="150CD1EA">
      <w:pPr>
        <w:keepNext w:val="0"/>
        <w:keepLines w:val="0"/>
        <w:pageBreakBefore w:val="0"/>
        <w:widowControl/>
        <w:kinsoku/>
        <w:wordWrap/>
        <w:overflowPunct/>
        <w:topLinePunct w:val="0"/>
        <w:autoSpaceDE/>
        <w:autoSpaceDN/>
        <w:bidi w:val="0"/>
        <w:spacing w:before="120" w:beforeLines="50" w:after="120" w:afterLines="50" w:line="360" w:lineRule="auto"/>
        <w:ind w:firstLine="482" w:firstLineChars="200"/>
        <w:jc w:val="left"/>
        <w:outlineLvl w:val="1"/>
        <w:rPr>
          <w:rFonts w:hint="eastAsia" w:ascii="宋体" w:hAnsi="宋体" w:eastAsia="宋体" w:cs="宋体"/>
          <w:kern w:val="0"/>
          <w:sz w:val="24"/>
          <w:szCs w:val="24"/>
        </w:rPr>
      </w:pPr>
      <w:bookmarkStart w:id="45" w:name="_Toc20448"/>
      <w:r>
        <w:rPr>
          <w:rFonts w:hint="eastAsia" w:ascii="宋体" w:hAnsi="宋体" w:eastAsia="宋体" w:cs="宋体"/>
          <w:b/>
          <w:sz w:val="24"/>
          <w:szCs w:val="24"/>
        </w:rPr>
        <w:t xml:space="preserve">第十二条  </w:t>
      </w:r>
      <w:r>
        <w:rPr>
          <w:rFonts w:hint="eastAsia" w:ascii="宋体" w:hAnsi="宋体" w:eastAsia="宋体" w:cs="宋体"/>
          <w:b/>
          <w:kern w:val="0"/>
          <w:sz w:val="24"/>
          <w:szCs w:val="24"/>
        </w:rPr>
        <w:t>合同的变更和终止</w:t>
      </w:r>
      <w:bookmarkEnd w:id="45"/>
    </w:p>
    <w:p w14:paraId="1E9E9017">
      <w:pPr>
        <w:keepNext w:val="0"/>
        <w:keepLines w:val="0"/>
        <w:pageBreakBefore w:val="0"/>
        <w:widowControl/>
        <w:kinsoku/>
        <w:wordWrap/>
        <w:overflowPunct/>
        <w:topLinePunct w:val="0"/>
        <w:autoSpaceDE/>
        <w:autoSpaceDN/>
        <w:bidi w:val="0"/>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除《中华人民共和国政府采购法》第49条、第50条第二款规定的情形外，本合同一经签订，甲乙双方不得擅自变更、中止或终止合同。</w:t>
      </w:r>
    </w:p>
    <w:p w14:paraId="7EBC3E92">
      <w:pPr>
        <w:keepNext w:val="0"/>
        <w:keepLines w:val="0"/>
        <w:pageBreakBefore w:val="0"/>
        <w:kinsoku/>
        <w:wordWrap/>
        <w:overflowPunct/>
        <w:topLinePunct w:val="0"/>
        <w:autoSpaceDE/>
        <w:autoSpaceDN/>
        <w:bidi w:val="0"/>
        <w:spacing w:line="360" w:lineRule="auto"/>
        <w:ind w:left="426"/>
        <w:outlineLvl w:val="1"/>
        <w:rPr>
          <w:rFonts w:hint="eastAsia" w:ascii="宋体" w:hAnsi="宋体" w:eastAsia="宋体" w:cs="宋体"/>
          <w:b/>
          <w:sz w:val="24"/>
          <w:szCs w:val="24"/>
        </w:rPr>
      </w:pPr>
      <w:bookmarkStart w:id="46" w:name="_Toc32004"/>
      <w:r>
        <w:rPr>
          <w:rFonts w:hint="eastAsia" w:ascii="宋体" w:hAnsi="宋体" w:eastAsia="宋体" w:cs="宋体"/>
          <w:b/>
          <w:sz w:val="24"/>
          <w:szCs w:val="24"/>
        </w:rPr>
        <w:t>第十三条  解决合同纠纷的方式</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6"/>
    </w:p>
    <w:p w14:paraId="5FF98BD5">
      <w:pPr>
        <w:pStyle w:val="19"/>
        <w:keepNext w:val="0"/>
        <w:keepLines w:val="0"/>
        <w:pageBreakBefore w:val="0"/>
        <w:kinsoku/>
        <w:wordWrap/>
        <w:overflowPunct/>
        <w:topLinePunct w:val="0"/>
        <w:autoSpaceDE/>
        <w:autoSpaceDN/>
        <w:bidi w:val="0"/>
        <w:spacing w:line="360" w:lineRule="auto"/>
        <w:ind w:firstLine="420"/>
        <w:rPr>
          <w:rFonts w:hint="eastAsia" w:ascii="宋体" w:hAnsi="宋体" w:eastAsia="宋体" w:cs="宋体"/>
          <w:kern w:val="0"/>
          <w:sz w:val="24"/>
          <w:szCs w:val="24"/>
        </w:rPr>
      </w:pPr>
      <w:r>
        <w:rPr>
          <w:rFonts w:hint="eastAsia" w:ascii="宋体" w:hAnsi="宋体" w:eastAsia="宋体" w:cs="宋体"/>
          <w:sz w:val="24"/>
          <w:szCs w:val="24"/>
        </w:rPr>
        <w:t>1、在执行本合同中发生的或与本合同有关的争端，双方应通过友好协商解决，经协商在</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天内不能达成协议时，</w:t>
      </w:r>
      <w:r>
        <w:rPr>
          <w:rFonts w:hint="eastAsia" w:ascii="宋体" w:hAnsi="宋体" w:eastAsia="宋体" w:cs="宋体"/>
          <w:kern w:val="0"/>
          <w:sz w:val="24"/>
          <w:szCs w:val="24"/>
        </w:rPr>
        <w:t>则采取以下第</w:t>
      </w:r>
      <w:r>
        <w:rPr>
          <w:rFonts w:hint="eastAsia" w:ascii="宋体" w:hAnsi="宋体" w:eastAsia="宋体" w:cs="宋体"/>
          <w:kern w:val="0"/>
          <w:sz w:val="24"/>
          <w:szCs w:val="24"/>
          <w:u w:val="single"/>
        </w:rPr>
        <w:t xml:space="preserve"> 1 </w:t>
      </w:r>
      <w:r>
        <w:rPr>
          <w:rFonts w:hint="eastAsia" w:ascii="宋体" w:hAnsi="宋体" w:eastAsia="宋体" w:cs="宋体"/>
          <w:kern w:val="0"/>
          <w:sz w:val="24"/>
          <w:szCs w:val="24"/>
        </w:rPr>
        <w:t>种方式解决争议：</w:t>
      </w:r>
    </w:p>
    <w:p w14:paraId="61CCA1D4">
      <w:pPr>
        <w:pStyle w:val="19"/>
        <w:keepNext w:val="0"/>
        <w:keepLines w:val="0"/>
        <w:pageBreakBefore w:val="0"/>
        <w:kinsoku/>
        <w:wordWrap/>
        <w:overflowPunct/>
        <w:topLinePunct w:val="0"/>
        <w:autoSpaceDE/>
        <w:autoSpaceDN/>
        <w:bidi w:val="0"/>
        <w:spacing w:line="360" w:lineRule="auto"/>
        <w:ind w:firstLine="420"/>
        <w:rPr>
          <w:rFonts w:hint="eastAsia" w:ascii="宋体" w:hAnsi="宋体" w:eastAsia="宋体" w:cs="宋体"/>
          <w:kern w:val="0"/>
          <w:sz w:val="24"/>
          <w:szCs w:val="24"/>
        </w:rPr>
      </w:pPr>
      <w:r>
        <w:rPr>
          <w:rFonts w:hint="eastAsia" w:ascii="宋体" w:hAnsi="宋体" w:eastAsia="宋体" w:cs="宋体"/>
          <w:kern w:val="0"/>
          <w:sz w:val="24"/>
          <w:szCs w:val="24"/>
        </w:rPr>
        <w:t>（1）向甲方所在地有管辖权的人民法院提起诉讼；</w:t>
      </w:r>
    </w:p>
    <w:p w14:paraId="6D3044D5">
      <w:pPr>
        <w:pStyle w:val="19"/>
        <w:keepNext w:val="0"/>
        <w:keepLines w:val="0"/>
        <w:pageBreakBefore w:val="0"/>
        <w:kinsoku/>
        <w:wordWrap/>
        <w:overflowPunct/>
        <w:topLinePunct w:val="0"/>
        <w:autoSpaceDE/>
        <w:autoSpaceDN/>
        <w:bidi w:val="0"/>
        <w:spacing w:line="360" w:lineRule="auto"/>
        <w:ind w:firstLine="420"/>
        <w:rPr>
          <w:rFonts w:hint="eastAsia" w:ascii="宋体" w:hAnsi="宋体" w:eastAsia="宋体" w:cs="宋体"/>
          <w:kern w:val="0"/>
          <w:sz w:val="24"/>
          <w:szCs w:val="24"/>
        </w:rPr>
      </w:pPr>
      <w:r>
        <w:rPr>
          <w:rFonts w:hint="eastAsia" w:ascii="宋体" w:hAnsi="宋体" w:eastAsia="宋体" w:cs="宋体"/>
          <w:kern w:val="0"/>
          <w:sz w:val="24"/>
          <w:szCs w:val="24"/>
        </w:rPr>
        <w:t>（2）向</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仲裁委员会按其仲裁规则申请仲裁。</w:t>
      </w:r>
    </w:p>
    <w:p w14:paraId="178763C4">
      <w:pPr>
        <w:keepNext w:val="0"/>
        <w:keepLines w:val="0"/>
        <w:pageBreakBefore w:val="0"/>
        <w:tabs>
          <w:tab w:val="left" w:pos="0"/>
        </w:tabs>
        <w:kinsoku/>
        <w:wordWrap/>
        <w:overflowPunct/>
        <w:topLinePunct w:val="0"/>
        <w:autoSpaceDE/>
        <w:autoSpaceDN/>
        <w:bidi w:val="0"/>
        <w:spacing w:line="360" w:lineRule="auto"/>
        <w:ind w:firstLine="480" w:firstLineChars="200"/>
        <w:rPr>
          <w:rFonts w:hint="eastAsia" w:ascii="宋体" w:hAnsi="宋体" w:eastAsia="宋体" w:cs="宋体"/>
          <w:sz w:val="24"/>
          <w:szCs w:val="24"/>
        </w:rPr>
      </w:pPr>
      <w:r>
        <w:rPr>
          <w:rFonts w:hint="eastAsia" w:ascii="宋体" w:hAnsi="宋体" w:eastAsia="宋体" w:cs="宋体"/>
          <w:kern w:val="0"/>
          <w:sz w:val="24"/>
          <w:szCs w:val="24"/>
        </w:rPr>
        <w:t>2、在仲裁期间，本合同应继续履行。</w:t>
      </w:r>
    </w:p>
    <w:p w14:paraId="69274063">
      <w:pPr>
        <w:keepNext w:val="0"/>
        <w:keepLines w:val="0"/>
        <w:pageBreakBefore w:val="0"/>
        <w:kinsoku/>
        <w:wordWrap/>
        <w:overflowPunct/>
        <w:topLinePunct w:val="0"/>
        <w:autoSpaceDE/>
        <w:autoSpaceDN/>
        <w:bidi w:val="0"/>
        <w:spacing w:line="360" w:lineRule="auto"/>
        <w:ind w:left="426"/>
        <w:outlineLvl w:val="1"/>
        <w:rPr>
          <w:rFonts w:hint="eastAsia" w:ascii="宋体" w:hAnsi="宋体" w:eastAsia="宋体" w:cs="宋体"/>
          <w:b/>
          <w:sz w:val="24"/>
          <w:szCs w:val="24"/>
        </w:rPr>
      </w:pPr>
      <w:bookmarkStart w:id="47" w:name="_Toc225670757"/>
      <w:bookmarkStart w:id="48" w:name="_Toc225244858"/>
      <w:bookmarkStart w:id="49" w:name="_Toc247334847"/>
      <w:bookmarkStart w:id="50" w:name="_Toc185395255"/>
      <w:bookmarkStart w:id="51" w:name="_Toc286993793"/>
      <w:bookmarkStart w:id="52" w:name="_Toc237145412"/>
      <w:bookmarkStart w:id="53" w:name="_Toc225654650"/>
      <w:bookmarkStart w:id="54" w:name="_Toc212019600"/>
      <w:bookmarkStart w:id="55" w:name="_Toc251768868"/>
      <w:bookmarkStart w:id="56" w:name="_Toc239233920"/>
      <w:bookmarkStart w:id="57" w:name="_Toc283019219"/>
      <w:bookmarkStart w:id="58" w:name="_Toc239568424"/>
      <w:bookmarkStart w:id="59" w:name="_Toc282696231"/>
      <w:bookmarkStart w:id="60" w:name="_Toc238984981"/>
      <w:bookmarkStart w:id="61" w:name="_Toc211911354"/>
      <w:bookmarkStart w:id="62" w:name="_Toc241833909"/>
      <w:bookmarkStart w:id="63" w:name="_Toc211854455"/>
      <w:bookmarkStart w:id="64" w:name="_Toc232492934"/>
      <w:bookmarkStart w:id="65" w:name="_Toc28433"/>
      <w:r>
        <w:rPr>
          <w:rFonts w:hint="eastAsia" w:ascii="宋体" w:hAnsi="宋体" w:eastAsia="宋体" w:cs="宋体"/>
          <w:b/>
          <w:sz w:val="24"/>
          <w:szCs w:val="24"/>
        </w:rPr>
        <w:t>第十四条  合同</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Pr>
          <w:rFonts w:hint="eastAsia" w:ascii="宋体" w:hAnsi="宋体" w:eastAsia="宋体" w:cs="宋体"/>
          <w:b/>
          <w:sz w:val="24"/>
          <w:szCs w:val="24"/>
        </w:rPr>
        <w:t>生效及其他</w:t>
      </w:r>
      <w:bookmarkEnd w:id="65"/>
    </w:p>
    <w:p w14:paraId="185BB2B4">
      <w:pPr>
        <w:pStyle w:val="21"/>
        <w:keepNext w:val="0"/>
        <w:keepLines w:val="0"/>
        <w:pageBreakBefore w:val="0"/>
        <w:kinsoku/>
        <w:wordWrap/>
        <w:overflowPunct/>
        <w:topLinePunct w:val="0"/>
        <w:autoSpaceDE/>
        <w:autoSpaceDN/>
        <w:bidi w:val="0"/>
        <w:spacing w:line="360" w:lineRule="auto"/>
        <w:rPr>
          <w:rFonts w:hint="eastAsia" w:ascii="宋体" w:hAnsi="宋体" w:eastAsia="宋体" w:cs="宋体"/>
          <w:sz w:val="24"/>
          <w:szCs w:val="24"/>
        </w:rPr>
      </w:pPr>
      <w:r>
        <w:rPr>
          <w:rFonts w:hint="eastAsia" w:ascii="宋体" w:hAnsi="宋体" w:eastAsia="宋体" w:cs="宋体"/>
          <w:sz w:val="24"/>
          <w:szCs w:val="24"/>
        </w:rPr>
        <w:t>1、合同经双方法定代表人（单位负责人）或授权委托代理人签字并加盖单位公章并由采购代理机构盖章后生效。</w:t>
      </w:r>
    </w:p>
    <w:p w14:paraId="7F00FA07">
      <w:pPr>
        <w:pStyle w:val="21"/>
        <w:keepNext w:val="0"/>
        <w:keepLines w:val="0"/>
        <w:pageBreakBefore w:val="0"/>
        <w:kinsoku/>
        <w:wordWrap/>
        <w:overflowPunct/>
        <w:topLinePunct w:val="0"/>
        <w:autoSpaceDE/>
        <w:autoSpaceDN/>
        <w:bidi w:val="0"/>
        <w:spacing w:line="360" w:lineRule="auto"/>
        <w:rPr>
          <w:rFonts w:hint="eastAsia" w:ascii="宋体" w:hAnsi="宋体" w:eastAsia="宋体" w:cs="宋体"/>
          <w:sz w:val="24"/>
          <w:szCs w:val="24"/>
        </w:rPr>
      </w:pPr>
      <w:r>
        <w:rPr>
          <w:rFonts w:hint="eastAsia" w:ascii="宋体" w:hAnsi="宋体" w:eastAsia="宋体" w:cs="宋体"/>
          <w:sz w:val="24"/>
          <w:szCs w:val="24"/>
        </w:rPr>
        <w:t>2、合同执行中涉及采购资金和采购内容修改或补充的，须经政府采购监管部门审批，并签书面补充协议报政府采购监督管理部门备案，方可作为主合同不可分割的一部分。</w:t>
      </w:r>
    </w:p>
    <w:p w14:paraId="2967F43E">
      <w:pPr>
        <w:pStyle w:val="21"/>
        <w:keepNext w:val="0"/>
        <w:keepLines w:val="0"/>
        <w:pageBreakBefore w:val="0"/>
        <w:kinsoku/>
        <w:wordWrap/>
        <w:overflowPunct/>
        <w:topLinePunct w:val="0"/>
        <w:autoSpaceDE/>
        <w:autoSpaceDN/>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3、本合同一式</w:t>
      </w:r>
      <w:r>
        <w:rPr>
          <w:rFonts w:hint="eastAsia" w:ascii="宋体" w:hAnsi="宋体" w:eastAsia="宋体" w:cs="宋体"/>
          <w:sz w:val="24"/>
          <w:szCs w:val="24"/>
          <w:highlight w:val="none"/>
          <w:lang w:val="en-US" w:eastAsia="zh-CN"/>
        </w:rPr>
        <w:t>陆</w:t>
      </w:r>
      <w:r>
        <w:rPr>
          <w:rFonts w:hint="eastAsia" w:ascii="宋体" w:hAnsi="宋体" w:eastAsia="宋体" w:cs="宋体"/>
          <w:sz w:val="24"/>
          <w:szCs w:val="24"/>
          <w:highlight w:val="none"/>
        </w:rPr>
        <w:t>份，自双方签章之日起起效。甲方</w:t>
      </w:r>
      <w:r>
        <w:rPr>
          <w:rFonts w:hint="eastAsia" w:ascii="宋体" w:hAnsi="宋体" w:eastAsia="宋体" w:cs="宋体"/>
          <w:sz w:val="24"/>
          <w:szCs w:val="24"/>
          <w:highlight w:val="none"/>
          <w:lang w:val="en-US" w:eastAsia="zh-CN"/>
        </w:rPr>
        <w:t>贰</w:t>
      </w:r>
      <w:r>
        <w:rPr>
          <w:rFonts w:hint="eastAsia" w:ascii="宋体" w:hAnsi="宋体" w:eastAsia="宋体" w:cs="宋体"/>
          <w:sz w:val="24"/>
          <w:szCs w:val="24"/>
          <w:highlight w:val="none"/>
        </w:rPr>
        <w:t>份，乙方</w:t>
      </w:r>
      <w:r>
        <w:rPr>
          <w:rFonts w:hint="eastAsia" w:ascii="宋体" w:hAnsi="宋体" w:eastAsia="宋体" w:cs="宋体"/>
          <w:sz w:val="24"/>
          <w:szCs w:val="24"/>
          <w:highlight w:val="none"/>
          <w:lang w:val="en-US" w:eastAsia="zh-CN"/>
        </w:rPr>
        <w:t>贰</w:t>
      </w:r>
      <w:r>
        <w:rPr>
          <w:rFonts w:hint="eastAsia" w:ascii="宋体" w:hAnsi="宋体" w:eastAsia="宋体" w:cs="宋体"/>
          <w:sz w:val="24"/>
          <w:szCs w:val="24"/>
          <w:highlight w:val="none"/>
        </w:rPr>
        <w:t>份，政府采购代理机构壹份，同级财政部门备案壹份，具有同等法律效力。</w:t>
      </w:r>
    </w:p>
    <w:p w14:paraId="289E064E">
      <w:pPr>
        <w:pStyle w:val="21"/>
        <w:keepNext w:val="0"/>
        <w:keepLines w:val="0"/>
        <w:pageBreakBefore w:val="0"/>
        <w:kinsoku/>
        <w:wordWrap/>
        <w:overflowPunct/>
        <w:topLinePunct w:val="0"/>
        <w:autoSpaceDE/>
        <w:autoSpaceDN/>
        <w:bidi w:val="0"/>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第十五条 附件</w:t>
      </w:r>
    </w:p>
    <w:p w14:paraId="17F65334">
      <w:pPr>
        <w:pStyle w:val="21"/>
        <w:keepNext w:val="0"/>
        <w:keepLines w:val="0"/>
        <w:pageBreakBefore w:val="0"/>
        <w:kinsoku/>
        <w:wordWrap/>
        <w:overflowPunct/>
        <w:topLinePunct w:val="0"/>
        <w:autoSpaceDE/>
        <w:autoSpaceDN/>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1、项目采购文件</w:t>
      </w:r>
    </w:p>
    <w:p w14:paraId="552F4003">
      <w:pPr>
        <w:pStyle w:val="21"/>
        <w:keepNext w:val="0"/>
        <w:keepLines w:val="0"/>
        <w:pageBreakBefore w:val="0"/>
        <w:kinsoku/>
        <w:wordWrap/>
        <w:overflowPunct/>
        <w:topLinePunct w:val="0"/>
        <w:autoSpaceDE/>
        <w:autoSpaceDN/>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2、项目修改澄清文件</w:t>
      </w:r>
    </w:p>
    <w:p w14:paraId="7DDD5FD3">
      <w:pPr>
        <w:pStyle w:val="21"/>
        <w:keepNext w:val="0"/>
        <w:keepLines w:val="0"/>
        <w:pageBreakBefore w:val="0"/>
        <w:kinsoku/>
        <w:wordWrap/>
        <w:overflowPunct/>
        <w:topLinePunct w:val="0"/>
        <w:autoSpaceDE/>
        <w:autoSpaceDN/>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3、项目</w:t>
      </w:r>
      <w:r>
        <w:rPr>
          <w:rFonts w:hint="eastAsia" w:ascii="宋体" w:hAnsi="宋体" w:cs="宋体"/>
          <w:sz w:val="24"/>
          <w:szCs w:val="24"/>
          <w:highlight w:val="none"/>
          <w:lang w:eastAsia="zh-CN"/>
        </w:rPr>
        <w:t>投标</w:t>
      </w:r>
      <w:r>
        <w:rPr>
          <w:rFonts w:hint="eastAsia" w:ascii="宋体" w:hAnsi="宋体" w:eastAsia="宋体" w:cs="宋体"/>
          <w:sz w:val="24"/>
          <w:szCs w:val="24"/>
          <w:highlight w:val="none"/>
        </w:rPr>
        <w:t>文件</w:t>
      </w:r>
    </w:p>
    <w:p w14:paraId="06DC7E17">
      <w:pPr>
        <w:pStyle w:val="21"/>
        <w:keepNext w:val="0"/>
        <w:keepLines w:val="0"/>
        <w:pageBreakBefore w:val="0"/>
        <w:kinsoku/>
        <w:wordWrap/>
        <w:overflowPunct/>
        <w:topLinePunct w:val="0"/>
        <w:autoSpaceDE/>
        <w:autoSpaceDN/>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4、</w:t>
      </w:r>
      <w:r>
        <w:rPr>
          <w:rFonts w:hint="eastAsia" w:ascii="宋体" w:hAnsi="宋体" w:cs="宋体"/>
          <w:sz w:val="24"/>
          <w:szCs w:val="24"/>
          <w:highlight w:val="none"/>
          <w:lang w:eastAsia="zh-CN"/>
        </w:rPr>
        <w:t>中标</w:t>
      </w:r>
      <w:bookmarkStart w:id="66" w:name="_GoBack"/>
      <w:bookmarkEnd w:id="66"/>
      <w:r>
        <w:rPr>
          <w:rFonts w:hint="eastAsia" w:ascii="宋体" w:hAnsi="宋体" w:eastAsia="宋体" w:cs="宋体"/>
          <w:sz w:val="24"/>
          <w:szCs w:val="24"/>
          <w:highlight w:val="none"/>
        </w:rPr>
        <w:t>通知书</w:t>
      </w:r>
    </w:p>
    <w:p w14:paraId="1B06AB14">
      <w:pPr>
        <w:pStyle w:val="21"/>
        <w:keepNext w:val="0"/>
        <w:keepLines w:val="0"/>
        <w:pageBreakBefore w:val="0"/>
        <w:kinsoku/>
        <w:wordWrap/>
        <w:overflowPunct/>
        <w:topLinePunct w:val="0"/>
        <w:autoSpaceDE/>
        <w:autoSpaceDN/>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5、其他</w:t>
      </w:r>
    </w:p>
    <w:p w14:paraId="108FDE4B">
      <w:pPr>
        <w:keepNext w:val="0"/>
        <w:keepLines w:val="0"/>
        <w:pageBreakBefore w:val="0"/>
        <w:kinsoku/>
        <w:wordWrap/>
        <w:overflowPunct/>
        <w:topLinePunct w:val="0"/>
        <w:autoSpaceDE/>
        <w:autoSpaceDN/>
        <w:bidi w:val="0"/>
        <w:spacing w:line="360" w:lineRule="auto"/>
        <w:jc w:val="right"/>
        <w:rPr>
          <w:rFonts w:hint="eastAsia" w:ascii="宋体" w:hAnsi="宋体" w:eastAsia="宋体" w:cs="宋体"/>
          <w:sz w:val="24"/>
          <w:szCs w:val="24"/>
          <w:highlight w:val="none"/>
        </w:rPr>
      </w:pPr>
    </w:p>
    <w:p w14:paraId="22284FCE">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此页无正文</w:t>
      </w:r>
      <w:r>
        <w:rPr>
          <w:rFonts w:hint="eastAsia" w:ascii="宋体" w:hAnsi="宋体" w:eastAsia="宋体" w:cs="宋体"/>
          <w:sz w:val="24"/>
          <w:szCs w:val="24"/>
          <w:lang w:eastAsia="zh-CN"/>
        </w:rPr>
        <w:t>）</w:t>
      </w:r>
    </w:p>
    <w:p w14:paraId="36DEF9E3">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sz w:val="24"/>
          <w:szCs w:val="24"/>
        </w:rPr>
      </w:pPr>
    </w:p>
    <w:p w14:paraId="06DBD938">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sz w:val="24"/>
          <w:szCs w:val="24"/>
        </w:rPr>
      </w:pPr>
    </w:p>
    <w:p w14:paraId="2EA6FBAE">
      <w:pPr>
        <w:keepNext w:val="0"/>
        <w:keepLines w:val="0"/>
        <w:pageBreakBefore w:val="0"/>
        <w:kinsoku/>
        <w:wordWrap/>
        <w:overflowPunct/>
        <w:topLinePunct w:val="0"/>
        <w:autoSpaceDE/>
        <w:autoSpaceDN/>
        <w:bidi w:val="0"/>
        <w:spacing w:line="360" w:lineRule="auto"/>
        <w:rPr>
          <w:rFonts w:hint="eastAsia" w:ascii="宋体" w:hAnsi="宋体" w:eastAsia="宋体" w:cs="宋体"/>
          <w:sz w:val="24"/>
          <w:szCs w:val="24"/>
        </w:rPr>
      </w:pPr>
    </w:p>
    <w:p w14:paraId="18D1C622">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甲方：   （盖章）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rPr>
        <w:t>乙方：   （盖章）</w:t>
      </w:r>
    </w:p>
    <w:p w14:paraId="3FD2669F">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法定代表人：（单位负责人）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法定代表人：（单位负责人）</w:t>
      </w:r>
    </w:p>
    <w:p w14:paraId="56FBEB45">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    址：                           地    址：</w:t>
      </w:r>
    </w:p>
    <w:p w14:paraId="273CBFF5">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开户银行：                           开户银行：</w:t>
      </w:r>
    </w:p>
    <w:p w14:paraId="446560DE">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账号：                               账号：</w:t>
      </w:r>
    </w:p>
    <w:p w14:paraId="6E1E9200">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电    话：                           电    话：</w:t>
      </w:r>
    </w:p>
    <w:p w14:paraId="179590D8">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传    真：                           传    真：</w:t>
      </w:r>
    </w:p>
    <w:p w14:paraId="2ACD7BF7">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签约日期：  年  月  日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lang w:val="en-US" w:eastAsia="zh-CN"/>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签约日期：  年  月  日</w:t>
      </w:r>
    </w:p>
    <w:p w14:paraId="55EA5785">
      <w:pPr>
        <w:pStyle w:val="10"/>
        <w:keepNext w:val="0"/>
        <w:keepLines w:val="0"/>
        <w:pageBreakBefore w:val="0"/>
        <w:kinsoku/>
        <w:wordWrap/>
        <w:overflowPunct/>
        <w:topLinePunct w:val="0"/>
        <w:autoSpaceDE/>
        <w:autoSpaceDN/>
        <w:bidi w:val="0"/>
        <w:spacing w:line="360" w:lineRule="auto"/>
        <w:rPr>
          <w:rFonts w:hint="eastAsia" w:ascii="宋体" w:hAnsi="宋体" w:eastAsia="宋体" w:cs="宋体"/>
          <w:sz w:val="24"/>
          <w:szCs w:val="24"/>
        </w:rPr>
      </w:pPr>
    </w:p>
    <w:p w14:paraId="7DABB07D">
      <w:pPr>
        <w:pStyle w:val="17"/>
        <w:rPr>
          <w:rFonts w:hint="eastAsia"/>
          <w:lang w:val="en-US" w:eastAsia="zh-Hans"/>
        </w:rPr>
      </w:pPr>
    </w:p>
    <w:sectPr>
      <w:footerReference r:id="rId3" w:type="default"/>
      <w:pgSz w:w="11906" w:h="16838"/>
      <w:pgMar w:top="1440" w:right="1080" w:bottom="1440" w:left="108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DejaVuSans">
    <w:altName w:val="AMGDT"/>
    <w:panose1 w:val="00000000000000000000"/>
    <w:charset w:val="00"/>
    <w:family w:val="auto"/>
    <w:pitch w:val="default"/>
    <w:sig w:usb0="00000000" w:usb1="00000000" w:usb2="00000000" w:usb3="00000000" w:csb0="00000000" w:csb1="00000000"/>
  </w:font>
  <w:font w:name="SourceHanSerifCNVF-Medium">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9315E">
    <w:pPr>
      <w:pStyle w:val="5"/>
      <w:spacing w:line="14" w:lineRule="auto"/>
      <w:rPr>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C9EA54">
                          <w:pPr>
                            <w:pStyle w:val="8"/>
                          </w:pPr>
                          <w:r>
                            <w:fldChar w:fldCharType="begin"/>
                          </w:r>
                          <w:r>
                            <w:instrText xml:space="preserve"> PAGE  \* MERGEFORMAT </w:instrText>
                          </w:r>
                          <w:r>
                            <w:fldChar w:fldCharType="separate"/>
                          </w:r>
                          <w:r>
                            <w:t>63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4DC9EA54">
                    <w:pPr>
                      <w:pStyle w:val="8"/>
                    </w:pPr>
                    <w:r>
                      <w:fldChar w:fldCharType="begin"/>
                    </w:r>
                    <w:r>
                      <w:instrText xml:space="preserve"> PAGE  \* MERGEFORMAT </w:instrText>
                    </w:r>
                    <w:r>
                      <w:fldChar w:fldCharType="separate"/>
                    </w:r>
                    <w:r>
                      <w:t>63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7693ED"/>
    <w:multiLevelType w:val="singleLevel"/>
    <w:tmpl w:val="1C7693ED"/>
    <w:lvl w:ilvl="0" w:tentative="0">
      <w:start w:val="2"/>
      <w:numFmt w:val="chineseCounting"/>
      <w:suff w:val="space"/>
      <w:lvlText w:val="第%1条"/>
      <w:lvlJc w:val="left"/>
      <w:rPr>
        <w:rFonts w:hint="eastAsia"/>
      </w:rPr>
    </w:lvl>
  </w:abstractNum>
  <w:abstractNum w:abstractNumId="1">
    <w:nsid w:val="52DAECE6"/>
    <w:multiLevelType w:val="singleLevel"/>
    <w:tmpl w:val="52DAECE6"/>
    <w:lvl w:ilvl="0" w:tentative="0">
      <w:start w:val="1"/>
      <w:numFmt w:val="chineseCounting"/>
      <w:suff w:val="space"/>
      <w:lvlText w:val="第%1条"/>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kZTVhZDhmYjRjMGEwYTQwZWQ4YmZkZjE5MDQ2MzAifQ=="/>
  </w:docVars>
  <w:rsids>
    <w:rsidRoot w:val="53B52B8D"/>
    <w:rsid w:val="014C025E"/>
    <w:rsid w:val="01773A97"/>
    <w:rsid w:val="01FC237C"/>
    <w:rsid w:val="04FD04C4"/>
    <w:rsid w:val="096629EA"/>
    <w:rsid w:val="09C3197A"/>
    <w:rsid w:val="09E47C9E"/>
    <w:rsid w:val="0A0B72F0"/>
    <w:rsid w:val="0BF07D8C"/>
    <w:rsid w:val="105318FC"/>
    <w:rsid w:val="13CB0C43"/>
    <w:rsid w:val="13E176DC"/>
    <w:rsid w:val="14A302EB"/>
    <w:rsid w:val="177F50ED"/>
    <w:rsid w:val="17911FD7"/>
    <w:rsid w:val="19490666"/>
    <w:rsid w:val="195E2E7C"/>
    <w:rsid w:val="19F079F5"/>
    <w:rsid w:val="1AEF0C53"/>
    <w:rsid w:val="1B05046C"/>
    <w:rsid w:val="1F78429F"/>
    <w:rsid w:val="21231F07"/>
    <w:rsid w:val="26CC58BB"/>
    <w:rsid w:val="291549BA"/>
    <w:rsid w:val="2AAB7B5C"/>
    <w:rsid w:val="2B4474F6"/>
    <w:rsid w:val="2BFF7D49"/>
    <w:rsid w:val="2C7F2067"/>
    <w:rsid w:val="2D177764"/>
    <w:rsid w:val="2D73359C"/>
    <w:rsid w:val="321F1F4B"/>
    <w:rsid w:val="328E2276"/>
    <w:rsid w:val="3448144B"/>
    <w:rsid w:val="347303D7"/>
    <w:rsid w:val="34EB7E53"/>
    <w:rsid w:val="3A1B3ECB"/>
    <w:rsid w:val="3AEE380C"/>
    <w:rsid w:val="3DC12FC4"/>
    <w:rsid w:val="40C37860"/>
    <w:rsid w:val="412F4931"/>
    <w:rsid w:val="43180256"/>
    <w:rsid w:val="44E40195"/>
    <w:rsid w:val="45EC27F3"/>
    <w:rsid w:val="46CC1837"/>
    <w:rsid w:val="4A9957C9"/>
    <w:rsid w:val="526565AE"/>
    <w:rsid w:val="53B52B8D"/>
    <w:rsid w:val="53E967C7"/>
    <w:rsid w:val="54897E87"/>
    <w:rsid w:val="5B2E4C90"/>
    <w:rsid w:val="5C72662F"/>
    <w:rsid w:val="5DE415F1"/>
    <w:rsid w:val="606D615B"/>
    <w:rsid w:val="617B2617"/>
    <w:rsid w:val="63DE1173"/>
    <w:rsid w:val="641A48ED"/>
    <w:rsid w:val="64C50F79"/>
    <w:rsid w:val="652C66C7"/>
    <w:rsid w:val="66A86D47"/>
    <w:rsid w:val="6B2C007D"/>
    <w:rsid w:val="6BE7760A"/>
    <w:rsid w:val="6CBA1BBE"/>
    <w:rsid w:val="70390390"/>
    <w:rsid w:val="706E4C9B"/>
    <w:rsid w:val="715524EF"/>
    <w:rsid w:val="73964E7A"/>
    <w:rsid w:val="74694A78"/>
    <w:rsid w:val="753B6A40"/>
    <w:rsid w:val="76655D2B"/>
    <w:rsid w:val="77BE04D4"/>
    <w:rsid w:val="77F79321"/>
    <w:rsid w:val="7A356A48"/>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9"/>
    <w:pPr>
      <w:keepNext/>
      <w:keepLines/>
      <w:ind w:firstLine="0" w:firstLineChars="0"/>
      <w:outlineLvl w:val="2"/>
    </w:pPr>
    <w:rPr>
      <w:b/>
      <w:bCs/>
      <w:szCs w:val="32"/>
    </w:rPr>
  </w:style>
  <w:style w:type="paragraph" w:styleId="3">
    <w:name w:val="heading 4"/>
    <w:basedOn w:val="1"/>
    <w:next w:val="1"/>
    <w:qFormat/>
    <w:uiPriority w:val="99"/>
    <w:pPr>
      <w:keepNext/>
      <w:keepLines/>
      <w:jc w:val="left"/>
      <w:outlineLvl w:val="3"/>
    </w:pPr>
    <w:rPr>
      <w:rFonts w:ascii="Arial" w:hAnsi="Arial" w:cs="Arial"/>
      <w:b/>
      <w:bCs/>
      <w:sz w:val="32"/>
      <w:szCs w:val="32"/>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styleId="5">
    <w:name w:val="Body Text"/>
    <w:basedOn w:val="1"/>
    <w:next w:val="1"/>
    <w:qFormat/>
    <w:uiPriority w:val="99"/>
    <w:pPr>
      <w:spacing w:after="120"/>
    </w:pPr>
  </w:style>
  <w:style w:type="paragraph" w:styleId="6">
    <w:name w:val="Body Text Indent"/>
    <w:basedOn w:val="1"/>
    <w:next w:val="1"/>
    <w:qFormat/>
    <w:uiPriority w:val="0"/>
    <w:pPr>
      <w:ind w:firstLine="630"/>
    </w:pPr>
    <w:rPr>
      <w:sz w:val="32"/>
      <w:szCs w:val="20"/>
    </w:rPr>
  </w:style>
  <w:style w:type="paragraph" w:styleId="7">
    <w:name w:val="Plain Text"/>
    <w:basedOn w:val="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39"/>
    <w:pPr>
      <w:tabs>
        <w:tab w:val="right" w:leader="dot" w:pos="9060"/>
      </w:tabs>
      <w:spacing w:line="720" w:lineRule="auto"/>
      <w:ind w:firstLine="0" w:firstLineChars="0"/>
    </w:pPr>
    <w:rPr>
      <w:rFonts w:ascii="Times New Roman" w:hAnsi="Times New Roman" w:eastAsia="宋体" w:cs="Times New Roman"/>
      <w:sz w:val="21"/>
    </w:rPr>
  </w:style>
  <w:style w:type="paragraph" w:styleId="11">
    <w:name w:val="Normal (Web)"/>
    <w:basedOn w:val="1"/>
    <w:qFormat/>
    <w:uiPriority w:val="0"/>
    <w:pPr>
      <w:spacing w:before="100" w:beforeAutospacing="1" w:after="100" w:afterAutospacing="1"/>
      <w:ind w:left="0" w:right="0"/>
      <w:jc w:val="left"/>
    </w:pPr>
    <w:rPr>
      <w:kern w:val="0"/>
      <w:sz w:val="24"/>
      <w:lang w:val="en-US" w:eastAsia="zh-CN"/>
    </w:rPr>
  </w:style>
  <w:style w:type="paragraph" w:styleId="12">
    <w:name w:val="Body Text First Indent"/>
    <w:basedOn w:val="5"/>
    <w:qFormat/>
    <w:uiPriority w:val="0"/>
    <w:pPr>
      <w:ind w:firstLine="420" w:firstLineChars="100"/>
    </w:pPr>
    <w:rPr>
      <w:szCs w:val="24"/>
    </w:rPr>
  </w:style>
  <w:style w:type="paragraph" w:styleId="13">
    <w:name w:val="Body Text First Indent 2"/>
    <w:basedOn w:val="6"/>
    <w:next w:val="4"/>
    <w:qFormat/>
    <w:uiPriority w:val="0"/>
    <w:pPr>
      <w:ind w:firstLine="420" w:firstLineChars="200"/>
    </w:pPr>
  </w:style>
  <w:style w:type="table" w:styleId="15">
    <w:name w:val="Table Grid"/>
    <w:basedOn w:val="14"/>
    <w:qFormat/>
    <w:uiPriority w:val="0"/>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paragraph" w:customStyle="1" w:styleId="18">
    <w:name w:val="Char1"/>
    <w:basedOn w:val="1"/>
    <w:qFormat/>
    <w:uiPriority w:val="0"/>
    <w:rPr>
      <w:szCs w:val="21"/>
    </w:rPr>
  </w:style>
  <w:style w:type="paragraph" w:customStyle="1" w:styleId="19">
    <w:name w:val="样式 首行缩进:  2 字符"/>
    <w:basedOn w:val="1"/>
    <w:qFormat/>
    <w:uiPriority w:val="0"/>
    <w:pPr>
      <w:spacing w:line="400" w:lineRule="exact"/>
      <w:ind w:firstLine="200" w:firstLineChars="200"/>
    </w:pPr>
    <w:rPr>
      <w:rFonts w:cs="宋体"/>
      <w:sz w:val="24"/>
    </w:rPr>
  </w:style>
  <w:style w:type="paragraph" w:customStyle="1" w:styleId="20">
    <w:name w:val="Char"/>
    <w:qFormat/>
    <w:uiPriority w:val="0"/>
    <w:pPr>
      <w:widowControl w:val="0"/>
      <w:spacing w:line="360" w:lineRule="auto"/>
      <w:ind w:firstLine="883" w:firstLineChars="200"/>
      <w:jc w:val="both"/>
    </w:pPr>
    <w:rPr>
      <w:rFonts w:ascii="Calibri" w:hAnsi="Calibri" w:eastAsia="仿宋" w:cs="Times New Roman"/>
      <w:kern w:val="2"/>
      <w:sz w:val="24"/>
      <w:szCs w:val="21"/>
      <w:lang w:val="en-US" w:eastAsia="zh-CN" w:bidi="ar-SA"/>
    </w:rPr>
  </w:style>
  <w:style w:type="paragraph" w:customStyle="1" w:styleId="21">
    <w:name w:val="List Paragraph"/>
    <w:basedOn w:val="1"/>
    <w:qFormat/>
    <w:uiPriority w:val="1"/>
    <w:pPr>
      <w:ind w:firstLine="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2032</Words>
  <Characters>2071</Characters>
  <Lines>0</Lines>
  <Paragraphs>0</Paragraphs>
  <TotalTime>8</TotalTime>
  <ScaleCrop>false</ScaleCrop>
  <LinksUpToDate>false</LinksUpToDate>
  <CharactersWithSpaces>2445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从66888开始</cp:lastModifiedBy>
  <cp:lastPrinted>2024-10-28T08:52:00Z</cp:lastPrinted>
  <dcterms:modified xsi:type="dcterms:W3CDTF">2026-06-10T07:41:03Z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CD702E86EBD940F59BD94CABA19CFD2B_13</vt:lpwstr>
  </property>
  <property fmtid="{D5CDD505-2E9C-101B-9397-08002B2CF9AE}" pid="4" name="KSOTemplateDocerSaveRecord">
    <vt:lpwstr>eyJoZGlkIjoiZTUyYjlmN2NmMDgzZjI4NGFlNTRhNjdjYTA1MmVmNTUiLCJ1c2VySWQiOiI0MDIyMjc5NjcifQ==</vt:lpwstr>
  </property>
</Properties>
</file>