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812" w:tblpY="558"/>
        <w:tblOverlap w:val="never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2615"/>
        <w:gridCol w:w="3287"/>
        <w:gridCol w:w="46"/>
        <w:gridCol w:w="3"/>
        <w:gridCol w:w="1"/>
        <w:gridCol w:w="68"/>
        <w:gridCol w:w="692"/>
        <w:gridCol w:w="4"/>
        <w:gridCol w:w="1"/>
        <w:gridCol w:w="1"/>
        <w:gridCol w:w="699"/>
      </w:tblGrid>
      <w:tr w14:paraId="2925E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696757">
            <w:pPr>
              <w:pStyle w:val="4"/>
              <w:bidi w:val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lang w:val="en-US" w:eastAsia="zh-CN"/>
              </w:rPr>
              <w:t>序号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766172">
            <w:pPr>
              <w:pStyle w:val="4"/>
              <w:bidi w:val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lang w:val="en-US" w:eastAsia="zh-CN"/>
              </w:rPr>
              <w:t>名称</w:t>
            </w:r>
          </w:p>
        </w:tc>
        <w:tc>
          <w:tcPr>
            <w:tcW w:w="199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E1446">
            <w:pPr>
              <w:pStyle w:val="4"/>
              <w:bidi w:val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lang w:val="en-US" w:eastAsia="zh-CN"/>
              </w:rPr>
              <w:t>参数</w:t>
            </w:r>
          </w:p>
        </w:tc>
        <w:tc>
          <w:tcPr>
            <w:tcW w:w="4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C14254">
            <w:pPr>
              <w:pStyle w:val="4"/>
              <w:bidi w:val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lang w:val="en-US" w:eastAsia="zh-CN"/>
              </w:rPr>
              <w:t>单位</w:t>
            </w:r>
          </w:p>
        </w:tc>
        <w:tc>
          <w:tcPr>
            <w:tcW w:w="4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1BC970">
            <w:pPr>
              <w:pStyle w:val="4"/>
              <w:bidi w:val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lang w:val="en-US" w:eastAsia="zh-CN"/>
              </w:rPr>
              <w:t>数量</w:t>
            </w:r>
          </w:p>
        </w:tc>
      </w:tr>
      <w:tr w14:paraId="14171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308878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</w:t>
            </w:r>
          </w:p>
        </w:tc>
        <w:tc>
          <w:tcPr>
            <w:tcW w:w="4354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45E4E8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无人机智能巡查及应急指挥调度平台</w:t>
            </w:r>
          </w:p>
        </w:tc>
      </w:tr>
      <w:tr w14:paraId="2F4F5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9665E3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1.1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BCF663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  <w:highlight w:val="yellow"/>
              </w:rPr>
            </w:pPr>
            <w:r>
              <w:rPr>
                <w:rFonts w:hint="eastAsia"/>
                <w:b w:val="0"/>
                <w:bCs w:val="0"/>
                <w:color w:val="auto"/>
                <w:highlight w:val="none"/>
                <w:lang w:val="en-US" w:eastAsia="zh-CN"/>
              </w:rPr>
              <w:t>设备运行管理子系统</w:t>
            </w:r>
          </w:p>
        </w:tc>
        <w:tc>
          <w:tcPr>
            <w:tcW w:w="199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EBB2A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支持设备信息“增删改查”，建立完整设备台账，支持不少于5000条设备资产记录；</w:t>
            </w:r>
          </w:p>
          <w:p w14:paraId="3DFA1273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同时管理电池、配件等相关资源，记录各型号无人机的性能参数；检修记录和保险信息可追溯，到期自动提醒。</w:t>
            </w:r>
          </w:p>
          <w:p w14:paraId="7BA54ED0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bookmarkStart w:id="0" w:name="_GoBack"/>
            <w:bookmarkEnd w:id="0"/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提醒支持按时间周期（日/周/月/年）或使用时长自定义配置，系统应记录每台设备的累计飞行时长、起降次数。</w:t>
            </w:r>
          </w:p>
        </w:tc>
        <w:tc>
          <w:tcPr>
            <w:tcW w:w="4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0504E8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套</w:t>
            </w:r>
          </w:p>
        </w:tc>
        <w:tc>
          <w:tcPr>
            <w:tcW w:w="4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5AB8D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</w:t>
            </w:r>
          </w:p>
        </w:tc>
      </w:tr>
      <w:tr w14:paraId="6B6A0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F7E88F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1.2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7243A9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  <w:highlight w:val="none"/>
              </w:rPr>
            </w:pPr>
            <w:r>
              <w:rPr>
                <w:rFonts w:hint="eastAsia"/>
                <w:b w:val="0"/>
                <w:bCs w:val="0"/>
                <w:color w:val="auto"/>
                <w:highlight w:val="none"/>
                <w:lang w:val="en-US" w:eastAsia="zh-CN"/>
              </w:rPr>
              <w:t>监测对象管理子系统</w:t>
            </w:r>
          </w:p>
        </w:tc>
        <w:tc>
          <w:tcPr>
            <w:tcW w:w="199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D9C52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▲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实现风险源、承灾体、防护目标的“一源一档、一护一档”的信息管理。</w:t>
            </w:r>
          </w:p>
          <w:p w14:paraId="78962D15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支持GIS地图上的风险源、承灾体、防护目标标注数量≥10000个，地图加载响应时间≤3秒（在标注数量满负荷下）；支持与无人机巡航数据自动关联，实现动态更新。</w:t>
            </w:r>
          </w:p>
        </w:tc>
        <w:tc>
          <w:tcPr>
            <w:tcW w:w="4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606228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套</w:t>
            </w:r>
          </w:p>
        </w:tc>
        <w:tc>
          <w:tcPr>
            <w:tcW w:w="4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F64FCB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</w:t>
            </w:r>
          </w:p>
        </w:tc>
      </w:tr>
      <w:tr w14:paraId="562FE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31F0FF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1.3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A61D8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  <w:highlight w:val="none"/>
              </w:rPr>
            </w:pPr>
            <w:r>
              <w:rPr>
                <w:rFonts w:hint="eastAsia"/>
                <w:b w:val="0"/>
                <w:bCs w:val="0"/>
                <w:color w:val="auto"/>
                <w:highlight w:val="none"/>
                <w:lang w:val="en-US" w:eastAsia="zh-CN"/>
              </w:rPr>
              <w:t>应急指挥调度子系统</w:t>
            </w:r>
          </w:p>
        </w:tc>
        <w:tc>
          <w:tcPr>
            <w:tcW w:w="199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A5CF3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★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实现突发事件和预警信息应急指挥和处置。突发事件接入后，匹配响应时间≤5秒，辅助决策和处置；</w:t>
            </w:r>
          </w:p>
          <w:p w14:paraId="00B679C6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支持临时任务执行，可快速检索周边无人机，同时并发调度无人机数量≥10架，制定临时任务并下达指令；</w:t>
            </w:r>
          </w:p>
          <w:p w14:paraId="6148964F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实时接入巡航视频与AI预警信息，实现“边飞边判”，推送成功率≥99%，推送延迟≤30秒，状态动态更新，形成处置闭环。</w:t>
            </w:r>
          </w:p>
        </w:tc>
        <w:tc>
          <w:tcPr>
            <w:tcW w:w="4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4370D4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套</w:t>
            </w:r>
          </w:p>
        </w:tc>
        <w:tc>
          <w:tcPr>
            <w:tcW w:w="4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F3A077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</w:t>
            </w:r>
          </w:p>
        </w:tc>
      </w:tr>
      <w:tr w14:paraId="0613B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580B55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1.4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6D601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highlight w:val="none"/>
                <w:lang w:val="en-US" w:eastAsia="zh-CN"/>
              </w:rPr>
              <w:t>飞行任务管理子系统</w:t>
            </w:r>
          </w:p>
        </w:tc>
        <w:tc>
          <w:tcPr>
            <w:tcW w:w="199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FACBE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</w:t>
            </w:r>
            <w:r>
              <w:rPr>
                <w:rFonts w:hint="eastAsia"/>
                <w:b w:val="0"/>
                <w:bCs w:val="0"/>
                <w:strike w:val="0"/>
                <w:dstrike w:val="0"/>
                <w:color w:val="auto"/>
                <w:lang w:val="en-US" w:eastAsia="zh-CN"/>
              </w:rPr>
              <w:t>航线管理，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单条航线支持不少于100个航点</w:t>
            </w:r>
            <w: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FFFFF"/>
              </w:rPr>
              <w:t>（手动/自动）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；</w:t>
            </w:r>
          </w:p>
          <w:p w14:paraId="0C4C10BE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任务配置实现巡检巡航，实时监控飞行状态，并支持任务记录查询、数据导出及事件报告生成，</w:t>
            </w: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历史记录存储年限≥3年，支持按多种条件组合查询，事件报告支持导出为PDF、Word、Excel格式。</w:t>
            </w:r>
          </w:p>
        </w:tc>
        <w:tc>
          <w:tcPr>
            <w:tcW w:w="4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C960E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套</w:t>
            </w:r>
          </w:p>
        </w:tc>
        <w:tc>
          <w:tcPr>
            <w:tcW w:w="4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10E851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</w:t>
            </w:r>
          </w:p>
        </w:tc>
      </w:tr>
      <w:tr w14:paraId="50B0D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A3A9C9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1.5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4E74A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远程飞控子系统</w:t>
            </w:r>
          </w:p>
        </w:tc>
        <w:tc>
          <w:tcPr>
            <w:tcW w:w="199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16115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飞行监控、一键出警、多机协同、智能避障、自动巡航、智能返航等，视频回传延迟（从无人机到指挥中心）≤500ms（在4G/5G网络环境下），多机协同控制时平台可同时显示无人机视频路数≥4路，一键返航精度（以返航点为中心）≤2米，实现全流程可视化飞管与多场景协同作业，支持将无人机拍摄的视频图片实时回传至指挥中心，实时感知全域风险态势。</w:t>
            </w:r>
          </w:p>
        </w:tc>
        <w:tc>
          <w:tcPr>
            <w:tcW w:w="4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B6C8F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套</w:t>
            </w:r>
          </w:p>
        </w:tc>
        <w:tc>
          <w:tcPr>
            <w:tcW w:w="4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E4C70B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</w:t>
            </w:r>
          </w:p>
        </w:tc>
      </w:tr>
      <w:tr w14:paraId="2D848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599C41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1.6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8E6D8C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AI智能应用</w:t>
            </w:r>
          </w:p>
        </w:tc>
        <w:tc>
          <w:tcPr>
            <w:tcW w:w="199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7A361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集成多种图像识别算法模型（如滑坡识别、烟火识别、边坡落石），滑坡识别、烟火识别、边坡落石识别的准确率≥85%（在标准测试集下），误报率≤10%，通过云端协同AI自动识别、AI监控告警，AI识别单张图像的处理时间≤2秒。支持AI模型算法管理，进行AI算法调优及更新。对当前组织权限下的无人机飞行过程中拍摄的图像影像进行AI智能识别，标注“滑坡识别、烟火识别、边坡落石”隐患；并自动生成预警工单及报告，预警工单自动生成后可通过短信、系统消息两种方式推送，记录预警时间、预警地点、隐患图片等重要信息。</w:t>
            </w:r>
          </w:p>
        </w:tc>
        <w:tc>
          <w:tcPr>
            <w:tcW w:w="4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280788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套</w:t>
            </w:r>
          </w:p>
        </w:tc>
        <w:tc>
          <w:tcPr>
            <w:tcW w:w="4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CD4CF4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</w:t>
            </w:r>
          </w:p>
        </w:tc>
      </w:tr>
      <w:tr w14:paraId="72F20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CD05BC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1.7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DA1E8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无人机和机场接入授权</w:t>
            </w:r>
          </w:p>
        </w:tc>
        <w:tc>
          <w:tcPr>
            <w:tcW w:w="199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B8789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★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应提供与本项目3套无人机机场及3台无人机配套的接入授权，授权不限定品牌，需符合MQTT、HTTP API或GB/T 28181等标准协议对接。质保期内提供免费软件升级，若原厂商停止技术支持，中标人需提供替代方案并承担费用。授权应满足本项目建设规模和使用期限要求，且在质保期内包含升级维护与技术支持服务。</w:t>
            </w:r>
          </w:p>
        </w:tc>
        <w:tc>
          <w:tcPr>
            <w:tcW w:w="4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06120B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套</w:t>
            </w:r>
          </w:p>
        </w:tc>
        <w:tc>
          <w:tcPr>
            <w:tcW w:w="4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455948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</w:t>
            </w:r>
          </w:p>
        </w:tc>
      </w:tr>
      <w:tr w14:paraId="1B910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691928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2</w:t>
            </w:r>
          </w:p>
        </w:tc>
        <w:tc>
          <w:tcPr>
            <w:tcW w:w="4354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B32F5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安全生产智慧管控系统</w:t>
            </w:r>
          </w:p>
        </w:tc>
      </w:tr>
      <w:tr w14:paraId="6C017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DD273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2.1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184244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企业监管档案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2866A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▲</w:t>
            </w:r>
            <w: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FFFFF"/>
              </w:rPr>
              <w:t>企业信息（</w:t>
            </w:r>
            <w:r>
              <w:rPr>
                <w:rFonts w:hint="eastAsia"/>
                <w:b w:val="0"/>
                <w:bCs w:val="0"/>
                <w:strike w:val="0"/>
                <w:dstrike w:val="0"/>
                <w:color w:val="auto"/>
                <w:lang w:val="en-US" w:eastAsia="zh-CN"/>
              </w:rPr>
              <w:t>镇巴县内</w:t>
            </w:r>
            <w: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FFFFF"/>
              </w:rPr>
              <w:t>矿山、危化、加油站等）建档</w:t>
            </w:r>
            <w:r>
              <w:rPr>
                <w:rFonts w:hint="eastAsia" w:ascii="Segoe UI" w:hAnsi="Segoe UI" w:eastAsia="宋体" w:cs="Segoe UI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FFFFF"/>
                <w:lang w:eastAsia="zh-CN"/>
              </w:rPr>
              <w:t>，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支持企业信息批量导入（Excel/CSV），单次导入记录数≥5000条。</w:t>
            </w:r>
          </w:p>
          <w:p w14:paraId="29647081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2.支持不少于10种行业分类且可自定义；支持企业分类查询、精准定位，可以快速查看指定区域、指定行业的企业分布与基本情况，同时关联企业的风险、隐患、执法等其他相关信息。</w:t>
            </w:r>
          </w:p>
        </w:tc>
        <w:tc>
          <w:tcPr>
            <w:tcW w:w="44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2DABE7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套</w:t>
            </w:r>
          </w:p>
        </w:tc>
        <w:tc>
          <w:tcPr>
            <w:tcW w:w="41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DACFAE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</w:t>
            </w:r>
          </w:p>
        </w:tc>
      </w:tr>
      <w:tr w14:paraId="60F6D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0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502C1C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2.2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B1AC9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风险隐患管理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7F5C8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1.</w:t>
            </w:r>
            <w: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FFFFF"/>
              </w:rPr>
              <w:t>风险类型/等级/位置/管控措施</w:t>
            </w:r>
            <w:r>
              <w:rPr>
                <w:rFonts w:hint="eastAsia" w:ascii="Segoe UI" w:hAnsi="Segoe UI" w:eastAsia="宋体" w:cs="Segoe UI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FFFFF"/>
                <w:lang w:eastAsia="zh-CN"/>
              </w:rPr>
              <w:t>，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系统采用智能表单形成风险隐患列表，同时支持风险隐患排查整改的全链路跟踪，隐患整改超期预警支持提前1天、3天、7天多级提醒，对于超时未整改的隐患信息，系统给出提示和预警。风险与隐患数据支持导出为PDF、Excel。</w:t>
            </w:r>
          </w:p>
          <w:p w14:paraId="41F83FC0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2.风险管控汇聚企业的所有风险信息，包括风险的类型（火灾、爆炸、中毒等）、风险的等级（一般、较大、重大、特别重大）、风险的位置、风险的管控措施、管控等级、管控科室及负责人等信息。</w:t>
            </w:r>
          </w:p>
          <w:p w14:paraId="3CA8EB68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3.隐患排查整改汇聚企业的所有隐患数据，包括企业自查、执法检查发现和群众举报等各个方面的隐患数据。隐患信息包括隐患的位置、隐患的等级、隐患的描述、隐患的整改责任人、整改期限、整改完成情况、是否挂牌等。</w:t>
            </w:r>
          </w:p>
        </w:tc>
        <w:tc>
          <w:tcPr>
            <w:tcW w:w="44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EB4495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套</w:t>
            </w:r>
          </w:p>
        </w:tc>
        <w:tc>
          <w:tcPr>
            <w:tcW w:w="41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33FA0B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</w:t>
            </w:r>
          </w:p>
        </w:tc>
      </w:tr>
      <w:tr w14:paraId="287D6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0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1C2C86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2.3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A0FF8D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安全生产一张图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9B9EE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1.★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依托GIS地图，将镇巴县内所有危化品企业、煤矿、非煤矿山、加油站、烟花爆竹批发公司进行上图展示和相关风险隐患、生产事故信息进行关联展示；</w:t>
            </w:r>
          </w:p>
          <w:p w14:paraId="0C5A1035">
            <w:pPr>
              <w:pStyle w:val="4"/>
              <w:bidi w:val="0"/>
              <w:rPr>
                <w:rFonts w:hint="eastAsia"/>
                <w:b w:val="0"/>
                <w:bCs w:val="0"/>
                <w:strike w:val="0"/>
                <w:dstrike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trike w:val="0"/>
                <w:dstrike w:val="0"/>
                <w:color w:val="auto"/>
                <w:lang w:val="en-US" w:eastAsia="zh-CN"/>
              </w:rPr>
              <w:t>2.支持分级筛选、统计分析和GIS空间定位。</w:t>
            </w:r>
          </w:p>
          <w:p w14:paraId="5F9D7F96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trike w:val="0"/>
                <w:dstrike w:val="0"/>
                <w:color w:val="auto"/>
                <w:lang w:val="en-US" w:eastAsia="zh-CN"/>
              </w:rPr>
              <w:t>3.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支持矢量切片地图，缩放级别≥18级，图层叠加数量≥10层，切换图层响应时间≤2秒。</w:t>
            </w:r>
          </w:p>
          <w:p w14:paraId="367E9AD2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4.安全生产一张图提供各类图层展示和下钻功能，包括：企业图层、高危企业图层、重大危险源图层、企业视频图层、感知设备图层。各图层以企业为核心，支持通过圈选和任意多边形选择，进行大数据分析企业安全生产等级和安全指数，动态生成企业安全生产评价。</w:t>
            </w:r>
          </w:p>
        </w:tc>
        <w:tc>
          <w:tcPr>
            <w:tcW w:w="44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9BC631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套</w:t>
            </w:r>
          </w:p>
        </w:tc>
        <w:tc>
          <w:tcPr>
            <w:tcW w:w="41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6830A4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</w:t>
            </w:r>
          </w:p>
        </w:tc>
      </w:tr>
      <w:tr w14:paraId="0A526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0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984D2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2.4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758C35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视频AI智能分析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2BF8E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1.依托部署于非煤矿山、加油站、工贸企业各关键点位的视频AI智能分析设备，对接设备AI识别研判结果，依托原有监控资源开展智能化视频解析，自动识别各类安全生产违规行为与安全隐患，并触发告警提示。</w:t>
            </w:r>
          </w:p>
          <w:p w14:paraId="481DF196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2.接入加油站重点管控区域，AI设备智能识别的现场吸烟、接打电话、出现明火烟雾、卸油作业脱岗、灭火器摆放不规范、卸油管接驳不合规等研判结果；</w:t>
            </w:r>
          </w:p>
          <w:p w14:paraId="29168686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3.接入非煤矿山爆破区、堆料场、运输通道的烟火险情、无关人员闯入、车辆违规停放问题等研判结果；同时接入采石加工车间对未按规定穿戴工装安全帽、作业期间抽烟打电话、无关人员擅自入厂等违章行为的研判结果。</w:t>
            </w:r>
          </w:p>
        </w:tc>
        <w:tc>
          <w:tcPr>
            <w:tcW w:w="44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FC9B68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套</w:t>
            </w:r>
          </w:p>
        </w:tc>
        <w:tc>
          <w:tcPr>
            <w:tcW w:w="41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7E3F5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</w:t>
            </w:r>
          </w:p>
        </w:tc>
      </w:tr>
      <w:tr w14:paraId="2FC50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77B872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2.5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D8A483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预警分析及告警通知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99629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.整合多源监测预警信息，一是对接煤矿物联感知设备预警数据，包括：环境瓦斯、负压、一氧化碳、环境温度、风速、局部通风机、馈电器、主通风机、断电器、烟雾、风筒状态等实时监测预警数据；二是对接加油站、非煤矿山、工贸企业安全生产的物联感知监测设备（可燃气体报警器、烟雾报警器、粉尘浓度传感器、温湿度传感器）预警信息；三是整合煤矿、加油站、非煤矿山、工贸企业的视频监控AI分析预警信息；四是接入各类风险隐患超期未处置预警信息，进行综合分析和预警通知。支持按不同等级、不同类型进行统计和分析。</w:t>
            </w:r>
          </w:p>
          <w:p w14:paraId="0E8AFD8F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2.预警处置支持按照不同的物联传感设备自定义预警阈值，当超过阈值时，给出预警信息。同时针对系统推送的各类预警信息，进行人工复核和分析后，可通过短信、系统消息或电话，将重要预警信息推送给对应的监管人员和企业负责人，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lang w:val="en-US" w:eastAsia="zh-CN"/>
              </w:rPr>
              <w:t>支持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aps w:val="0"/>
                <w:color w:val="auto"/>
                <w:spacing w:val="0"/>
                <w:sz w:val="22"/>
                <w:szCs w:val="22"/>
                <w:shd w:val="clear" w:color="auto" w:fill="FFFFFF"/>
              </w:rPr>
              <w:t>短信/电话通知并发能力≥100条/分钟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lang w:val="en-US" w:eastAsia="zh-CN"/>
              </w:rPr>
              <w:t>。</w:t>
            </w:r>
          </w:p>
        </w:tc>
        <w:tc>
          <w:tcPr>
            <w:tcW w:w="44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9AAC6C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套</w:t>
            </w:r>
          </w:p>
        </w:tc>
        <w:tc>
          <w:tcPr>
            <w:tcW w:w="41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CD6579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</w:t>
            </w:r>
          </w:p>
        </w:tc>
      </w:tr>
      <w:tr w14:paraId="0BFBA5E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503C61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3</w:t>
            </w:r>
          </w:p>
        </w:tc>
        <w:tc>
          <w:tcPr>
            <w:tcW w:w="4354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03F144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镇巴应急物联感知底座</w:t>
            </w:r>
          </w:p>
        </w:tc>
      </w:tr>
      <w:tr w14:paraId="5351EE9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B2A074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3.1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871370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接入适配子系统</w:t>
            </w:r>
          </w:p>
        </w:tc>
        <w:tc>
          <w:tcPr>
            <w:tcW w:w="19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BFE09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支持设备直连、库表接入、接口接入、文件接入等多类型感知设备接入能力：</w:t>
            </w:r>
          </w:p>
          <w:p w14:paraId="4AAC8FB4">
            <w:pPr>
              <w:pStyle w:val="4"/>
              <w:rPr>
                <w:b w:val="0"/>
                <w:bCs w:val="0"/>
                <w:color w:va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★</w:t>
            </w:r>
            <w:r>
              <w:rPr>
                <w:b w:val="0"/>
                <w:bCs w:val="0"/>
                <w:color w:val="auto"/>
              </w:rPr>
              <w:t>平台通过设备模型，对物联设备和所处的空间对象进行标准化、数字化建模，实现不同厂家应用和设备的互联互通。</w:t>
            </w:r>
          </w:p>
          <w:p w14:paraId="1A8497CF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rFonts w:hint="default"/>
                <w:b w:val="0"/>
                <w:bCs w:val="0"/>
                <w:color w:val="auto"/>
                <w:lang w:val="en-US" w:eastAsia="zh-CN"/>
              </w:rPr>
              <w:t>▲</w:t>
            </w:r>
            <w:r>
              <w:rPr>
                <w:b w:val="0"/>
                <w:bCs w:val="0"/>
                <w:color w:val="auto"/>
              </w:rPr>
              <w:t>支持设备直连接入，协议适配功能包括支持MQTT、TCP、UDP标准协议的接入，支持SL651、HJ212、JT/T 808行标协议内置和免编码接入，支持通过脚本插件等形式实现私有协议的支持；</w:t>
            </w:r>
          </w:p>
          <w:p w14:paraId="1E048A54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rFonts w:hint="default"/>
                <w:b w:val="0"/>
                <w:bCs w:val="0"/>
                <w:color w:val="auto"/>
                <w:lang w:val="en-US" w:eastAsia="zh-CN"/>
              </w:rPr>
              <w:t>▲</w:t>
            </w:r>
            <w:r>
              <w:rPr>
                <w:b w:val="0"/>
                <w:bCs w:val="0"/>
                <w:color w:val="auto"/>
              </w:rPr>
              <w:t>支持接口接入，通过提供标准级联接口，实现其他感知相关业务平台的接入，支持接口鉴权和接口在线调试功能；</w:t>
            </w:r>
          </w:p>
          <w:p w14:paraId="6B5769CE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支持库表接入，通过库表数据的定期调度和加工，实现其他感知相关业务平台的接入，支持postgresql、sqlsever、mysql等常见数据库的库表调度；</w:t>
            </w:r>
          </w:p>
          <w:p w14:paraId="71B179AB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支持文件接入，通过FTP、SFTP等文件协议，实现远程文件的调度和下载；</w:t>
            </w:r>
          </w:p>
          <w:p w14:paraId="6D17BD19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支持城市部件的接入，可将楼房等城市部件进行接入，支持部件与子部件的绑定和部件与子设备的绑定。</w:t>
            </w:r>
          </w:p>
        </w:tc>
        <w:tc>
          <w:tcPr>
            <w:tcW w:w="47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F16BB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套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6E382E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1</w:t>
            </w:r>
          </w:p>
        </w:tc>
      </w:tr>
      <w:tr w14:paraId="446BC35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0442DE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3.2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504FA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设备管理子系统</w:t>
            </w:r>
          </w:p>
        </w:tc>
        <w:tc>
          <w:tcPr>
            <w:tcW w:w="19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86393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支持设备日常维护，包含设备分布、告警管理、感知报表、服务监控等维护能力：</w:t>
            </w:r>
          </w:p>
          <w:p w14:paraId="4CD6D72B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★</w:t>
            </w:r>
            <w:r>
              <w:rPr>
                <w:b w:val="0"/>
                <w:bCs w:val="0"/>
                <w:color w:val="auto"/>
              </w:rPr>
              <w:t>支持按区划、模型、部件等维度展示设备分布；</w:t>
            </w:r>
          </w:p>
          <w:p w14:paraId="5512EBEF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支持活动告警转工单处置、短信通知功能；</w:t>
            </w:r>
          </w:p>
          <w:p w14:paraId="2190AF8D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</w:t>
            </w:r>
            <w:r>
              <w:rPr>
                <w:b w:val="0"/>
                <w:bCs w:val="0"/>
                <w:color w:val="auto"/>
              </w:rPr>
              <w:t>支持大屏报表的在线维护；</w:t>
            </w:r>
          </w:p>
        </w:tc>
        <w:tc>
          <w:tcPr>
            <w:tcW w:w="47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9A3F19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套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94DDF9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1</w:t>
            </w:r>
          </w:p>
        </w:tc>
      </w:tr>
      <w:tr w14:paraId="3743D69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9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DD0BBD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3.3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995148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数据管理子系统</w:t>
            </w:r>
          </w:p>
        </w:tc>
        <w:tc>
          <w:tcPr>
            <w:tcW w:w="19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1B4C3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数据管理包括数据建模、数据治理、数据融合、数据存储、数据管理、数据转发等功能：</w:t>
            </w:r>
          </w:p>
          <w:p w14:paraId="07E7BFF9">
            <w:pPr>
              <w:pStyle w:val="4"/>
              <w:rPr>
                <w:rFonts w:hint="default" w:ascii="Segoe UI Symbol" w:hAnsi="Segoe UI Symbol" w:cs="Segoe UI Symbol"/>
                <w:b w:val="0"/>
                <w:bCs w:val="0"/>
                <w:color w:val="auto"/>
              </w:rPr>
            </w:pPr>
            <w:r>
              <w:rPr>
                <w:rFonts w:hint="default" w:ascii="Segoe UI Symbol" w:hAnsi="Segoe UI Symbol" w:cs="Segoe UI Symbol"/>
                <w:b w:val="0"/>
                <w:bCs w:val="0"/>
                <w:color w:val="auto"/>
              </w:rPr>
              <w:t>支持通过分析指标和分析任务配置自动生成数据分析报表；</w:t>
            </w:r>
          </w:p>
          <w:p w14:paraId="620AF116">
            <w:pPr>
              <w:pStyle w:val="4"/>
              <w:rPr>
                <w:rFonts w:hint="default" w:ascii="Segoe UI Symbol" w:hAnsi="Segoe UI Symbol" w:cs="Segoe UI Symbol"/>
                <w:b w:val="0"/>
                <w:bCs w:val="0"/>
                <w:color w:val="auto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</w:t>
            </w:r>
            <w:r>
              <w:rPr>
                <w:rFonts w:hint="default" w:ascii="Segoe UI Symbol" w:hAnsi="Segoe UI Symbol" w:cs="Segoe UI Symbol"/>
                <w:b w:val="0"/>
                <w:bCs w:val="0"/>
                <w:color w:val="auto"/>
              </w:rPr>
              <w:t>支持感知数据专题库构建，包括感知设备库、感知部件库、感知模型库、感知协议库；</w:t>
            </w:r>
          </w:p>
          <w:p w14:paraId="417BF32A">
            <w:pPr>
              <w:pStyle w:val="4"/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支持按区域、类型、部门等维度进行数据专题分析；</w:t>
            </w:r>
          </w:p>
        </w:tc>
        <w:tc>
          <w:tcPr>
            <w:tcW w:w="47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32FB55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套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2C9F41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1</w:t>
            </w:r>
          </w:p>
        </w:tc>
      </w:tr>
      <w:tr w14:paraId="70B3267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9EDC61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3.4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FBC285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运维保障子系统</w:t>
            </w:r>
          </w:p>
        </w:tc>
        <w:tc>
          <w:tcPr>
            <w:tcW w:w="19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1DEBB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运维保障覆盖日常运维、应急事件处置等场景：</w:t>
            </w:r>
          </w:p>
          <w:p w14:paraId="432736DF">
            <w:pPr>
              <w:pStyle w:val="4"/>
              <w:rPr>
                <w:rFonts w:hint="default" w:ascii="Segoe UI Symbol" w:hAnsi="Segoe UI Symbol" w:cs="Segoe UI Symbol"/>
                <w:b w:val="0"/>
                <w:bCs w:val="0"/>
                <w:color w:va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★</w:t>
            </w:r>
            <w:r>
              <w:rPr>
                <w:rFonts w:hint="default" w:ascii="Segoe UI Symbol" w:hAnsi="Segoe UI Symbol" w:cs="Segoe UI Symbol"/>
                <w:b w:val="0"/>
                <w:bCs w:val="0"/>
                <w:color w:val="auto"/>
              </w:rPr>
              <w:t>支持设备日常工单、用户对发现问题进行工单处置；</w:t>
            </w:r>
          </w:p>
          <w:p w14:paraId="329B08F3">
            <w:pPr>
              <w:pStyle w:val="4"/>
              <w:rPr>
                <w:rFonts w:hint="default" w:ascii="Segoe UI Symbol" w:hAnsi="Segoe UI Symbol" w:cs="Segoe UI Symbol"/>
                <w:b w:val="0"/>
                <w:bCs w:val="0"/>
                <w:color w:val="auto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</w:t>
            </w:r>
            <w:r>
              <w:rPr>
                <w:rFonts w:hint="default" w:ascii="Segoe UI Symbol" w:hAnsi="Segoe UI Symbol" w:cs="Segoe UI Symbol"/>
                <w:b w:val="0"/>
                <w:bCs w:val="0"/>
                <w:color w:val="auto"/>
              </w:rPr>
              <w:t>支持设备巡检工单、用户对负责设备进行定期巡检；</w:t>
            </w:r>
          </w:p>
          <w:p w14:paraId="22BBEA84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支持资产维护，对负责的软硬件资产进行综合维护。</w:t>
            </w:r>
          </w:p>
          <w:p w14:paraId="13CAA15E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支持运维组织管理，对运维机构、人员信息进行综合管理；</w:t>
            </w:r>
          </w:p>
          <w:p w14:paraId="54570A73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支持运维统计，对组织、个人运维开展情况进行综合统计；</w:t>
            </w:r>
          </w:p>
        </w:tc>
        <w:tc>
          <w:tcPr>
            <w:tcW w:w="47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974A3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套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68FEFC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1</w:t>
            </w:r>
          </w:p>
        </w:tc>
      </w:tr>
      <w:tr w14:paraId="5880052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0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0749A4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3.5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E7BF7C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统一门户子系统</w:t>
            </w:r>
          </w:p>
        </w:tc>
        <w:tc>
          <w:tcPr>
            <w:tcW w:w="19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30674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提供组织管理、部门管理、用户管理、角色管理、标签管理、菜单管理、资源权限管理等统一管理：</w:t>
            </w:r>
          </w:p>
          <w:p w14:paraId="4DF9D60D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支持组织管理、部门管理、用户管理、角色管理、菜单管理，对平台组织权限、菜单等进行综合管理。</w:t>
            </w:r>
          </w:p>
          <w:p w14:paraId="0C647682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支持平台定时任务的管理和维护。</w:t>
            </w:r>
          </w:p>
          <w:p w14:paraId="197A2466">
            <w:pPr>
              <w:pStyle w:val="4"/>
              <w:rPr>
                <w:b w:val="0"/>
                <w:bCs w:val="0"/>
                <w:color w:val="auto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</w:t>
            </w:r>
            <w:r>
              <w:rPr>
                <w:b w:val="0"/>
                <w:bCs w:val="0"/>
                <w:color w:val="auto"/>
              </w:rPr>
              <w:t>支持系统和服务的综合监控；支持登录日志、操作日志、请求日志的综合查看。</w:t>
            </w:r>
          </w:p>
        </w:tc>
        <w:tc>
          <w:tcPr>
            <w:tcW w:w="47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430EF6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套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B4B48A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1</w:t>
            </w:r>
          </w:p>
        </w:tc>
      </w:tr>
      <w:tr w14:paraId="53288FD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9B6C40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3.6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D7AF6B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统一服务子系统</w:t>
            </w:r>
          </w:p>
        </w:tc>
        <w:tc>
          <w:tcPr>
            <w:tcW w:w="19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ECF97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rFonts w:hint="default"/>
                <w:b w:val="0"/>
                <w:bCs w:val="0"/>
                <w:color w:val="auto"/>
              </w:rPr>
              <w:t>提供对外的统一综合服务：</w:t>
            </w:r>
          </w:p>
          <w:p w14:paraId="7F95709A">
            <w:pPr>
              <w:pStyle w:val="4"/>
              <w:rPr>
                <w:b w:val="0"/>
                <w:bCs w:val="0"/>
                <w:color w:val="auto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▲</w:t>
            </w:r>
            <w:r>
              <w:rPr>
                <w:rFonts w:hint="default" w:ascii="Segoe UI Symbol" w:hAnsi="Segoe UI Symbol" w:cs="Segoe UI Symbol"/>
                <w:b w:val="0"/>
                <w:bCs w:val="0"/>
                <w:color w:val="auto"/>
              </w:rPr>
              <w:t>接口服务提供开放渠道、接口的综合管理，</w:t>
            </w:r>
            <w:r>
              <w:rPr>
                <w:b w:val="0"/>
                <w:bCs w:val="0"/>
                <w:color w:val="auto"/>
              </w:rPr>
              <w:t>提供对渠道基本信息的定义，黑白名单、有效失效和渠道key的设定。</w:t>
            </w:r>
          </w:p>
          <w:p w14:paraId="6FDB23EF">
            <w:pPr>
              <w:pStyle w:val="4"/>
              <w:rPr>
                <w:rFonts w:ascii="微软雅黑" w:hAnsi="微软雅黑" w:eastAsia="微软雅黑" w:cs="微软雅黑"/>
                <w:b w:val="0"/>
                <w:bCs w:val="0"/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rFonts w:hint="default" w:ascii="Segoe UI Symbol" w:hAnsi="Segoe UI Symbol" w:cs="Segoe UI Symbol"/>
                <w:b w:val="0"/>
                <w:bCs w:val="0"/>
                <w:color w:val="auto"/>
              </w:rPr>
              <w:t>数据服务提供数据推送消息队列的主体、实例、规则主动配置管理。</w:t>
            </w:r>
          </w:p>
          <w:p w14:paraId="696A032E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轻应用提供对P</w:t>
            </w:r>
            <w:r>
              <w:rPr>
                <w:rFonts w:hint="default"/>
                <w:b w:val="0"/>
                <w:bCs w:val="0"/>
                <w:color w:val="auto"/>
              </w:rPr>
              <w:t>C端和移动端轻量级应用的配置管理。</w:t>
            </w:r>
          </w:p>
        </w:tc>
        <w:tc>
          <w:tcPr>
            <w:tcW w:w="47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4F7AF0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套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ED4677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1</w:t>
            </w:r>
          </w:p>
        </w:tc>
      </w:tr>
      <w:tr w14:paraId="0CBC379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DE80FB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3.7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C22AD5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灾害风险视频子系统</w:t>
            </w:r>
          </w:p>
        </w:tc>
        <w:tc>
          <w:tcPr>
            <w:tcW w:w="19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28519">
            <w:pPr>
              <w:pStyle w:val="4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2"/>
                <w:szCs w:val="22"/>
                <w:shd w:val="clear" w:color="auto" w:fill="FFFFFF"/>
              </w:rPr>
              <w:t>统一视频汇聚（道路交通、河道水情、边坡监测、水库监测、旅游景区、森林火险高空瞭望、煤矿和矿山企业、危化品企业、重点场所（宾馆/交通枢纽/医院/学院/政府单位）等），接入≥2000路，首屏开屏≤3秒；视频预案（≥50个）支持一键下发至大屏；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</w:rPr>
              <w:t>实时预览支持抓图、回放、播放控制，多屏播放支持可切换画面为1、4、9、16及自定义屏幕分屏，支持画面以4:3或16:9展示，可全屏播放；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2"/>
                <w:szCs w:val="22"/>
                <w:shd w:val="clear" w:color="auto" w:fill="FFFFFF"/>
              </w:rPr>
              <w:t>云台控制、轮巡、地图联动等应用。</w:t>
            </w:r>
          </w:p>
        </w:tc>
        <w:tc>
          <w:tcPr>
            <w:tcW w:w="47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93F6D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套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884D18">
            <w:pPr>
              <w:pStyle w:val="4"/>
              <w:rPr>
                <w:rFonts w:hint="default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1</w:t>
            </w:r>
          </w:p>
        </w:tc>
      </w:tr>
      <w:tr w14:paraId="0791D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B72FF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4</w:t>
            </w:r>
          </w:p>
        </w:tc>
        <w:tc>
          <w:tcPr>
            <w:tcW w:w="4354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EF15FD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国产服务器及平台部署环境搭建</w:t>
            </w:r>
          </w:p>
        </w:tc>
      </w:tr>
      <w:tr w14:paraId="76DA6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43AFD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4.1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6CE55C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国产数据库</w:t>
            </w:r>
          </w:p>
        </w:tc>
        <w:tc>
          <w:tcPr>
            <w:tcW w:w="19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432C0">
            <w:pPr>
              <w:pStyle w:val="4"/>
              <w:bidi w:val="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FFFFF"/>
              </w:rPr>
              <w:t>通过安全测评或GB/T 20273-2019；支持鲲鹏/飞腾/海光/龙芯CPU及统信/银河麒麟OS；按项目授权（不限用户/核数/容器）；支持全文检索（含流式/版式文件）、逻辑日志异地容灾；支持虚拟机/容器/裸金属部署；提供迁移工具（并行化、批量加载、异常记录）；支持闪回、完全/增量/差异/归档备份；兼容OCI/JDBC/ODBC等接口及C++/Java/Python/Go等语言；支持PL/SQL自定义子类型/自治事务/文本加密；监控主机CPU/内存/磁盘/网络；单机并发≥5000，单表≥50TB；提供驻场迁移、调优、运维服务。</w:t>
            </w:r>
          </w:p>
        </w:tc>
        <w:tc>
          <w:tcPr>
            <w:tcW w:w="44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C2D662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套</w:t>
            </w:r>
          </w:p>
        </w:tc>
        <w:tc>
          <w:tcPr>
            <w:tcW w:w="41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8CAB90">
            <w:pPr>
              <w:pStyle w:val="4"/>
              <w:bidi w:val="0"/>
              <w:rPr>
                <w:rFonts w:hint="eastAsia" w:eastAsia="方正仿宋_GB2312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2</w:t>
            </w:r>
          </w:p>
        </w:tc>
      </w:tr>
      <w:tr w14:paraId="4F052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926790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4.2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77847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国产操作系统</w:t>
            </w:r>
          </w:p>
        </w:tc>
        <w:tc>
          <w:tcPr>
            <w:tcW w:w="19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200B9">
            <w:pPr>
              <w:pStyle w:val="4"/>
              <w:bidi w:val="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FFFFF"/>
              </w:rPr>
              <w:t>通过安全测评或符合国产OS标准；提供3年安全补丁更新服务。</w:t>
            </w:r>
          </w:p>
        </w:tc>
        <w:tc>
          <w:tcPr>
            <w:tcW w:w="44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C1C1BB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套</w:t>
            </w:r>
          </w:p>
        </w:tc>
        <w:tc>
          <w:tcPr>
            <w:tcW w:w="41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8B072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5</w:t>
            </w:r>
          </w:p>
        </w:tc>
      </w:tr>
      <w:tr w14:paraId="559AF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BB3B52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4.4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38E966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国产服务器</w:t>
            </w:r>
          </w:p>
        </w:tc>
        <w:tc>
          <w:tcPr>
            <w:tcW w:w="19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63929">
            <w:pPr>
              <w:pStyle w:val="4"/>
              <w:numPr>
                <w:ilvl w:val="0"/>
                <w:numId w:val="0"/>
              </w:numPr>
              <w:bidi w:val="0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1.应用服务器：CPU≥16核，内存≥32GB，硬盘≥2TB，数量2，符合国产信创要求；</w:t>
            </w:r>
          </w:p>
          <w:p w14:paraId="28B3292D">
            <w:pPr>
              <w:pStyle w:val="4"/>
              <w:numPr>
                <w:ilvl w:val="0"/>
                <w:numId w:val="0"/>
              </w:numPr>
              <w:bidi w:val="0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2.数据库服务器：CPU≥16核，内存≥32GB，硬盘≥2TB，数量2，符合国产信创要求；</w:t>
            </w:r>
          </w:p>
          <w:p w14:paraId="03F9F0DD">
            <w:pPr>
              <w:pStyle w:val="4"/>
              <w:numPr>
                <w:ilvl w:val="0"/>
                <w:numId w:val="0"/>
              </w:numPr>
              <w:bidi w:val="0"/>
              <w:rPr>
                <w:rFonts w:hint="default"/>
                <w:b w:val="0"/>
                <w:bCs w:val="0"/>
                <w:color w:val="auto"/>
                <w:lang w:val="en-US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3.算法服务器：CPU≥32核，内存≥64GB，硬盘≥16TB，GPU显存≥24G，符合国产信创要求。</w:t>
            </w:r>
          </w:p>
        </w:tc>
        <w:tc>
          <w:tcPr>
            <w:tcW w:w="44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5D770D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台</w:t>
            </w:r>
          </w:p>
        </w:tc>
        <w:tc>
          <w:tcPr>
            <w:tcW w:w="41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E8D30B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5</w:t>
            </w:r>
          </w:p>
        </w:tc>
      </w:tr>
      <w:tr w14:paraId="52AE5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CE9CB3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5</w:t>
            </w:r>
          </w:p>
        </w:tc>
        <w:tc>
          <w:tcPr>
            <w:tcW w:w="4354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2CA33A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无人机及机场建设</w:t>
            </w:r>
          </w:p>
        </w:tc>
      </w:tr>
      <w:tr w14:paraId="21A2A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0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CDF22E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5.1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75CF28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★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无人机机场</w:t>
            </w:r>
          </w:p>
        </w:tc>
        <w:tc>
          <w:tcPr>
            <w:tcW w:w="195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9FAA4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尺寸：≤650mm×750mm×800mm。整机重量：≤55kg。工作温度范围：≥-20℃至50℃。IP防护等级：≥IP56。允许降落风速：设备允许降落风速不小于6级。运行海拔高度：设备运行海拔高度不小于4500米。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▲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RTK基站定位精准度：水平±0.1 米（rtk)垂直±0.1 米（rtk）。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▲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充电时间：从15%充至95%＜40分钟。媒体下载速率：无人机及机场间的下载速率≥15MB/s。空调类型：内置压缩机空调。续航时间：备用电池续航≥4小时。机场标识灯：机场集成标识灯，可以用于夜间返航。4G或5G接入：设备可使用蜂窝模块和SIM卡通过4G或5G实现网络接入。传感器：内置风速传感器、雨量传感器、环境温度传感器、水浸传感器、舱内温度传感器、舱内湿度传感器。分辨率：设备同时配备内部及外部监控相机，且视频分辨率≥1080P。视角范围（FOV）：设备同时配备内部及外部监控相机，且视角范围≥150°。补光灯：设备同时配备内部及外部监控相机，且具备补光能力。应用程序：支持使用手机APP对机场进行部署、调试。边缘计算：设备具备边缘计算模块接口。快速起飞：下达任务后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▲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需要15秒内起飞。边飞边传：在执行自动任务时，能够实时查看采集的媒体数据。</w:t>
            </w:r>
          </w:p>
        </w:tc>
        <w:tc>
          <w:tcPr>
            <w:tcW w:w="44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BAF6F1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套</w:t>
            </w:r>
          </w:p>
        </w:tc>
        <w:tc>
          <w:tcPr>
            <w:tcW w:w="4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B2AE04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3</w:t>
            </w:r>
          </w:p>
        </w:tc>
      </w:tr>
      <w:tr w14:paraId="30473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0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F6557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5.2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35E262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★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无人机</w:t>
            </w:r>
          </w:p>
        </w:tc>
        <w:tc>
          <w:tcPr>
            <w:tcW w:w="195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39E33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一、飞行平台裸机重量：≤1850g。起飞重量≥2000g。信号有效距离</w:t>
            </w:r>
            <w:r>
              <w:rPr>
                <w:rFonts w:hint="eastAsia"/>
                <w:b w:val="0"/>
                <w:bCs w:val="0"/>
                <w:strike w:val="0"/>
                <w:dstrike w:val="0"/>
                <w:color w:val="auto"/>
                <w:lang w:val="en-US" w:eastAsia="zh-CN"/>
              </w:rPr>
              <w:t>（FCC）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≥25km。飞行时间：≥54分钟。可抗风速：≥12m/s。折叠后尺寸（长×宽×高）：≤380×420×220mm。对角线轴距：≤500mm。全向感知系统：支持全向双目视觉避障系统，下方具备三维红外传感器，能够在探测到障碍物时在App上进行提醒，并自动减速刹车或绕行。工作环境温度：≥-20℃至40℃。防护等级：≥IP54。GNSS定位悬停精度：垂直±0.5m，水平±0.5m。RTK定位悬停精度：垂直±0.1m，水平±0.1m。上升速度：≥10m/s。下降速度：≥8m/s。水平飞行速度：≥20m/s。上升速度（配合机场）：≥6m/s。下降速度（配合机场）：≥6m/s。水平飞行速度（配合机场）：≥20m/s。起飞海拔高度：≥6500米。RTK：RTK集成在无人机上。二、云台相机相机类型：具有长焦可见光、中长焦可见光、广角可见光和红外热成像相机。广角相机：≥1/1.3英寸CMOS相机，有效像素不低于4800万。中长焦相机：≥1/1.3英寸CMOS相机，有效像素不低于4800万。长焦相机：≥1/1.5英寸CMOS相机，有效像素不低于4800万。可见光相机变焦倍数：变焦倍数≥112倍。红外传感器分辨率：≥640×512，超分模式≥1280×1024，帧率：≥30Hz。红外热成像功能：支持点测温和区域测温，支持≥28倍数码变焦，支持可见光与红外热成像联动变焦。稳定系统：具备三轴机械增稳云台（俯仰、横滚、平移）。可见光相机视频：支持≥4k30p视频录制。激光测距模块：正入射量程≥1800m。红外补光：支持近红外补光灯。云台俯仰：支持≥-90°至90°的俯仰范围。夜景模式：支持全彩夜视、黑白夜视。三、软件功能支持智能任务规划，远程控制，多路直播，开放ai生态。智能识别功能：可见光支持人车船目标的AI识别。</w:t>
            </w:r>
          </w:p>
        </w:tc>
        <w:tc>
          <w:tcPr>
            <w:tcW w:w="44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F83C4A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台</w:t>
            </w:r>
          </w:p>
        </w:tc>
        <w:tc>
          <w:tcPr>
            <w:tcW w:w="4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41CD22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3</w:t>
            </w:r>
          </w:p>
        </w:tc>
      </w:tr>
      <w:tr w14:paraId="15516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F45670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5.3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D1C88F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保险（三年）</w:t>
            </w:r>
          </w:p>
        </w:tc>
        <w:tc>
          <w:tcPr>
            <w:tcW w:w="195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0D09C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提供不少于3年的无人机设备保障服务，覆盖因意外导致的设备损坏维修或置换服务；服务范围、除外责任、维修流程、服务时效及保障额度应在投标文件中明确说明。</w:t>
            </w:r>
          </w:p>
        </w:tc>
        <w:tc>
          <w:tcPr>
            <w:tcW w:w="44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55693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年/台</w:t>
            </w:r>
          </w:p>
        </w:tc>
        <w:tc>
          <w:tcPr>
            <w:tcW w:w="4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590128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3</w:t>
            </w:r>
          </w:p>
        </w:tc>
      </w:tr>
      <w:tr w14:paraId="68CBA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5CDEF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5.4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1AF2F2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图传增强模块</w:t>
            </w:r>
          </w:p>
        </w:tc>
        <w:tc>
          <w:tcPr>
            <w:tcW w:w="195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4728B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可将无人机设备接入4G或5G网络，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aps w:val="0"/>
                <w:color w:val="auto"/>
                <w:spacing w:val="0"/>
                <w:sz w:val="22"/>
                <w:szCs w:val="22"/>
                <w:shd w:val="clear" w:color="auto" w:fill="FFFFFF"/>
              </w:rPr>
              <w:t>兼容4G/5G全网通，支持电信、移动、联通，提供安装支架及天线，不影响无人机原有折叠与收纳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FFFFF"/>
              </w:rPr>
              <w:t>，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提供高速稳定的联网服务，实现增强图传等多项功能。</w:t>
            </w:r>
          </w:p>
        </w:tc>
        <w:tc>
          <w:tcPr>
            <w:tcW w:w="44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0A1149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个</w:t>
            </w:r>
          </w:p>
        </w:tc>
        <w:tc>
          <w:tcPr>
            <w:tcW w:w="4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2F40D7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3</w:t>
            </w:r>
          </w:p>
        </w:tc>
      </w:tr>
      <w:tr w14:paraId="44931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A3122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5.5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8C0AAA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物联网卡</w:t>
            </w:r>
          </w:p>
        </w:tc>
        <w:tc>
          <w:tcPr>
            <w:tcW w:w="195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35482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国内基础电信运营商，流量不低于2000GB/月。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aps w:val="0"/>
                <w:color w:val="auto"/>
                <w:spacing w:val="0"/>
                <w:sz w:val="22"/>
                <w:szCs w:val="22"/>
                <w:shd w:val="clear" w:color="auto" w:fill="FFFFFF"/>
              </w:rPr>
              <w:t>流量池可共享，支持多张卡流量共享，提供管理平台查看流量使用情况。</w:t>
            </w:r>
          </w:p>
        </w:tc>
        <w:tc>
          <w:tcPr>
            <w:tcW w:w="44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6C33D5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个</w:t>
            </w:r>
          </w:p>
        </w:tc>
        <w:tc>
          <w:tcPr>
            <w:tcW w:w="4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07FCEA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3</w:t>
            </w:r>
          </w:p>
        </w:tc>
      </w:tr>
      <w:tr w14:paraId="53EEC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5ADC06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5.6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CD0A26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喊话器</w:t>
            </w:r>
          </w:p>
        </w:tc>
        <w:tc>
          <w:tcPr>
            <w:tcW w:w="195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5363F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重量：≤95g。尺寸：≤长75×宽70×高55mm。响度：≥114dB@1m。有效广播距离：≥300m。广播方式：实时喊话（支持回声啸叫抑制）、录音喊话、媒体导入（支持边传边播）、文字转语音。工作环境温度：-20℃至50℃。</w:t>
            </w:r>
          </w:p>
        </w:tc>
        <w:tc>
          <w:tcPr>
            <w:tcW w:w="44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E78105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个</w:t>
            </w:r>
          </w:p>
        </w:tc>
        <w:tc>
          <w:tcPr>
            <w:tcW w:w="4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AE22A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3</w:t>
            </w:r>
          </w:p>
        </w:tc>
      </w:tr>
      <w:tr w14:paraId="2C0E7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C6B25F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5.7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C7D9C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探照灯</w:t>
            </w:r>
          </w:p>
        </w:tc>
        <w:tc>
          <w:tcPr>
            <w:tcW w:w="195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CA91D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重量：≤100g。尺寸：≤长100×宽170×高30mm。照度：≥4.3±0.2lux@100m，。有效照明角度：≥23°。有效照明面积：≥1300㎡@100m。工作方式：常亮、爆闪。云台结构设计范围：俯仰范围不小于：-140°至50°。云台可控转动范围：俯仰：-90°至35°。云台对齐精度：≤±0.1°。工作环境温度：-20℃至50℃。</w:t>
            </w:r>
          </w:p>
        </w:tc>
        <w:tc>
          <w:tcPr>
            <w:tcW w:w="44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07B8D8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个</w:t>
            </w:r>
          </w:p>
        </w:tc>
        <w:tc>
          <w:tcPr>
            <w:tcW w:w="4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466383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3</w:t>
            </w:r>
          </w:p>
        </w:tc>
      </w:tr>
      <w:tr w14:paraId="0B0D98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61C2DD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5.8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A889C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机场安装施工服务</w:t>
            </w:r>
          </w:p>
        </w:tc>
        <w:tc>
          <w:tcPr>
            <w:tcW w:w="195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C5EF7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根据用户行业需求，进行机场选址、信号测试，出具部署规划及具体方案等。【安装部署】设备防水、接地、接网、交换机/路由器等，含运输、防水电源盒、线材套管、五金器件、辅料等耗材。</w:t>
            </w:r>
            <w:r>
              <w:rPr>
                <w:rFonts w:ascii="Segoe UI" w:hAnsi="Segoe UI" w:eastAsia="Segoe UI" w:cs="Segoe UI"/>
                <w:b w:val="0"/>
                <w:bCs w:val="0"/>
                <w:caps w:val="0"/>
                <w:color w:val="auto"/>
                <w:spacing w:val="0"/>
                <w:sz w:val="22"/>
                <w:szCs w:val="22"/>
                <w:shd w:val="clear" w:color="auto" w:fill="FFFFFF"/>
              </w:rPr>
              <w:t>施工后提供3年质保（非人为损坏）。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【人工服务】施工人工费、运输安装、设备调试、自动航线部署规划等专业技术服务。</w:t>
            </w:r>
          </w:p>
        </w:tc>
        <w:tc>
          <w:tcPr>
            <w:tcW w:w="44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F3B6FB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次</w:t>
            </w:r>
          </w:p>
        </w:tc>
        <w:tc>
          <w:tcPr>
            <w:tcW w:w="4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B74C58">
            <w:pPr>
              <w:pStyle w:val="4"/>
              <w:bidi w:val="0"/>
              <w:rPr>
                <w:rFonts w:hint="eastAsia"/>
                <w:b w:val="0"/>
                <w:bCs w:val="0"/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3</w:t>
            </w:r>
          </w:p>
        </w:tc>
      </w:tr>
    </w:tbl>
    <w:p w14:paraId="0E3F21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116767B6-5A45-4FE4-A4F4-F4556C2D619C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2" w:fontKey="{0CA5AFED-776E-4B5E-AFA8-F9401EC77E5B}"/>
  </w:font>
  <w:font w:name="FZSJ-FANGSGBTTOT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5559355E-73B4-4FAE-895B-B1E1A8A5ADE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9241D0D2-837C-4675-8553-FF685635F96E}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  <w:embedRegular r:id="rId5" w:fontKey="{EEF49140-DB8D-4DF2-A7BF-864512BE1272}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  <w:embedRegular r:id="rId6" w:fontKey="{2E83966D-B1D4-4677-A016-5068C1F64B59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3D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/>
      <w:spacing w:line="360" w:lineRule="auto"/>
      <w:ind w:firstLine="1044" w:firstLineChars="200"/>
      <w:jc w:val="both"/>
    </w:pPr>
    <w:rPr>
      <w:rFonts w:ascii="微软雅黑" w:hAnsi="微软雅黑" w:eastAsia="宋体" w:cs="Times New Roman"/>
      <w:color w:val="auto"/>
      <w:kern w:val="2"/>
      <w:sz w:val="28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正文"/>
    <w:basedOn w:val="1"/>
    <w:qFormat/>
    <w:uiPriority w:val="0"/>
    <w:pPr>
      <w:widowControl/>
      <w:spacing w:afterLines="0"/>
      <w:ind w:firstLine="0" w:firstLineChars="0"/>
      <w:jc w:val="left"/>
      <w:textAlignment w:val="center"/>
    </w:pPr>
    <w:rPr>
      <w:rFonts w:hint="eastAsia" w:ascii="FZSJ-FANGSGBTTOT" w:hAnsi="FZSJ-FANGSGBTTOT" w:eastAsia="方正仿宋_GB2312" w:cs="方正仿宋_GB2312"/>
      <w:color w:val="000000"/>
      <w:kern w:val="0"/>
      <w:sz w:val="24"/>
      <w:szCs w:val="24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2026-06-10T08:08:01Z</dcterms:created>
  <dc:creator>Administrator</dc:creator>
  <cp:lastModifiedBy>从66888开始</cp:lastModifiedBy>
  <dcterms:modified xsi:type="dcterms:W3CDTF">2026-06-10T08:24:04Z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eyJoZGlkIjoiZTUyYjlmN2NmMDgzZjI4NGFlNTRhNjdjYTA1MmVmNTUiLCJ1c2VySWQiOiI0MDIyMjc5NjcifQ==</vt:lpwstr>
  </property>
  <property fmtid="{D5CDD505-2E9C-101B-9397-08002B2CF9AE}" pid="4" name="ICV">
    <vt:lpwstr>CB1C3DEA23C740FDBB6361B74A991D00_12</vt:lpwstr>
  </property>
</Properties>
</file>