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版本号：JJX-2026-04420260625001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部室提升改造及文化建设项目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JJX-2026-044</w:t>
      </w:r>
      <w:r>
        <w:br/>
      </w:r>
      <w:r>
        <w:br/>
      </w:r>
      <w:r>
        <w:br/>
      </w:r>
    </w:p>
    <w:p>
      <w:pPr>
        <w:pStyle w:val="null3"/>
        <w:jc w:val="center"/>
        <w:outlineLvl w:val="2"/>
      </w:pPr>
      <w:r>
        <w:rPr>
          <w:rFonts w:ascii="仿宋_GB2312" w:hAnsi="仿宋_GB2312" w:cs="仿宋_GB2312" w:eastAsia="仿宋_GB2312"/>
          <w:sz w:val="28"/>
          <w:b/>
        </w:rPr>
        <w:t>渭南市临渭区五里铺小学</w:t>
      </w:r>
    </w:p>
    <w:p>
      <w:pPr>
        <w:pStyle w:val="null3"/>
        <w:jc w:val="center"/>
        <w:outlineLvl w:val="2"/>
      </w:pPr>
      <w:r>
        <w:rPr>
          <w:rFonts w:ascii="仿宋_GB2312" w:hAnsi="仿宋_GB2312" w:cs="仿宋_GB2312" w:eastAsia="仿宋_GB2312"/>
          <w:sz w:val="28"/>
          <w:b/>
        </w:rPr>
        <w:t>陕西金吉翔项目管理有限公司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陕西金吉翔项目管理有限公司</w:t>
      </w:r>
      <w:r>
        <w:rPr>
          <w:rFonts w:ascii="仿宋_GB2312" w:hAnsi="仿宋_GB2312" w:cs="仿宋_GB2312" w:eastAsia="仿宋_GB2312"/>
        </w:rPr>
        <w:t>（以下简称“代理机构”）受</w:t>
      </w:r>
      <w:r>
        <w:rPr>
          <w:rFonts w:ascii="仿宋_GB2312" w:hAnsi="仿宋_GB2312" w:cs="仿宋_GB2312" w:eastAsia="仿宋_GB2312"/>
        </w:rPr>
        <w:t>渭南市临渭区五里铺小学</w:t>
      </w:r>
      <w:r>
        <w:rPr>
          <w:rFonts w:ascii="仿宋_GB2312" w:hAnsi="仿宋_GB2312" w:cs="仿宋_GB2312" w:eastAsia="仿宋_GB2312"/>
        </w:rPr>
        <w:t>委托，拟对</w:t>
      </w:r>
      <w:r>
        <w:rPr>
          <w:rFonts w:ascii="仿宋_GB2312" w:hAnsi="仿宋_GB2312" w:cs="仿宋_GB2312" w:eastAsia="仿宋_GB2312"/>
        </w:rPr>
        <w:t>部室提升改造及文化建设项目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JJX-2026-044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部室提升改造及文化建设项目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采购部分功能部室提升改造及校园文化建设所需设施设备，具体详见招标文件。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1、法人证明或法人授权委托书：提供法定代表人授权委托书（附法定代表人、被授权人身份证复印件）；法定代表人直接参加投标，须提供法定代表人证明书（附法定代表人身份证复印件）。</w:t>
      </w:r>
    </w:p>
    <w:p>
      <w:pPr>
        <w:pStyle w:val="null3"/>
      </w:pPr>
      <w:r>
        <w:rPr>
          <w:rFonts w:ascii="仿宋_GB2312" w:hAnsi="仿宋_GB2312" w:cs="仿宋_GB2312" w:eastAsia="仿宋_GB2312"/>
        </w:rPr>
        <w:t>2、信用中国网、中国执行公开网和中国政府采购网查询情况：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渭南市临渭区五里铺小学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陕西省渭南市临渭区东风大街中段1号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袁晓毅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18191801031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渭南市临渭区玉德路豪庭佳苑南门东临四层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0913-2529777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开户名称：陕西金吉翔项目管理有限公司</w:t>
            </w:r>
          </w:p>
          <w:p>
            <w:pPr>
              <w:pStyle w:val="null3"/>
            </w:pPr>
            <w:r>
              <w:rPr>
                <w:rFonts w:ascii="仿宋_GB2312" w:hAnsi="仿宋_GB2312" w:cs="仿宋_GB2312" w:eastAsia="仿宋_GB2312"/>
              </w:rPr>
              <w:t>开户银行：中国农业银行股份有限公司西安政通路支行</w:t>
            </w:r>
          </w:p>
          <w:p>
            <w:pPr>
              <w:pStyle w:val="null3"/>
            </w:pPr>
            <w:r>
              <w:rPr>
                <w:rFonts w:ascii="仿宋_GB2312" w:hAnsi="仿宋_GB2312" w:cs="仿宋_GB2312" w:eastAsia="仿宋_GB2312"/>
              </w:rPr>
              <w:t>银行账号：26140401040014376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国家计委关于印发《招标代理服务收费管理暂行办法》的通知（计价格〔2002〕1980号）以成交价为基数，按照货物类费率收取代理服务费。由中标人在中标结果发布后一次性向采购代理机构缴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渭南市临渭区五里铺小学</w:t>
      </w:r>
      <w:r>
        <w:rPr>
          <w:rFonts w:ascii="仿宋_GB2312" w:hAnsi="仿宋_GB2312" w:cs="仿宋_GB2312" w:eastAsia="仿宋_GB2312"/>
        </w:rPr>
        <w:t>和</w:t>
      </w:r>
      <w:r>
        <w:rPr>
          <w:rFonts w:ascii="仿宋_GB2312" w:hAnsi="仿宋_GB2312" w:cs="仿宋_GB2312" w:eastAsia="仿宋_GB2312"/>
        </w:rPr>
        <w:t>陕西金吉翔项目管理有限公司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渭南市临渭区五里铺小学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渭南市临渭区五里铺小学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本项目不涉及知识产权约束，保证采购人正常使用项目产品不会受到任何限制与影响。</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项目实施完毕后，供应商应向采购人提交项目验收申请，并将项目实施过程中相关资料提交采购人。采购人收到项目验收申请后，组织相关人员进行验收。 验收标准按照国家、行业有关规范和要求执行。供应商承诺完全达到国家有关部门验收标准，并全部通过验收为交付使用的基本条件。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联系人：郭晨</w:t>
      </w:r>
    </w:p>
    <w:p>
      <w:pPr>
        <w:pStyle w:val="null3"/>
      </w:pPr>
      <w:r>
        <w:rPr>
          <w:rFonts w:ascii="仿宋_GB2312" w:hAnsi="仿宋_GB2312" w:cs="仿宋_GB2312" w:eastAsia="仿宋_GB2312"/>
        </w:rPr>
        <w:t>联系电话：0913-2529777</w:t>
      </w:r>
    </w:p>
    <w:p>
      <w:pPr>
        <w:pStyle w:val="null3"/>
      </w:pPr>
      <w:r>
        <w:rPr>
          <w:rFonts w:ascii="仿宋_GB2312" w:hAnsi="仿宋_GB2312" w:cs="仿宋_GB2312" w:eastAsia="仿宋_GB2312"/>
        </w:rPr>
        <w:t>地址：渭南市临渭区玉德路豪庭佳苑南门东临四层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采购部分功能部室提升改造及校园文化建设所需设施设备，具体详见招标文件。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3,730,000.00</w:t>
      </w:r>
    </w:p>
    <w:p>
      <w:pPr>
        <w:pStyle w:val="null3"/>
      </w:pPr>
      <w:r>
        <w:rPr>
          <w:rFonts w:ascii="仿宋_GB2312" w:hAnsi="仿宋_GB2312" w:cs="仿宋_GB2312" w:eastAsia="仿宋_GB2312"/>
        </w:rPr>
        <w:t>采购包最高限价（元）: 3,730,000.00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渭南市临渭区五里铺小学部室提升改造及文化建设项目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标的名称：渭南市临渭区五里铺小学部室提升改造及文化建设项目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详见附件技术参数。</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合同签订之日起30天内完成。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渭南市临渭区五里铺小学校内。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其他，合同签订后乙方开具相应金额的正式发票，达到付款条件起10个工作日内，支付合同总金额的40.0%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其他，乙方将所有货物供至甲方指定地点后，由乙方提出书面验收申请，自申请之日起7个工作日内，甲方组织相关专家进行验收，验收合格后，达到付款条件起10个工作日内，支付合同总金额的60.0%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项目实施完毕后，供应商应向采购人提交项目验收申请，并将项目实施过程中相关资料提交采购人。采购人收到项目验收申请后，组织相关人员进行验收。 验收标准按照国家、行业有关规范和要求执行。供应商承诺完全达到国家有关部门验收标准，并全部通过验收为交付使用的基本条件。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 （2）在质量保证期内，如果货物的质量、规格、技术指标等与合同有任何一项不符，买方应尽快以书面形式向卖方提出索赔。同时应向政府采购管理部门报告。 （3）卖方在收到买方的通知后，应及时免费维修或更换有缺陷的货物或部件，并相应延长保修期限。具体响应时限见专用合同条款。 （4）如果卖方在收到通知后，没有在上述专用合同条款中规定的时限内及时弥补缺陷，买方可采取必要的补救措施，但其风险和费用将由卖方承担，买方根据合同规定对卖方行使的其它权力不受影响。（5）质量保修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合同另行约定。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1.本项目核心产品为： 图书馆管理系统 。2.成交供应商在成交结果发布后向采购代理机构提供经编标工具生成导出的响应文件纸质版两套，确保与线上电子版文件内容一致。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应具备独立承担民事责任的能力：提供法人或者其他组织的营业执照等证明文件，自然人的身份证明；2、提供2025年6月1日至今任意一个月依法缴纳税收和社会保障资金的相关材料；3、提供具有履行合同所必需的设备和专业技术能力的承诺；4、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提供具有财务审计资质单位出具的2025年度财务报告（含附表附注），（成立时间至开标时间不足一年的可提供成立后任意时段的资产负债表）或开标前半年内其基本账户银行出具的资信证明。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资格审查资料.docx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法人证明或法人授权委托书</w:t>
            </w:r>
          </w:p>
        </w:tc>
        <w:tc>
          <w:tcPr>
            <w:tcW w:type="dxa" w:w="3322"/>
          </w:tcPr>
          <w:p>
            <w:pPr>
              <w:pStyle w:val="null3"/>
            </w:pPr>
            <w:r>
              <w:rPr>
                <w:rFonts w:ascii="仿宋_GB2312" w:hAnsi="仿宋_GB2312" w:cs="仿宋_GB2312" w:eastAsia="仿宋_GB2312"/>
              </w:rPr>
              <w:t>提供法定代表人授权委托书（附法定代表人、被授权人身份证复印件）；法定代表人直接参加投标，须提供法定代表人证明书（附法定代表人身份证复印件）。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信用中国网、中国执行公开网和中国政府采购网查询情况</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资格审查资料.docx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符合招标文件规定签署盖章要求。</w:t>
            </w:r>
          </w:p>
        </w:tc>
        <w:tc>
          <w:tcPr>
            <w:tcW w:type="dxa" w:w="1661"/>
          </w:tcPr>
          <w:p>
            <w:pPr>
              <w:pStyle w:val="null3"/>
            </w:pPr>
            <w:r>
              <w:rPr>
                <w:rFonts w:ascii="仿宋_GB2312" w:hAnsi="仿宋_GB2312" w:cs="仿宋_GB2312" w:eastAsia="仿宋_GB2312"/>
              </w:rPr>
              <w:t>开标一览表 业绩.docx 中小企业声明函 技术方案评审.docx 商务要求响应表.docx 分项报价表.docx 投标函 残疾人福利性单位声明函 标的清单 投标文件封面 资格审查资料.docx 技术规格偏离表.docx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投标函 商务要求响应表.docx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唯一报价，并未超出最高限价。</w:t>
            </w:r>
          </w:p>
        </w:tc>
        <w:tc>
          <w:tcPr>
            <w:tcW w:type="dxa" w:w="1661"/>
          </w:tcPr>
          <w:p>
            <w:pPr>
              <w:pStyle w:val="null3"/>
            </w:pPr>
            <w:r>
              <w:rPr>
                <w:rFonts w:ascii="仿宋_GB2312" w:hAnsi="仿宋_GB2312" w:cs="仿宋_GB2312" w:eastAsia="仿宋_GB2312"/>
              </w:rPr>
              <w:t>开标一览表 分项报价表.docx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自投标文件文件递交截止之日起90日历天</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所投产品技术参数清楚，明确并能逐条响应招标文件“第三章 招标项目技术、服务、商务及其他要求”3.3技术要求中所有技术参数要求，得30分。其中： “▲”项（12项）负偏离每项扣2分，满分24分；“#”（20项）负偏离每项扣0.5分，满分10分；扣完为止。 注：“▲”“#”项参数需提供相关作证材料（不限于产品彩页、官网截图、国家认可的检测机构出具的检测报告），不提供或不能证明的不得分。</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技术规格偏离表.docx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一、评审内容：投标人针对本项目提供项目实施方案，方案包含以下内容：①供货组织安排②实施计划及进度计划③安装调试验收④针对可能出现的各类突发情况提供应急解决方案。 二、评审标准：根据完整性：内容必须全面，对评审内容中的各项要求有详细描述；可实施性：切合本项目实际情况，提出清晰、合理的内容；针对性：内容能够紧扣项目实际情况，内容科学合理提供相应方案，以上4项内容无缺项、无漏项且无缺陷的得8分，其中每有一项内容存在缺项或漏项的扣2分，每项内容中每有一处存在缺陷的扣0.5分，该项分值扣完为止，未提供不得分。 三、 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技术方案评审.docx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一、评审内容：投标人针对本项目提供质量保证方案，方案包含以下内容：①产品性能、使用寿命及效果②运输成品保护方案③质量保证措施。 二、评审标准：根据完整性：内容必须全面，对评审内容中的各项要求有详细描述；可实施性：切合本项目实际情况，提出清晰、合理的内容；针对性：内容能够紧扣项目实际情况，内容科学合理提供相应方案，以上3项内容无缺项、无漏项且无缺陷的得6分，其中每有一项内容存在缺项或漏项的扣2分，每项内容中每有一处存在缺陷的扣0.5分，该项分值扣完为止，未提供不得分。 三、 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技术方案评审.docx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一、评审内容：投标人针对本项目提供售后服务方案，方案包含以下内容：①服务范围及保障措施②售后服务团队人员配备方案。 二、评审标准：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3分，其中每有一项内容存在缺项或漏项的扣1.5分，每项内容中每有一处存在缺陷的扣0.5分，该项分值扣完为止，未提供不得分。 三、 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技术方案评审.docx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投标人针对本项目提供培训方案，方案包含以下内容：①培训计划，含培训计划表、地点、时间及培训对象人数等②培训内容，含所提供产品的原理和技术性能、操作维护方法、安装调试、排除故障等。 二、评审标准：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3分，其中每有一项内容存在缺项或漏项的扣1.5分，每项内容中每有一处存在缺陷的扣0.5分，该项分值扣完为止，未提供不得分。 三、 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技术方案评审.docx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供应商提供2023年5月至今具有类似项目业绩；投标文件中需附合同复印件并加盖公章，以合同签订时间为准。每提供1个得2分，满分6分。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1.满足招标文件实质性要求且最终报价最低的供应商的价格为投标基准价，其价格分为满分40分。 2.投标报价得分=（投标基准价/最终投标报价）×40的公式计算得分。 3.投标报价不完整的，不进入评标标准价的计算，本项得0分。 4.经评评标小组一致认定，超过预算金额,其响应将被拒绝。</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详见附件：技术规格偏离表.docx</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详见附件：技术方案评审.docx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