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02AE6">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rPr>
        <w:t>合同文本</w:t>
      </w:r>
    </w:p>
    <w:p w14:paraId="14A9C520">
      <w:pPr>
        <w:tabs>
          <w:tab w:val="left" w:pos="735"/>
        </w:tabs>
        <w:autoSpaceDE w:val="0"/>
        <w:autoSpaceDN w:val="0"/>
        <w:adjustRightInd w:val="0"/>
        <w:snapToGrid w:val="0"/>
        <w:spacing w:line="360" w:lineRule="auto"/>
        <w:jc w:val="center"/>
        <w:rPr>
          <w:rFonts w:hint="eastAsia" w:ascii="宋体" w:hAnsi="宋体" w:cs="宋体"/>
          <w:b/>
          <w:bCs/>
          <w:sz w:val="24"/>
          <w:szCs w:val="24"/>
          <w:lang w:val="zh-CN"/>
        </w:rPr>
      </w:pPr>
      <w:r>
        <w:rPr>
          <w:rFonts w:hint="eastAsia" w:ascii="宋体" w:hAnsi="宋体" w:cs="宋体"/>
          <w:b/>
          <w:bCs/>
          <w:sz w:val="24"/>
          <w:szCs w:val="24"/>
          <w:lang w:val="zh-CN"/>
        </w:rPr>
        <w:t>（注:本</w:t>
      </w:r>
      <w:r>
        <w:rPr>
          <w:rFonts w:hint="eastAsia" w:ascii="宋体" w:hAnsi="宋体" w:cs="宋体"/>
          <w:b/>
          <w:bCs/>
          <w:sz w:val="24"/>
          <w:szCs w:val="24"/>
          <w:lang w:val="en-US" w:eastAsia="zh-CN"/>
        </w:rPr>
        <w:t>招标</w:t>
      </w:r>
      <w:r>
        <w:rPr>
          <w:rFonts w:hint="eastAsia" w:ascii="宋体" w:hAnsi="宋体" w:cs="宋体"/>
          <w:b/>
          <w:bCs/>
          <w:sz w:val="24"/>
          <w:szCs w:val="24"/>
          <w:lang w:val="zh-CN"/>
        </w:rPr>
        <w:t>文件提供的合同仅为范本，采购人和</w:t>
      </w:r>
      <w:r>
        <w:rPr>
          <w:rFonts w:hint="eastAsia" w:ascii="宋体" w:hAnsi="宋体" w:cs="宋体"/>
          <w:b/>
          <w:bCs/>
          <w:sz w:val="24"/>
          <w:szCs w:val="24"/>
          <w:lang w:val="en-US" w:eastAsia="zh-CN"/>
        </w:rPr>
        <w:t>中标人</w:t>
      </w:r>
      <w:r>
        <w:rPr>
          <w:rFonts w:hint="eastAsia" w:ascii="宋体" w:hAnsi="宋体" w:cs="宋体"/>
          <w:b/>
          <w:bCs/>
          <w:sz w:val="24"/>
          <w:szCs w:val="24"/>
          <w:lang w:val="zh-CN"/>
        </w:rPr>
        <w:t>根据项目实际情在不违背相关法律法规和</w:t>
      </w:r>
      <w:r>
        <w:rPr>
          <w:rFonts w:hint="eastAsia" w:ascii="宋体" w:hAnsi="宋体" w:cs="宋体"/>
          <w:b/>
          <w:bCs/>
          <w:sz w:val="24"/>
          <w:szCs w:val="24"/>
          <w:lang w:val="en-US" w:eastAsia="zh-CN"/>
        </w:rPr>
        <w:t>招标</w:t>
      </w:r>
      <w:r>
        <w:rPr>
          <w:rFonts w:hint="eastAsia" w:ascii="宋体" w:hAnsi="宋体" w:cs="宋体"/>
          <w:b/>
          <w:bCs/>
          <w:sz w:val="24"/>
          <w:szCs w:val="24"/>
          <w:lang w:val="zh-CN"/>
        </w:rPr>
        <w:t>文件等的前提下具体商定详细条款。）</w:t>
      </w:r>
    </w:p>
    <w:p w14:paraId="26997C6A">
      <w:pPr>
        <w:tabs>
          <w:tab w:val="left" w:pos="735"/>
        </w:tabs>
        <w:autoSpaceDE w:val="0"/>
        <w:autoSpaceDN w:val="0"/>
        <w:adjustRightInd w:val="0"/>
        <w:snapToGrid w:val="0"/>
        <w:spacing w:line="360" w:lineRule="auto"/>
        <w:rPr>
          <w:rFonts w:hint="eastAsia" w:ascii="宋体" w:hAnsi="宋体" w:eastAsia="宋体" w:cs="宋体"/>
          <w:b/>
          <w:bCs/>
          <w:sz w:val="21"/>
          <w:szCs w:val="21"/>
          <w:lang w:val="en-US"/>
        </w:rPr>
      </w:pPr>
      <w:r>
        <w:rPr>
          <w:rFonts w:hint="eastAsia" w:ascii="宋体" w:hAnsi="宋体" w:eastAsia="宋体" w:cs="宋体"/>
          <w:b/>
          <w:bCs/>
          <w:sz w:val="21"/>
          <w:szCs w:val="21"/>
          <w:lang w:val="zh-CN"/>
        </w:rPr>
        <w:t>甲方：</w:t>
      </w:r>
      <w:r>
        <w:rPr>
          <w:rFonts w:hint="eastAsia" w:ascii="宋体" w:hAnsi="宋体" w:cs="宋体"/>
          <w:b/>
          <w:bCs/>
          <w:sz w:val="21"/>
          <w:szCs w:val="21"/>
          <w:u w:val="single"/>
          <w:lang w:val="en-US" w:eastAsia="zh-CN"/>
        </w:rPr>
        <w:t>渭南市临渭区五里铺小学</w:t>
      </w:r>
    </w:p>
    <w:p w14:paraId="3EE4D34C">
      <w:pPr>
        <w:tabs>
          <w:tab w:val="left" w:pos="735"/>
        </w:tabs>
        <w:autoSpaceDE w:val="0"/>
        <w:autoSpaceDN w:val="0"/>
        <w:adjustRightInd w:val="0"/>
        <w:snapToGrid w:val="0"/>
        <w:spacing w:line="360" w:lineRule="auto"/>
        <w:rPr>
          <w:rFonts w:hint="eastAsia" w:ascii="宋体" w:hAnsi="宋体" w:eastAsia="宋体" w:cs="宋体"/>
          <w:bCs/>
          <w:sz w:val="21"/>
          <w:szCs w:val="21"/>
          <w:lang w:val="zh-CN"/>
        </w:rPr>
      </w:pPr>
      <w:r>
        <w:rPr>
          <w:rFonts w:hint="eastAsia" w:ascii="宋体" w:hAnsi="宋体" w:eastAsia="宋体" w:cs="宋体"/>
          <w:b/>
          <w:bCs/>
          <w:sz w:val="21"/>
          <w:szCs w:val="21"/>
          <w:lang w:val="zh-CN"/>
        </w:rPr>
        <w:t>乙方：</w:t>
      </w:r>
      <w:r>
        <w:rPr>
          <w:rFonts w:hint="eastAsia" w:ascii="宋体" w:hAnsi="宋体" w:eastAsia="宋体" w:cs="宋体"/>
          <w:b/>
          <w:bCs/>
          <w:sz w:val="21"/>
          <w:szCs w:val="21"/>
          <w:u w:val="single"/>
          <w:lang w:val="zh-CN"/>
        </w:rPr>
        <w:t xml:space="preserve">                  </w:t>
      </w:r>
    </w:p>
    <w:p w14:paraId="25F96D4C">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根据《中华人民共和国</w:t>
      </w:r>
      <w:r>
        <w:rPr>
          <w:rFonts w:hint="eastAsia" w:ascii="宋体" w:hAnsi="宋体" w:eastAsia="宋体" w:cs="宋体"/>
          <w:sz w:val="21"/>
          <w:szCs w:val="21"/>
          <w:lang w:val="en-US" w:eastAsia="zh-CN"/>
        </w:rPr>
        <w:t>民法典</w:t>
      </w:r>
      <w:r>
        <w:rPr>
          <w:rFonts w:hint="eastAsia" w:ascii="宋体" w:hAnsi="宋体" w:eastAsia="宋体" w:cs="宋体"/>
          <w:sz w:val="21"/>
          <w:szCs w:val="21"/>
        </w:rPr>
        <w:t>》等法律、法规规定，按照招投标文件规定条款和中标供应商承诺，甲乙双方签订本合同。</w:t>
      </w:r>
    </w:p>
    <w:p w14:paraId="0F25FEF9">
      <w:pPr>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rPr>
        <w:t>一、合同内容</w:t>
      </w:r>
      <w:r>
        <w:rPr>
          <w:rFonts w:hint="eastAsia" w:ascii="宋体" w:hAnsi="宋体" w:cs="宋体"/>
          <w:b/>
          <w:bCs/>
          <w:sz w:val="21"/>
          <w:szCs w:val="21"/>
          <w:lang w:eastAsia="zh-CN"/>
        </w:rPr>
        <w:t>：</w:t>
      </w:r>
    </w:p>
    <w:tbl>
      <w:tblPr>
        <w:tblStyle w:val="5"/>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284"/>
        <w:gridCol w:w="976"/>
        <w:gridCol w:w="693"/>
        <w:gridCol w:w="654"/>
        <w:gridCol w:w="899"/>
        <w:gridCol w:w="1455"/>
        <w:gridCol w:w="1415"/>
        <w:gridCol w:w="1071"/>
      </w:tblGrid>
      <w:tr w14:paraId="37B1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669" w:type="dxa"/>
            <w:noWrap w:val="0"/>
            <w:vAlign w:val="center"/>
          </w:tcPr>
          <w:p w14:paraId="6F8DB7F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序号</w:t>
            </w:r>
          </w:p>
        </w:tc>
        <w:tc>
          <w:tcPr>
            <w:tcW w:w="1284" w:type="dxa"/>
            <w:noWrap w:val="0"/>
            <w:vAlign w:val="center"/>
          </w:tcPr>
          <w:p w14:paraId="3F271AE7">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产品名称</w:t>
            </w:r>
          </w:p>
        </w:tc>
        <w:tc>
          <w:tcPr>
            <w:tcW w:w="976" w:type="dxa"/>
            <w:noWrap w:val="0"/>
            <w:vAlign w:val="center"/>
          </w:tcPr>
          <w:p w14:paraId="6F64CF79">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型  号</w:t>
            </w:r>
          </w:p>
        </w:tc>
        <w:tc>
          <w:tcPr>
            <w:tcW w:w="693" w:type="dxa"/>
            <w:noWrap w:val="0"/>
            <w:vAlign w:val="center"/>
          </w:tcPr>
          <w:p w14:paraId="331B95D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品牌</w:t>
            </w:r>
          </w:p>
        </w:tc>
        <w:tc>
          <w:tcPr>
            <w:tcW w:w="654" w:type="dxa"/>
            <w:noWrap w:val="0"/>
            <w:vAlign w:val="center"/>
          </w:tcPr>
          <w:p w14:paraId="5BDBA9A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单位</w:t>
            </w:r>
          </w:p>
        </w:tc>
        <w:tc>
          <w:tcPr>
            <w:tcW w:w="899" w:type="dxa"/>
            <w:noWrap w:val="0"/>
            <w:vAlign w:val="center"/>
          </w:tcPr>
          <w:p w14:paraId="2252EF78">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数量</w:t>
            </w:r>
          </w:p>
        </w:tc>
        <w:tc>
          <w:tcPr>
            <w:tcW w:w="1455" w:type="dxa"/>
            <w:noWrap w:val="0"/>
            <w:vAlign w:val="center"/>
          </w:tcPr>
          <w:p w14:paraId="67A10D38">
            <w:pPr>
              <w:spacing w:line="500" w:lineRule="exact"/>
              <w:jc w:val="center"/>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rPr>
              <w:t>单价</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元</w:t>
            </w:r>
            <w:r>
              <w:rPr>
                <w:rFonts w:hint="eastAsia" w:ascii="宋体" w:hAnsi="宋体" w:eastAsia="宋体" w:cs="宋体"/>
                <w:b w:val="0"/>
                <w:bCs w:val="0"/>
                <w:color w:val="000000"/>
                <w:sz w:val="21"/>
                <w:szCs w:val="21"/>
                <w:lang w:eastAsia="zh-CN"/>
              </w:rPr>
              <w:t>）</w:t>
            </w:r>
          </w:p>
        </w:tc>
        <w:tc>
          <w:tcPr>
            <w:tcW w:w="1415" w:type="dxa"/>
            <w:noWrap w:val="0"/>
            <w:vAlign w:val="center"/>
          </w:tcPr>
          <w:p w14:paraId="78F9AEA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金额</w:t>
            </w:r>
          </w:p>
          <w:p w14:paraId="17124D2B">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(元)</w:t>
            </w:r>
          </w:p>
        </w:tc>
        <w:tc>
          <w:tcPr>
            <w:tcW w:w="1071" w:type="dxa"/>
            <w:noWrap w:val="0"/>
            <w:vAlign w:val="center"/>
          </w:tcPr>
          <w:p w14:paraId="1599614A">
            <w:pPr>
              <w:spacing w:line="500" w:lineRule="exact"/>
              <w:jc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增值税税率</w:t>
            </w:r>
          </w:p>
        </w:tc>
      </w:tr>
      <w:tr w14:paraId="51BE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669" w:type="dxa"/>
            <w:noWrap w:val="0"/>
            <w:vAlign w:val="top"/>
          </w:tcPr>
          <w:p w14:paraId="2A76D2C9">
            <w:pPr>
              <w:spacing w:line="500" w:lineRule="exact"/>
              <w:jc w:val="center"/>
              <w:rPr>
                <w:rFonts w:hint="eastAsia" w:ascii="宋体" w:hAnsi="宋体" w:eastAsia="宋体" w:cs="宋体"/>
                <w:b w:val="0"/>
                <w:bCs w:val="0"/>
                <w:color w:val="000000"/>
                <w:sz w:val="21"/>
                <w:szCs w:val="21"/>
              </w:rPr>
            </w:pPr>
          </w:p>
        </w:tc>
        <w:tc>
          <w:tcPr>
            <w:tcW w:w="1284" w:type="dxa"/>
            <w:noWrap w:val="0"/>
            <w:vAlign w:val="center"/>
          </w:tcPr>
          <w:p w14:paraId="4CAD3E8A">
            <w:pPr>
              <w:spacing w:line="500" w:lineRule="exact"/>
              <w:jc w:val="center"/>
              <w:rPr>
                <w:rFonts w:hint="eastAsia" w:ascii="宋体" w:hAnsi="宋体" w:eastAsia="宋体" w:cs="宋体"/>
                <w:b w:val="0"/>
                <w:bCs w:val="0"/>
                <w:color w:val="000000"/>
                <w:sz w:val="21"/>
                <w:szCs w:val="21"/>
                <w:lang w:val="en-US" w:eastAsia="zh-CN"/>
              </w:rPr>
            </w:pPr>
          </w:p>
        </w:tc>
        <w:tc>
          <w:tcPr>
            <w:tcW w:w="976" w:type="dxa"/>
            <w:noWrap w:val="0"/>
            <w:vAlign w:val="center"/>
          </w:tcPr>
          <w:p w14:paraId="4EC75C74">
            <w:pPr>
              <w:spacing w:line="500" w:lineRule="exact"/>
              <w:jc w:val="center"/>
              <w:rPr>
                <w:rFonts w:hint="eastAsia" w:ascii="宋体" w:hAnsi="宋体" w:eastAsia="宋体" w:cs="宋体"/>
                <w:b w:val="0"/>
                <w:bCs w:val="0"/>
                <w:color w:val="000000"/>
                <w:sz w:val="21"/>
                <w:szCs w:val="21"/>
              </w:rPr>
            </w:pPr>
          </w:p>
        </w:tc>
        <w:tc>
          <w:tcPr>
            <w:tcW w:w="693" w:type="dxa"/>
            <w:noWrap w:val="0"/>
            <w:vAlign w:val="center"/>
          </w:tcPr>
          <w:p w14:paraId="09508976">
            <w:pPr>
              <w:spacing w:line="500" w:lineRule="exact"/>
              <w:jc w:val="center"/>
              <w:rPr>
                <w:rFonts w:hint="eastAsia" w:ascii="宋体" w:hAnsi="宋体" w:eastAsia="宋体" w:cs="宋体"/>
                <w:b w:val="0"/>
                <w:bCs w:val="0"/>
                <w:color w:val="000000"/>
                <w:sz w:val="21"/>
                <w:szCs w:val="21"/>
                <w:lang w:val="en-US" w:eastAsia="zh-CN"/>
              </w:rPr>
            </w:pPr>
          </w:p>
        </w:tc>
        <w:tc>
          <w:tcPr>
            <w:tcW w:w="654" w:type="dxa"/>
            <w:noWrap w:val="0"/>
            <w:vAlign w:val="center"/>
          </w:tcPr>
          <w:p w14:paraId="007291DF">
            <w:pPr>
              <w:spacing w:line="500" w:lineRule="exact"/>
              <w:jc w:val="center"/>
              <w:rPr>
                <w:rFonts w:hint="eastAsia" w:ascii="宋体" w:hAnsi="宋体" w:eastAsia="宋体" w:cs="宋体"/>
                <w:b w:val="0"/>
                <w:bCs w:val="0"/>
                <w:color w:val="000000"/>
                <w:sz w:val="21"/>
                <w:szCs w:val="21"/>
                <w:lang w:val="en-US" w:eastAsia="zh-CN"/>
              </w:rPr>
            </w:pPr>
          </w:p>
        </w:tc>
        <w:tc>
          <w:tcPr>
            <w:tcW w:w="899" w:type="dxa"/>
            <w:noWrap w:val="0"/>
            <w:vAlign w:val="center"/>
          </w:tcPr>
          <w:p w14:paraId="1562736A">
            <w:pPr>
              <w:spacing w:line="500" w:lineRule="exact"/>
              <w:jc w:val="center"/>
              <w:rPr>
                <w:rFonts w:hint="eastAsia" w:ascii="宋体" w:hAnsi="宋体" w:eastAsia="宋体" w:cs="宋体"/>
                <w:b w:val="0"/>
                <w:bCs w:val="0"/>
                <w:color w:val="000000"/>
                <w:sz w:val="21"/>
                <w:szCs w:val="21"/>
                <w:lang w:val="en-US" w:eastAsia="zh-CN"/>
              </w:rPr>
            </w:pPr>
          </w:p>
        </w:tc>
        <w:tc>
          <w:tcPr>
            <w:tcW w:w="1455" w:type="dxa"/>
            <w:noWrap w:val="0"/>
            <w:vAlign w:val="center"/>
          </w:tcPr>
          <w:p w14:paraId="7FE8BE41">
            <w:pPr>
              <w:spacing w:line="500" w:lineRule="exact"/>
              <w:jc w:val="center"/>
              <w:rPr>
                <w:rFonts w:hint="eastAsia" w:ascii="宋体" w:hAnsi="宋体" w:eastAsia="宋体" w:cs="宋体"/>
                <w:b w:val="0"/>
                <w:bCs w:val="0"/>
                <w:color w:val="000000"/>
                <w:sz w:val="21"/>
                <w:szCs w:val="21"/>
                <w:lang w:val="en-US" w:eastAsia="zh-CN"/>
              </w:rPr>
            </w:pPr>
          </w:p>
        </w:tc>
        <w:tc>
          <w:tcPr>
            <w:tcW w:w="1415" w:type="dxa"/>
            <w:noWrap w:val="0"/>
            <w:vAlign w:val="center"/>
          </w:tcPr>
          <w:p w14:paraId="5C677B18">
            <w:pPr>
              <w:spacing w:line="500" w:lineRule="exact"/>
              <w:jc w:val="center"/>
              <w:rPr>
                <w:rFonts w:hint="eastAsia" w:ascii="宋体" w:hAnsi="宋体" w:eastAsia="宋体" w:cs="宋体"/>
                <w:b w:val="0"/>
                <w:bCs w:val="0"/>
                <w:color w:val="000000"/>
                <w:sz w:val="21"/>
                <w:szCs w:val="21"/>
                <w:lang w:val="en-US" w:eastAsia="zh-CN"/>
              </w:rPr>
            </w:pPr>
          </w:p>
        </w:tc>
        <w:tc>
          <w:tcPr>
            <w:tcW w:w="1071" w:type="dxa"/>
            <w:noWrap w:val="0"/>
            <w:vAlign w:val="center"/>
          </w:tcPr>
          <w:p w14:paraId="3B49062A">
            <w:pPr>
              <w:spacing w:line="500" w:lineRule="exact"/>
              <w:jc w:val="center"/>
              <w:rPr>
                <w:rFonts w:hint="eastAsia" w:ascii="宋体" w:hAnsi="宋体" w:eastAsia="宋体" w:cs="宋体"/>
                <w:b w:val="0"/>
                <w:bCs w:val="0"/>
                <w:color w:val="000000"/>
                <w:sz w:val="21"/>
                <w:szCs w:val="21"/>
                <w:lang w:val="en-US" w:eastAsia="zh-CN"/>
              </w:rPr>
            </w:pPr>
          </w:p>
        </w:tc>
      </w:tr>
      <w:tr w14:paraId="54D6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116" w:type="dxa"/>
            <w:gridSpan w:val="9"/>
            <w:noWrap w:val="0"/>
            <w:vAlign w:val="top"/>
          </w:tcPr>
          <w:p w14:paraId="7006D58A">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合计（含税）：</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lang w:val="en-US" w:eastAsia="zh-CN"/>
              </w:rPr>
              <w:t>元</w:t>
            </w:r>
          </w:p>
        </w:tc>
      </w:tr>
      <w:tr w14:paraId="3AB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953" w:type="dxa"/>
            <w:gridSpan w:val="2"/>
            <w:noWrap w:val="0"/>
            <w:vAlign w:val="center"/>
          </w:tcPr>
          <w:p w14:paraId="5FE0A89E">
            <w:pPr>
              <w:spacing w:line="500" w:lineRule="exact"/>
              <w:jc w:val="center"/>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合  计</w:t>
            </w:r>
          </w:p>
        </w:tc>
        <w:tc>
          <w:tcPr>
            <w:tcW w:w="7163" w:type="dxa"/>
            <w:gridSpan w:val="7"/>
            <w:noWrap w:val="0"/>
            <w:vAlign w:val="center"/>
          </w:tcPr>
          <w:p w14:paraId="1F6EB0BA">
            <w:pPr>
              <w:spacing w:line="500" w:lineRule="exac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含税总价：</w:t>
            </w:r>
            <w:r>
              <w:rPr>
                <w:rFonts w:hint="eastAsia" w:ascii="宋体" w:hAnsi="宋体" w:eastAsia="宋体" w:cs="宋体"/>
                <w:b w:val="0"/>
                <w:bCs w:val="0"/>
                <w:color w:val="000000"/>
                <w:sz w:val="21"/>
                <w:szCs w:val="21"/>
                <w:lang w:val="en-US" w:eastAsia="zh-CN"/>
              </w:rPr>
              <w:t xml:space="preserve"> </w:t>
            </w:r>
          </w:p>
        </w:tc>
      </w:tr>
    </w:tbl>
    <w:p w14:paraId="3DCDBE4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二、合同价款</w:t>
      </w:r>
    </w:p>
    <w:p w14:paraId="4265897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1、合同总价：</w:t>
      </w:r>
    </w:p>
    <w:p w14:paraId="2A81CBC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2、合同总价包括：</w:t>
      </w:r>
      <w:r>
        <w:rPr>
          <w:rFonts w:hint="eastAsia" w:ascii="宋体" w:hAnsi="宋体" w:eastAsia="宋体" w:cs="宋体"/>
          <w:sz w:val="21"/>
          <w:szCs w:val="21"/>
          <w:lang w:val="en-US" w:eastAsia="zh-CN"/>
        </w:rPr>
        <w:t>完成招标文件所确定采购范围内全部工作内容的价格，</w:t>
      </w:r>
      <w:r>
        <w:rPr>
          <w:rFonts w:hint="eastAsia" w:ascii="宋体" w:hAnsi="宋体" w:eastAsia="宋体" w:cs="宋体"/>
          <w:sz w:val="21"/>
          <w:szCs w:val="21"/>
        </w:rPr>
        <w:t>包</w:t>
      </w:r>
      <w:r>
        <w:rPr>
          <w:rFonts w:hint="eastAsia" w:ascii="宋体" w:hAnsi="宋体" w:eastAsia="宋体" w:cs="宋体"/>
          <w:sz w:val="21"/>
          <w:szCs w:val="21"/>
          <w:lang w:val="en-US" w:eastAsia="zh-CN"/>
        </w:rPr>
        <w:t>含但不限于材料</w:t>
      </w:r>
      <w:r>
        <w:rPr>
          <w:rFonts w:hint="eastAsia" w:ascii="宋体" w:hAnsi="宋体" w:eastAsia="宋体" w:cs="宋体"/>
          <w:sz w:val="21"/>
          <w:szCs w:val="21"/>
          <w:lang w:eastAsia="zh-CN"/>
        </w:rPr>
        <w:t>费、</w:t>
      </w:r>
      <w:r>
        <w:rPr>
          <w:rFonts w:hint="eastAsia" w:ascii="宋体" w:hAnsi="宋体" w:eastAsia="宋体" w:cs="宋体"/>
          <w:sz w:val="21"/>
          <w:szCs w:val="21"/>
          <w:lang w:val="en-US" w:eastAsia="zh-CN"/>
        </w:rPr>
        <w:t>安装调试费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税金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运输及运输保险费</w:t>
      </w:r>
      <w:r>
        <w:rPr>
          <w:rFonts w:hint="eastAsia" w:ascii="宋体" w:hAnsi="宋体" w:eastAsia="宋体" w:cs="宋体"/>
          <w:sz w:val="21"/>
          <w:szCs w:val="21"/>
        </w:rPr>
        <w:t>、</w:t>
      </w:r>
      <w:r>
        <w:rPr>
          <w:rFonts w:hint="eastAsia" w:ascii="宋体" w:hAnsi="宋体" w:eastAsia="宋体" w:cs="宋体"/>
          <w:sz w:val="21"/>
          <w:szCs w:val="21"/>
          <w:lang w:val="en-US" w:eastAsia="zh-CN"/>
        </w:rPr>
        <w:t>装卸费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申报有关部门检验费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质保期内维修保护费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特殊工具费</w:t>
      </w:r>
      <w:r>
        <w:rPr>
          <w:rFonts w:hint="eastAsia" w:ascii="宋体" w:hAnsi="宋体" w:eastAsia="宋体" w:cs="宋体"/>
          <w:sz w:val="21"/>
          <w:szCs w:val="21"/>
          <w:lang w:eastAsia="zh-CN"/>
        </w:rPr>
        <w:t>、</w:t>
      </w:r>
      <w:r>
        <w:rPr>
          <w:rFonts w:hint="eastAsia" w:ascii="宋体" w:hAnsi="宋体" w:eastAsia="宋体" w:cs="宋体"/>
          <w:sz w:val="21"/>
          <w:szCs w:val="21"/>
        </w:rPr>
        <w:t>售后服务费、验收费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政策性文件规定及合同包含的所有风险、责任等各项全部费用</w:t>
      </w:r>
      <w:r>
        <w:rPr>
          <w:rFonts w:hint="eastAsia" w:ascii="宋体" w:hAnsi="宋体" w:eastAsia="宋体" w:cs="宋体"/>
          <w:sz w:val="21"/>
          <w:szCs w:val="21"/>
        </w:rPr>
        <w:t>。</w:t>
      </w:r>
    </w:p>
    <w:p w14:paraId="7CB2C23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3、合同有效期内，合同总价一次包死，不受国家政策性调价或原材料价格变化及外汇汇率变化的影响，并作为最终结算的依据。</w:t>
      </w:r>
    </w:p>
    <w:p w14:paraId="5EDFCEFE">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三、合同结算</w:t>
      </w:r>
    </w:p>
    <w:p w14:paraId="63474F9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1、付款</w:t>
      </w:r>
      <w:r>
        <w:rPr>
          <w:rFonts w:hint="eastAsia" w:ascii="宋体" w:hAnsi="宋体" w:eastAsia="宋体" w:cs="宋体"/>
          <w:b/>
          <w:sz w:val="21"/>
          <w:szCs w:val="21"/>
          <w:highlight w:val="none"/>
          <w:lang w:val="en-US" w:eastAsia="zh-CN"/>
        </w:rPr>
        <w:t>方式及</w:t>
      </w:r>
      <w:r>
        <w:rPr>
          <w:rFonts w:hint="eastAsia" w:ascii="宋体" w:hAnsi="宋体" w:eastAsia="宋体" w:cs="宋体"/>
          <w:b/>
          <w:sz w:val="21"/>
          <w:szCs w:val="21"/>
          <w:highlight w:val="none"/>
        </w:rPr>
        <w:t>比例：</w:t>
      </w:r>
    </w:p>
    <w:p w14:paraId="3409AE5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highlight w:val="none"/>
          <w:lang w:val="en-US" w:eastAsia="zh-CN"/>
        </w:rPr>
        <w:t>合同签订后乙方开具相应金额的</w:t>
      </w:r>
      <w:r>
        <w:rPr>
          <w:rFonts w:hint="eastAsia" w:ascii="宋体" w:hAnsi="宋体" w:eastAsia="宋体" w:cs="宋体"/>
          <w:b w:val="0"/>
          <w:bCs/>
          <w:sz w:val="21"/>
          <w:szCs w:val="21"/>
          <w:lang w:val="en-US" w:eastAsia="zh-CN"/>
        </w:rPr>
        <w:t>正式发票，</w:t>
      </w:r>
      <w:r>
        <w:rPr>
          <w:rFonts w:hint="eastAsia" w:ascii="宋体" w:hAnsi="宋体" w:cs="宋体"/>
          <w:b w:val="0"/>
          <w:bCs/>
          <w:sz w:val="21"/>
          <w:szCs w:val="21"/>
          <w:lang w:val="en-US" w:eastAsia="zh-CN"/>
        </w:rPr>
        <w:t>达到付款条件起10日内，</w:t>
      </w:r>
      <w:r>
        <w:rPr>
          <w:rFonts w:hint="eastAsia" w:ascii="宋体" w:hAnsi="宋体" w:eastAsia="宋体" w:cs="宋体"/>
          <w:b w:val="0"/>
          <w:bCs/>
          <w:sz w:val="21"/>
          <w:szCs w:val="21"/>
          <w:lang w:val="en-US" w:eastAsia="zh-CN"/>
        </w:rPr>
        <w:t>甲方支付乙方合同总价的</w:t>
      </w:r>
      <w:r>
        <w:rPr>
          <w:rFonts w:hint="eastAsia" w:ascii="宋体" w:hAnsi="宋体" w:cs="宋体"/>
          <w:b w:val="0"/>
          <w:bCs/>
          <w:sz w:val="21"/>
          <w:szCs w:val="21"/>
          <w:lang w:val="en-US" w:eastAsia="zh-CN"/>
        </w:rPr>
        <w:t>40</w:t>
      </w:r>
      <w:r>
        <w:rPr>
          <w:rFonts w:hint="eastAsia" w:ascii="宋体" w:hAnsi="宋体" w:eastAsia="宋体" w:cs="宋体"/>
          <w:b w:val="0"/>
          <w:bCs/>
          <w:sz w:val="21"/>
          <w:szCs w:val="21"/>
          <w:lang w:val="en-US" w:eastAsia="zh-CN"/>
        </w:rPr>
        <w:t>% ，即：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元；乙方将所有货物供至甲方指定地点后，由乙方提出书面验收申请，自申请之日起7个工作日内，甲方组织相关专家进行验收</w:t>
      </w:r>
      <w:r>
        <w:rPr>
          <w:rFonts w:hint="eastAsia" w:ascii="宋体" w:hAnsi="宋体" w:cs="宋体"/>
          <w:b w:val="0"/>
          <w:bCs/>
          <w:sz w:val="21"/>
          <w:szCs w:val="21"/>
          <w:lang w:val="en-US" w:eastAsia="zh-CN"/>
        </w:rPr>
        <w:t>，验收合格后，达到付款条件起10日内，</w:t>
      </w:r>
      <w:r>
        <w:rPr>
          <w:rFonts w:hint="eastAsia" w:ascii="宋体" w:hAnsi="宋体" w:eastAsia="宋体" w:cs="宋体"/>
          <w:b w:val="0"/>
          <w:bCs/>
          <w:sz w:val="21"/>
          <w:szCs w:val="21"/>
          <w:lang w:val="en-US" w:eastAsia="zh-CN"/>
        </w:rPr>
        <w:t>甲方支付乙方剩余</w:t>
      </w:r>
      <w:r>
        <w:rPr>
          <w:rFonts w:hint="eastAsia" w:ascii="宋体" w:hAnsi="宋体" w:cs="宋体"/>
          <w:b w:val="0"/>
          <w:bCs/>
          <w:sz w:val="21"/>
          <w:szCs w:val="21"/>
          <w:lang w:val="en-US" w:eastAsia="zh-CN"/>
        </w:rPr>
        <w:t>60</w:t>
      </w:r>
      <w:r>
        <w:rPr>
          <w:rFonts w:hint="eastAsia" w:ascii="宋体" w:hAnsi="宋体" w:eastAsia="宋体" w:cs="宋体"/>
          <w:b w:val="0"/>
          <w:bCs/>
          <w:sz w:val="21"/>
          <w:szCs w:val="21"/>
          <w:lang w:val="en-US" w:eastAsia="zh-CN"/>
        </w:rPr>
        <w:t>%货款，即：</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元。</w:t>
      </w:r>
    </w:p>
    <w:p w14:paraId="4F9FB3A0">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sz w:val="21"/>
          <w:szCs w:val="21"/>
        </w:rPr>
      </w:pPr>
      <w:r>
        <w:rPr>
          <w:rFonts w:hint="eastAsia" w:ascii="宋体" w:hAnsi="宋体" w:eastAsia="宋体" w:cs="宋体"/>
          <w:b/>
          <w:sz w:val="21"/>
          <w:szCs w:val="21"/>
        </w:rPr>
        <w:t>2、结算方式：银行转账。</w:t>
      </w:r>
    </w:p>
    <w:p w14:paraId="506B1B39">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rPr>
        <w:t>四、交货条件</w:t>
      </w:r>
      <w:r>
        <w:rPr>
          <w:rFonts w:hint="eastAsia" w:ascii="宋体" w:hAnsi="宋体" w:cs="宋体"/>
          <w:b/>
          <w:bCs/>
          <w:sz w:val="21"/>
          <w:szCs w:val="21"/>
          <w:lang w:eastAsia="zh-CN"/>
        </w:rPr>
        <w:t>：</w:t>
      </w:r>
    </w:p>
    <w:p w14:paraId="254ECC3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交货地点：</w:t>
      </w:r>
      <w:r>
        <w:rPr>
          <w:rFonts w:hint="eastAsia" w:ascii="宋体" w:hAnsi="宋体" w:cs="宋体"/>
          <w:b w:val="0"/>
          <w:bCs/>
          <w:sz w:val="21"/>
          <w:szCs w:val="21"/>
          <w:u w:val="single"/>
          <w:lang w:val="en-US" w:eastAsia="zh-CN"/>
        </w:rPr>
        <w:t xml:space="preserve">            </w:t>
      </w:r>
      <w:r>
        <w:rPr>
          <w:rFonts w:hint="eastAsia" w:ascii="宋体" w:hAnsi="宋体" w:eastAsia="宋体" w:cs="宋体"/>
          <w:b w:val="0"/>
          <w:bCs/>
          <w:sz w:val="21"/>
          <w:szCs w:val="21"/>
        </w:rPr>
        <w:t>。</w:t>
      </w:r>
    </w:p>
    <w:p w14:paraId="0ED021D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交货期：</w:t>
      </w:r>
      <w:r>
        <w:rPr>
          <w:rFonts w:hint="eastAsia" w:ascii="宋体" w:hAnsi="宋体" w:eastAsia="宋体" w:cs="宋体"/>
          <w:b/>
          <w:bCs/>
          <w:sz w:val="21"/>
          <w:szCs w:val="21"/>
          <w:u w:val="single"/>
          <w:lang w:val="en-US" w:eastAsia="zh-CN"/>
        </w:rPr>
        <w:t xml:space="preserve">              </w:t>
      </w:r>
    </w:p>
    <w:p w14:paraId="1A1F3B68">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六、</w:t>
      </w:r>
      <w:r>
        <w:rPr>
          <w:rFonts w:hint="eastAsia" w:ascii="宋体" w:hAnsi="宋体" w:eastAsia="宋体" w:cs="宋体"/>
          <w:b/>
          <w:bCs/>
          <w:sz w:val="21"/>
          <w:szCs w:val="21"/>
        </w:rPr>
        <w:t>质量</w:t>
      </w:r>
      <w:r>
        <w:rPr>
          <w:rFonts w:hint="eastAsia" w:ascii="宋体" w:hAnsi="宋体" w:cs="宋体"/>
          <w:b/>
          <w:bCs/>
          <w:sz w:val="21"/>
          <w:szCs w:val="21"/>
          <w:lang w:val="en-US" w:eastAsia="zh-CN"/>
        </w:rPr>
        <w:t>保修范围和质保期</w:t>
      </w:r>
    </w:p>
    <w:p w14:paraId="3AF69B52">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3E584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（2）在质量保证期内，如果货物的质量、规格、技术指标等与合同有任何一项不符，买方应尽快以书面形式向卖方提出索赔。同时应向政府采购管理部门报告。</w:t>
      </w:r>
    </w:p>
    <w:p w14:paraId="3E32147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（3）卖方在收到买方的通知后，应及时免费维修或更换有缺陷的货物或部件，并相应延长保修期限。具体响应时限见专用合同条款。</w:t>
      </w:r>
    </w:p>
    <w:p w14:paraId="7F47168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（4）如果卖方在收到通知后，没有在上述专用合同条款中规定的时限内及时弥补缺陷，买方可采取必要的补救措施，但其风险和费用将由卖方承担，买方根据合同规定对卖方行使的其它权力不受影响。</w:t>
      </w:r>
    </w:p>
    <w:p w14:paraId="32D1F6B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（5）质量保修期：1年。</w:t>
      </w:r>
    </w:p>
    <w:p w14:paraId="1756B14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七、技术服务</w:t>
      </w:r>
    </w:p>
    <w:p w14:paraId="1FBDB74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1、对技术服务的要求：</w:t>
      </w:r>
    </w:p>
    <w:p w14:paraId="4BA2784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2、技术资料：</w:t>
      </w:r>
    </w:p>
    <w:p w14:paraId="151942F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2-1、产品合格证及检验报告；</w:t>
      </w:r>
    </w:p>
    <w:p w14:paraId="486E879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2-2、产品使用说明书（中文）；</w:t>
      </w:r>
    </w:p>
    <w:p w14:paraId="3584616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2-3、其它资料。</w:t>
      </w:r>
    </w:p>
    <w:p w14:paraId="16C6096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3、技术培训：</w:t>
      </w:r>
    </w:p>
    <w:p w14:paraId="38A610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3-1、培训内容：</w:t>
      </w:r>
    </w:p>
    <w:p w14:paraId="391BD37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3-2、培训地点：</w:t>
      </w:r>
    </w:p>
    <w:p w14:paraId="360C52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3-3、培训时间：</w:t>
      </w:r>
    </w:p>
    <w:p w14:paraId="6A44AA5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3-4、培训人数：</w:t>
      </w:r>
    </w:p>
    <w:p w14:paraId="5FF2087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3-5、培训费用：受训人员的食宿费、资料费、培训场地费、耗材（包括水电费等）费等已包含在合同总价中，甲方不再另行支付。</w:t>
      </w:r>
    </w:p>
    <w:p w14:paraId="705EFD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4、售后服务</w:t>
      </w:r>
    </w:p>
    <w:p w14:paraId="48C577D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4-1、乙方在接到甲方保修电话故障通知后在</w:t>
      </w:r>
      <w:r>
        <w:rPr>
          <w:rFonts w:hint="eastAsia" w:ascii="宋体" w:hAnsi="宋体" w:eastAsia="宋体" w:cs="宋体"/>
          <w:sz w:val="21"/>
          <w:szCs w:val="21"/>
          <w:u w:val="single"/>
        </w:rPr>
        <w:t xml:space="preserve">   </w:t>
      </w:r>
      <w:r>
        <w:rPr>
          <w:rFonts w:hint="eastAsia" w:ascii="宋体" w:hAnsi="宋体" w:eastAsia="宋体" w:cs="宋体"/>
          <w:sz w:val="21"/>
          <w:szCs w:val="21"/>
        </w:rPr>
        <w:t>小时内派出合格的维修人员到达现场进行维修服务，承担相应费用，若需将产品送回生产厂，乙方应提供备用机、承担维修设备所需的往返费用。</w:t>
      </w:r>
    </w:p>
    <w:p w14:paraId="23ACC35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4-2、如果乙方在收到通知后2天内没有弥补缺陷，甲方可采取必要的补救措施，但其风险和费用将由乙方承担，甲方根据合同规定对乙方行使的其它权力不受影响。甲方亦可从质保金中扣回索赔金额。</w:t>
      </w:r>
    </w:p>
    <w:p w14:paraId="72F16CC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5、伴随服务</w:t>
      </w:r>
    </w:p>
    <w:p w14:paraId="5DAE1D7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5-1、乙方应随同每套货物提供相应的中文的技术文件。</w:t>
      </w:r>
    </w:p>
    <w:p w14:paraId="01F2C9C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5-1-1、完整的操作使用手册和维护、修理技术文件，图纸、保修卡等。</w:t>
      </w:r>
    </w:p>
    <w:p w14:paraId="62D4835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5-1-2、制造厂的检验、测试报告、设备检验合格证书，计量合格等级证书，质量保证书等文件须随设备装箱提供。</w:t>
      </w:r>
    </w:p>
    <w:p w14:paraId="5D09C529">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5-1-3、必须的其它技术资料。</w:t>
      </w:r>
    </w:p>
    <w:p w14:paraId="0F22F70E">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5-2、伴随服务的费用已含在合同价中，不单独进行支付。</w:t>
      </w:r>
    </w:p>
    <w:p w14:paraId="31B72CB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6、包装要求</w:t>
      </w:r>
    </w:p>
    <w:p w14:paraId="3099045F">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6-1、除合同另有规定外，乙方提供的全部货物，均应按标准保护措施进行包装，并确保货物安全无损运抵甲方指定地点。</w:t>
      </w:r>
    </w:p>
    <w:p w14:paraId="3D6886F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6-2、每一个包装箱内应附一份详细装箱单和质量合格证。</w:t>
      </w:r>
    </w:p>
    <w:p w14:paraId="39A423B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7、乙方应保证甲方在使用该货物或其任何一部分时免受第三方提出侵犯其专利权·商标权或工业设计权的起诉。</w:t>
      </w:r>
    </w:p>
    <w:p w14:paraId="3C95A03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八、验收</w:t>
      </w:r>
    </w:p>
    <w:p w14:paraId="6FF8EB7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1、到货验收：货物到货后，由甲方与乙方共同进行外观验收，验收内容包括，外包装的完好性，货物品牌、规格、数量及产地与合同要求的一致性。</w:t>
      </w:r>
    </w:p>
    <w:p w14:paraId="27CF3425">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2、货物运行验收：乙方安装调试合格后，向甲方提出验收申请，甲方接到乙方验收申请后组织验收（必要时可聘请相应专家或委托相应部门验收），验收合格后，出具使用验收合格证明。</w:t>
      </w:r>
    </w:p>
    <w:p w14:paraId="798B94B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3、最终验收：最终验收结果作为付款依据，乙方填写验收单，并向甲方提交实施过程中的所有资料，以便甲方日后管理和维护。</w:t>
      </w:r>
    </w:p>
    <w:p w14:paraId="1125B136">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4、质保期满后：由乙方出具质保期运行质量报告，若存在质量问题，应按相应规定协商处理。</w:t>
      </w:r>
    </w:p>
    <w:p w14:paraId="300F2AE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5、验收依据：</w:t>
      </w:r>
    </w:p>
    <w:p w14:paraId="70E18E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5-1、合同文本、合同附件、招标文件、投标文件。</w:t>
      </w:r>
    </w:p>
    <w:p w14:paraId="09BFFD05">
      <w:pPr>
        <w:pStyle w:val="7"/>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5-2、现行的国家标</w:t>
      </w:r>
      <w:r>
        <w:rPr>
          <w:rFonts w:hint="eastAsia" w:ascii="宋体" w:hAnsi="宋体" w:eastAsia="宋体" w:cs="宋体"/>
          <w:sz w:val="21"/>
          <w:szCs w:val="21"/>
          <w:highlight w:val="none"/>
          <w:lang w:val="en-US" w:eastAsia="zh-CN"/>
        </w:rPr>
        <w:t>准或国家行政部门颁布的法律法规、规章制度等，是项目验收的另一个重要依据。没有国家标准的，可以参考行业标准。</w:t>
      </w:r>
    </w:p>
    <w:p w14:paraId="108A135C">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九、违约责任</w:t>
      </w:r>
    </w:p>
    <w:p w14:paraId="1C2CA1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违约责任：依据《中华人民共和国民法典》、《中华人民共和国政府采购法》的相关条款和本合同约定，中标人未全面履行合同义务或者发生违约，采购单位会同采购代理机构有权终止合同，依法向中标人进行经济索赔，并报请政府采购监督管理机关进行相应的行政处罚。采购单位违约的，应当赔偿给中标人造成的经济损失。</w:t>
      </w:r>
      <w:bookmarkStart w:id="0" w:name="_GoBack"/>
      <w:bookmarkEnd w:id="0"/>
    </w:p>
    <w:p w14:paraId="1283BC0F">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十、争议解决</w:t>
      </w:r>
    </w:p>
    <w:p w14:paraId="4F4578FC">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14:paraId="4DE56A5B">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rPr>
        <w:t>、合同组成</w:t>
      </w:r>
    </w:p>
    <w:p w14:paraId="60B83AE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1、中标通知书</w:t>
      </w:r>
    </w:p>
    <w:p w14:paraId="349E45BD">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2、合同文件</w:t>
      </w:r>
    </w:p>
    <w:p w14:paraId="1D9D321A">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3、国家相关规范及标准</w:t>
      </w:r>
    </w:p>
    <w:p w14:paraId="0A27E027">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4、供货设备技术规格及参数表</w:t>
      </w:r>
    </w:p>
    <w:p w14:paraId="20D1B2EB">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5、招标文件</w:t>
      </w:r>
    </w:p>
    <w:p w14:paraId="6FFC85B1">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6、投标文件</w:t>
      </w:r>
    </w:p>
    <w:p w14:paraId="231F3A43">
      <w:pPr>
        <w:keepNext w:val="0"/>
        <w:keepLines w:val="0"/>
        <w:pageBreakBefore w:val="0"/>
        <w:widowControl w:val="0"/>
        <w:kinsoku/>
        <w:wordWrap/>
        <w:overflowPunct/>
        <w:topLinePunct w:val="0"/>
        <w:autoSpaceDE/>
        <w:autoSpaceDN/>
        <w:bidi w:val="0"/>
        <w:adjustRightInd/>
        <w:spacing w:line="360" w:lineRule="auto"/>
        <w:ind w:left="0" w:leftChars="0" w:firstLine="422" w:firstLineChars="200"/>
        <w:rPr>
          <w:rFonts w:hint="eastAsia" w:ascii="宋体" w:hAnsi="宋体" w:eastAsia="宋体" w:cs="宋体"/>
          <w:b/>
          <w:bCs/>
          <w:sz w:val="21"/>
          <w:szCs w:val="21"/>
        </w:rPr>
      </w:pPr>
      <w:r>
        <w:rPr>
          <w:rFonts w:hint="eastAsia" w:ascii="宋体" w:hAnsi="宋体" w:eastAsia="宋体" w:cs="宋体"/>
          <w:b/>
          <w:bCs/>
          <w:sz w:val="21"/>
          <w:szCs w:val="21"/>
        </w:rPr>
        <w:t>十</w:t>
      </w:r>
      <w:r>
        <w:rPr>
          <w:rFonts w:hint="eastAsia" w:ascii="宋体" w:hAnsi="宋体" w:cs="宋体"/>
          <w:b/>
          <w:bCs/>
          <w:sz w:val="21"/>
          <w:szCs w:val="21"/>
          <w:lang w:val="en-US" w:eastAsia="zh-CN"/>
        </w:rPr>
        <w:t>二</w:t>
      </w:r>
      <w:r>
        <w:rPr>
          <w:rFonts w:hint="eastAsia" w:ascii="宋体" w:hAnsi="宋体" w:eastAsia="宋体" w:cs="宋体"/>
          <w:b/>
          <w:bCs/>
          <w:sz w:val="21"/>
          <w:szCs w:val="21"/>
        </w:rPr>
        <w:t>、合同生效及其它</w:t>
      </w:r>
    </w:p>
    <w:p w14:paraId="37284444">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06813353">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2、 本合同一式</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份，甲方、乙方双方分别执</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w:t>
      </w:r>
      <w:r>
        <w:rPr>
          <w:rFonts w:hint="eastAsia" w:ascii="宋体" w:hAnsi="宋体" w:eastAsia="宋体" w:cs="宋体"/>
          <w:sz w:val="21"/>
          <w:szCs w:val="21"/>
          <w:lang w:val="en-US" w:eastAsia="zh-CN"/>
        </w:rPr>
        <w:t xml:space="preserve">   </w:t>
      </w:r>
    </w:p>
    <w:p w14:paraId="025FB730">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3、合同经甲乙双方盖章、签字后生效，合同签订地点为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14:paraId="39D07B08">
      <w:pPr>
        <w:keepNext w:val="0"/>
        <w:keepLines w:val="0"/>
        <w:pageBreakBefore w:val="0"/>
        <w:widowControl w:val="0"/>
        <w:kinsoku/>
        <w:wordWrap/>
        <w:overflowPunct/>
        <w:topLinePunct w:val="0"/>
        <w:autoSpaceDE/>
        <w:autoSpaceDN/>
        <w:bidi w:val="0"/>
        <w:adjustRightInd/>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4、生效时间：   年  月  日</w:t>
      </w:r>
    </w:p>
    <w:tbl>
      <w:tblPr>
        <w:tblStyle w:val="5"/>
        <w:tblW w:w="0" w:type="auto"/>
        <w:jc w:val="center"/>
        <w:tblLayout w:type="fixed"/>
        <w:tblCellMar>
          <w:top w:w="0" w:type="dxa"/>
          <w:left w:w="108" w:type="dxa"/>
          <w:bottom w:w="0" w:type="dxa"/>
          <w:right w:w="108" w:type="dxa"/>
        </w:tblCellMar>
      </w:tblPr>
      <w:tblGrid>
        <w:gridCol w:w="4497"/>
        <w:gridCol w:w="4496"/>
      </w:tblGrid>
      <w:tr w14:paraId="54DBD7A5">
        <w:tblPrEx>
          <w:tblCellMar>
            <w:top w:w="0" w:type="dxa"/>
            <w:left w:w="108" w:type="dxa"/>
            <w:bottom w:w="0" w:type="dxa"/>
            <w:right w:w="108" w:type="dxa"/>
          </w:tblCellMar>
        </w:tblPrEx>
        <w:trPr>
          <w:jc w:val="center"/>
        </w:trPr>
        <w:tc>
          <w:tcPr>
            <w:tcW w:w="4497" w:type="dxa"/>
            <w:noWrap w:val="0"/>
            <w:vAlign w:val="top"/>
          </w:tcPr>
          <w:p w14:paraId="63E9469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甲方名称（盖章）:</w:t>
            </w:r>
          </w:p>
          <w:p w14:paraId="74B15B1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35CA503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28A13CF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656937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6CB2CA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c>
          <w:tcPr>
            <w:tcW w:w="4496" w:type="dxa"/>
            <w:noWrap w:val="0"/>
            <w:vAlign w:val="top"/>
          </w:tcPr>
          <w:p w14:paraId="06FFC70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乙方名称（盖章）:</w:t>
            </w:r>
          </w:p>
          <w:p w14:paraId="0A49F70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地址：</w:t>
            </w:r>
          </w:p>
          <w:p w14:paraId="7F5CF36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代表人（签字）：</w:t>
            </w:r>
          </w:p>
          <w:p w14:paraId="5B77003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电话：</w:t>
            </w:r>
          </w:p>
          <w:p w14:paraId="51CA104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406D4E6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帐号：</w:t>
            </w:r>
          </w:p>
        </w:tc>
      </w:tr>
    </w:tbl>
    <w:p w14:paraId="0220ACB7"/>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809C6"/>
    <w:rsid w:val="083F2B06"/>
    <w:rsid w:val="086D6E3B"/>
    <w:rsid w:val="110A3BCF"/>
    <w:rsid w:val="12EA31D2"/>
    <w:rsid w:val="170809C6"/>
    <w:rsid w:val="29507ADC"/>
    <w:rsid w:val="2CB856B6"/>
    <w:rsid w:val="325D78EF"/>
    <w:rsid w:val="33296443"/>
    <w:rsid w:val="3A7A0959"/>
    <w:rsid w:val="50BC44E0"/>
    <w:rsid w:val="52AD40C8"/>
    <w:rsid w:val="5A2F1813"/>
    <w:rsid w:val="6122434D"/>
    <w:rsid w:val="6B7822AA"/>
    <w:rsid w:val="6E1021E6"/>
    <w:rsid w:val="73271FF0"/>
    <w:rsid w:val="739240EC"/>
    <w:rsid w:val="7D102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pPr>
      <w:jc w:val="center"/>
    </w:pPr>
  </w:style>
  <w:style w:type="paragraph" w:styleId="4">
    <w:name w:val="Body Text Indent"/>
    <w:basedOn w:val="1"/>
    <w:qFormat/>
    <w:uiPriority w:val="0"/>
    <w:pPr>
      <w:spacing w:after="120" w:afterLines="0" w:afterAutospacing="0"/>
      <w:ind w:left="420" w:leftChars="200"/>
    </w:pPr>
  </w:style>
  <w:style w:type="paragraph" w:customStyle="1" w:styleId="7">
    <w:name w:val="MessageHeader"/>
    <w:basedOn w:val="1"/>
    <w:next w:val="8"/>
    <w:qFormat/>
    <w:uiPriority w:val="0"/>
    <w:pPr>
      <w:pBdr>
        <w:top w:val="none" w:color="000000" w:sz="0" w:space="1"/>
        <w:left w:val="none" w:color="000000" w:sz="0" w:space="1"/>
        <w:bottom w:val="none" w:color="000000" w:sz="0" w:space="1"/>
        <w:right w:val="none" w:color="000000" w:sz="0" w:space="1"/>
      </w:pBdr>
      <w:snapToGrid w:val="0"/>
      <w:spacing w:line="360" w:lineRule="auto"/>
      <w:jc w:val="both"/>
      <w:textAlignment w:val="baseline"/>
    </w:pPr>
    <w:rPr>
      <w:rFonts w:ascii="Arial" w:hAnsi="Arial"/>
      <w:kern w:val="2"/>
      <w:sz w:val="28"/>
      <w:lang w:val="en-US" w:eastAsia="zh-CN" w:bidi="ar-SA"/>
    </w:rPr>
  </w:style>
  <w:style w:type="paragraph" w:customStyle="1" w:styleId="8">
    <w:name w:val="BodyText"/>
    <w:basedOn w:val="1"/>
    <w:next w:val="1"/>
    <w:qFormat/>
    <w:uiPriority w:val="0"/>
    <w:pPr>
      <w:jc w:val="center"/>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2405</Words>
  <Characters>2455</Characters>
  <Lines>0</Lines>
  <Paragraphs>0</Paragraphs>
  <TotalTime>2</TotalTime>
  <ScaleCrop>false</ScaleCrop>
  <LinksUpToDate>false</LinksUpToDate>
  <CharactersWithSpaces>2549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2025-07-11T01:58:00Z</dcterms:created>
  <dc:creator>蒲公瑛</dc:creator>
  <cp:lastModifiedBy>蒲公瑛</cp:lastModifiedBy>
  <dcterms:modified xsi:type="dcterms:W3CDTF">2026-06-25T08:47:25Z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57F1F8E4E19F4B1E8EADBABB5B6B2821_11</vt:lpwstr>
  </property>
  <property fmtid="{D5CDD505-2E9C-101B-9397-08002B2CF9AE}" pid="4" name="KSOTemplateDocerSaveRecord">
    <vt:lpwstr>eyJoZGlkIjoiMjMyMjQ3NWZiMzY3ZGRlYWM4ZTc5M2RlNjk3ZDU4ODQiLCJ1c2VySWQiOiIyNjczNDI4MzEifQ==</vt:lpwstr>
  </property>
</Properties>
</file>