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930EF">
      <w:pPr>
        <w:bidi w:val="0"/>
        <w:jc w:val="center"/>
        <w:outlineLvl w:val="9"/>
      </w:pPr>
      <w:bookmarkStart w:id="0" w:name="_GoBack"/>
      <w:r>
        <w:rPr>
          <w:rFonts w:hint="eastAsia" w:ascii="仿宋_GB2312" w:hAnsi="仿宋_GB2312" w:eastAsia="仿宋_GB2312" w:cs="仿宋_GB2312"/>
        </w:rPr>
        <w:t>技术、服务、合同条款及其他商务要求应答表</w:t>
      </w:r>
      <w:bookmarkEnd w:id="0"/>
      <w:r>
        <w:rPr>
          <w:rFonts w:ascii="仿宋_GB2312" w:hAnsi="仿宋_GB2312" w:eastAsia="仿宋_GB2312" w:cs="仿宋_GB2312"/>
        </w:rPr>
        <w:br w:type="textWrapping"/>
      </w:r>
    </w:p>
    <w:p w14:paraId="66E42ADD">
      <w:pPr>
        <w:tabs>
          <w:tab w:val="left" w:pos="1260"/>
        </w:tabs>
        <w:adjustRightInd w:val="0"/>
        <w:snapToGrid w:val="0"/>
        <w:spacing w:line="360" w:lineRule="auto"/>
        <w:ind w:right="64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AFEBE04">
      <w:pPr>
        <w:tabs>
          <w:tab w:val="left" w:pos="1260"/>
        </w:tabs>
        <w:adjustRightInd w:val="0"/>
        <w:snapToGrid w:val="0"/>
        <w:spacing w:line="360" w:lineRule="auto"/>
        <w:ind w:right="64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      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086"/>
        <w:gridCol w:w="2341"/>
        <w:gridCol w:w="1947"/>
        <w:gridCol w:w="1037"/>
        <w:gridCol w:w="1417"/>
      </w:tblGrid>
      <w:tr w14:paraId="56730F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405" w:type="pct"/>
            <w:noWrap w:val="0"/>
            <w:vAlign w:val="center"/>
          </w:tcPr>
          <w:p w14:paraId="0C470594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637" w:type="pct"/>
            <w:noWrap w:val="0"/>
            <w:vAlign w:val="center"/>
          </w:tcPr>
          <w:p w14:paraId="4189EEA1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文件</w:t>
            </w:r>
          </w:p>
          <w:p w14:paraId="74FA5885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条目号</w:t>
            </w:r>
          </w:p>
        </w:tc>
        <w:tc>
          <w:tcPr>
            <w:tcW w:w="1373" w:type="pct"/>
            <w:noWrap w:val="0"/>
            <w:vAlign w:val="center"/>
          </w:tcPr>
          <w:p w14:paraId="26103F54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磋商文件</w:t>
            </w:r>
            <w:r>
              <w:rPr>
                <w:rFonts w:hint="eastAsia" w:ascii="仿宋" w:hAnsi="仿宋" w:eastAsia="仿宋" w:cs="仿宋"/>
                <w:lang w:eastAsia="zh-CN"/>
              </w:rPr>
              <w:t>条款</w:t>
            </w:r>
            <w:r>
              <w:rPr>
                <w:rFonts w:hint="eastAsia" w:ascii="仿宋" w:hAnsi="仿宋" w:eastAsia="仿宋" w:cs="仿宋"/>
              </w:rPr>
              <w:t>要求</w:t>
            </w:r>
          </w:p>
        </w:tc>
        <w:tc>
          <w:tcPr>
            <w:tcW w:w="1142" w:type="pct"/>
            <w:noWrap w:val="0"/>
            <w:vAlign w:val="center"/>
          </w:tcPr>
          <w:p w14:paraId="52E89D1A">
            <w:pPr>
              <w:bidi w:val="0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磋商响应文件</w:t>
            </w:r>
          </w:p>
          <w:p w14:paraId="672798E1">
            <w:pPr>
              <w:bidi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响应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条款</w:t>
            </w:r>
          </w:p>
        </w:tc>
        <w:tc>
          <w:tcPr>
            <w:tcW w:w="608" w:type="pct"/>
            <w:noWrap w:val="0"/>
            <w:vAlign w:val="center"/>
          </w:tcPr>
          <w:p w14:paraId="3A7FE779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</w:t>
            </w:r>
          </w:p>
        </w:tc>
        <w:tc>
          <w:tcPr>
            <w:tcW w:w="831" w:type="pct"/>
            <w:noWrap w:val="0"/>
            <w:vAlign w:val="center"/>
          </w:tcPr>
          <w:p w14:paraId="1A75A77E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</w:t>
            </w:r>
          </w:p>
          <w:p w14:paraId="020B07AF">
            <w:pPr>
              <w:bidi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及其影响</w:t>
            </w:r>
          </w:p>
        </w:tc>
      </w:tr>
      <w:tr w14:paraId="6928DD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405" w:type="pct"/>
            <w:noWrap w:val="0"/>
            <w:vAlign w:val="top"/>
          </w:tcPr>
          <w:p w14:paraId="7379A74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7" w:type="pct"/>
            <w:noWrap w:val="0"/>
            <w:vAlign w:val="top"/>
          </w:tcPr>
          <w:p w14:paraId="3CE0854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3" w:type="pct"/>
            <w:noWrap w:val="0"/>
            <w:vAlign w:val="top"/>
          </w:tcPr>
          <w:p w14:paraId="4174C46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2" w:type="pct"/>
            <w:noWrap w:val="0"/>
            <w:vAlign w:val="top"/>
          </w:tcPr>
          <w:p w14:paraId="03524E6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8" w:type="pct"/>
            <w:noWrap w:val="0"/>
            <w:vAlign w:val="top"/>
          </w:tcPr>
          <w:p w14:paraId="5BC1B4B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noWrap w:val="0"/>
            <w:vAlign w:val="top"/>
          </w:tcPr>
          <w:p w14:paraId="51B8445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D2C58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405" w:type="pct"/>
            <w:noWrap w:val="0"/>
            <w:vAlign w:val="top"/>
          </w:tcPr>
          <w:p w14:paraId="4FD8CCC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7" w:type="pct"/>
            <w:noWrap w:val="0"/>
            <w:vAlign w:val="top"/>
          </w:tcPr>
          <w:p w14:paraId="2FFE39C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3" w:type="pct"/>
            <w:noWrap w:val="0"/>
            <w:vAlign w:val="top"/>
          </w:tcPr>
          <w:p w14:paraId="7F9B3DF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2" w:type="pct"/>
            <w:noWrap w:val="0"/>
            <w:vAlign w:val="top"/>
          </w:tcPr>
          <w:p w14:paraId="157D046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8" w:type="pct"/>
            <w:noWrap w:val="0"/>
            <w:vAlign w:val="top"/>
          </w:tcPr>
          <w:p w14:paraId="6B0D7B9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noWrap w:val="0"/>
            <w:vAlign w:val="top"/>
          </w:tcPr>
          <w:p w14:paraId="3815867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B6F2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405" w:type="pct"/>
            <w:noWrap w:val="0"/>
            <w:vAlign w:val="top"/>
          </w:tcPr>
          <w:p w14:paraId="491532F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7" w:type="pct"/>
            <w:noWrap w:val="0"/>
            <w:vAlign w:val="top"/>
          </w:tcPr>
          <w:p w14:paraId="173AC69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3" w:type="pct"/>
            <w:noWrap w:val="0"/>
            <w:vAlign w:val="top"/>
          </w:tcPr>
          <w:p w14:paraId="0D0A0A5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2" w:type="pct"/>
            <w:noWrap w:val="0"/>
            <w:vAlign w:val="top"/>
          </w:tcPr>
          <w:p w14:paraId="55E44C1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8" w:type="pct"/>
            <w:noWrap w:val="0"/>
            <w:vAlign w:val="top"/>
          </w:tcPr>
          <w:p w14:paraId="70AF251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noWrap w:val="0"/>
            <w:vAlign w:val="top"/>
          </w:tcPr>
          <w:p w14:paraId="07FF479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6376063">
      <w:pPr>
        <w:tabs>
          <w:tab w:val="left" w:pos="1260"/>
        </w:tabs>
        <w:spacing w:line="360" w:lineRule="auto"/>
        <w:ind w:right="-197" w:rightChars="-94" w:firstLine="420" w:firstLineChars="200"/>
        <w:jc w:val="lef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</w:t>
      </w:r>
    </w:p>
    <w:p w14:paraId="78A0E5B5">
      <w:pPr>
        <w:tabs>
          <w:tab w:val="left" w:pos="1260"/>
        </w:tabs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1、供应商必须根据磋商文件第三章要求据实逐条填写，在磋商响应文件中须一一列出，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无偏离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可直接提供空白表。</w:t>
      </w:r>
    </w:p>
    <w:p w14:paraId="21708672">
      <w:pPr>
        <w:tabs>
          <w:tab w:val="left" w:pos="1260"/>
        </w:tabs>
        <w:spacing w:line="360" w:lineRule="auto"/>
        <w:ind w:firstLine="411" w:firstLineChars="196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资格，并按有关规定进处罚。</w:t>
      </w:r>
    </w:p>
    <w:p w14:paraId="40CAC6CE">
      <w:pPr>
        <w:pStyle w:val="3"/>
        <w:ind w:left="0" w:leftChars="0" w:firstLine="420" w:firstLineChars="200"/>
        <w:rPr>
          <w:rFonts w:hint="default" w:eastAsia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3、商务条款不允许负偏离，否则按照无效文件处理。</w:t>
      </w:r>
    </w:p>
    <w:p w14:paraId="5B4EFFFD">
      <w:pPr>
        <w:tabs>
          <w:tab w:val="left" w:pos="1260"/>
        </w:tabs>
        <w:spacing w:line="360" w:lineRule="auto"/>
        <w:ind w:firstLine="411" w:firstLineChars="196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07FA8F9">
      <w:pPr>
        <w:tabs>
          <w:tab w:val="left" w:pos="1260"/>
        </w:tabs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44FF0A4A">
      <w:pPr>
        <w:tabs>
          <w:tab w:val="left" w:pos="1260"/>
        </w:tabs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</w:p>
    <w:p w14:paraId="669E7228"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4741D"/>
    <w:rsid w:val="1494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2026-06-04T06:43:00Z</dcterms:created>
  <dc:creator>  </dc:creator>
  <cp:lastModifiedBy>  </cp:lastModifiedBy>
  <dcterms:modified xsi:type="dcterms:W3CDTF">2026-06-04T06:44:19Z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3F684FF7F8A54E3C983B9BEF556EF2D3_11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