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版本号：HXGJXM2026-ZC-CS104420260702001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莲湖区2026年次支路建设项目设计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HXGJXM2026-ZC-CS1044</w:t>
      </w:r>
      <w:r>
        <w:br/>
      </w:r>
      <w:r>
        <w:br/>
      </w:r>
      <w:r>
        <w:br/>
      </w:r>
    </w:p>
    <w:p>
      <w:pPr>
        <w:pStyle w:val="null3"/>
        <w:jc w:val="center"/>
        <w:outlineLvl w:val="2"/>
      </w:pPr>
      <w:r>
        <w:rPr>
          <w:rFonts w:ascii="仿宋_GB2312" w:hAnsi="仿宋_GB2312" w:cs="仿宋_GB2312" w:eastAsia="仿宋_GB2312"/>
          <w:sz w:val="28"/>
          <w:b/>
        </w:rPr>
        <w:t>西安市莲湖区住房和城市建设局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西安市莲湖区住房和城市建设局</w:t>
      </w:r>
      <w:r>
        <w:rPr>
          <w:rFonts w:ascii="仿宋_GB2312" w:hAnsi="仿宋_GB2312" w:cs="仿宋_GB2312" w:eastAsia="仿宋_GB2312"/>
        </w:rPr>
        <w:t>委托，拟对</w:t>
      </w:r>
      <w:r>
        <w:rPr>
          <w:rFonts w:ascii="仿宋_GB2312" w:hAnsi="仿宋_GB2312" w:cs="仿宋_GB2312" w:eastAsia="仿宋_GB2312"/>
        </w:rPr>
        <w:t>莲湖区2026年次支路建设项目设计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莲湖区2026年次支路建设项目设计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2026年次支路建设项目共建设3条道路，分别为凤城南路、冠礼巷、五三三地块南北规划路，现状为凤城南路、冠礼巷道路基本贯通，但通行条件极差、导致车辆需绕行，对区域居民出行和经济发展造成较大影响，道路建成后可以完善路网结构，缓解交通压力；五三三地块南北规划路现状为拆迁空地，道路两侧土地已出让完成、现需打通断头路，完善路网结构，缓解交通压力，提升区域土地价值，促进周边商业和土地开发。本次建设的凤城南路、冠礼巷、五三三地块南北规划路等3条道路均位于莲湖区范围，服务内容包括3条道路的初步设计和施工图设计工作以及施工过程等的后续服务配合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采购包1（莲湖区2026年次支路建设项目设计）：属于专门面向中小企业采购。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1、具有独立承担民事责任能力的法人、其他组织或自然人：法人参与的提供合法有效的营业执照；其他组织参与的提供合法证明文件；自然人参与的提供其身份证明；</w:t>
      </w:r>
    </w:p>
    <w:p>
      <w:pPr>
        <w:pStyle w:val="null3"/>
      </w:pPr>
      <w:r>
        <w:rPr>
          <w:rFonts w:ascii="仿宋_GB2312" w:hAnsi="仿宋_GB2312" w:cs="仿宋_GB2312" w:eastAsia="仿宋_GB2312"/>
        </w:rPr>
        <w:t>2、财务状况证明：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3、承诺：提供具有履行合同所必需的设备和专业技术能力的承诺；</w:t>
      </w:r>
    </w:p>
    <w:p>
      <w:pPr>
        <w:pStyle w:val="null3"/>
      </w:pPr>
      <w:r>
        <w:rPr>
          <w:rFonts w:ascii="仿宋_GB2312" w:hAnsi="仿宋_GB2312" w:cs="仿宋_GB2312" w:eastAsia="仿宋_GB2312"/>
        </w:rPr>
        <w:t>4、税收缴纳证明：提供2026年01月至磋商响应文件提交截止时间已缴纳的至少一个月的纳税证明或完税证明,依法免税的单位应提供相关证明材料；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2026年01月至磋商响应文件提交截止时间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6、书面声明：供应商应出具参加政府采购活动前3年内在经营活动中没有重大违法记录的书面声明；</w:t>
      </w:r>
    </w:p>
    <w:p>
      <w:pPr>
        <w:pStyle w:val="null3"/>
      </w:pPr>
      <w:r>
        <w:rPr>
          <w:rFonts w:ascii="仿宋_GB2312" w:hAnsi="仿宋_GB2312" w:cs="仿宋_GB2312" w:eastAsia="仿宋_GB2312"/>
        </w:rPr>
        <w:t>7、法定代表人授权委托书：法定代表人授权书(附法定代表人､被授权人身份证复印件及被授权人2026年04月至磋商响应文件提交截止时间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8、供应商资质要求：供应商具备建设行政主管部门颁发的工程设计综合资质甲级；或市政行业工程设计乙级及以上资质；或市政行业(燃气、轨道交通工程除外)设计乙级及以上资质；或市政行业(道路工程)专业乙级及以上资质及市政行业（排水工程）专业乙级及以上资质；</w:t>
      </w:r>
    </w:p>
    <w:p>
      <w:pPr>
        <w:pStyle w:val="null3"/>
      </w:pPr>
      <w:r>
        <w:rPr>
          <w:rFonts w:ascii="仿宋_GB2312" w:hAnsi="仿宋_GB2312" w:cs="仿宋_GB2312" w:eastAsia="仿宋_GB2312"/>
        </w:rPr>
        <w:t>9、信用记录：未在“信用中国”网站（www.creditchina.gov.cn）和“中国政府采购网”（ccgp.gov.cn）列入失信被执行人、重大税收违法失信主体、政府采购严重违法失信行为记录名单；</w:t>
      </w:r>
    </w:p>
    <w:p>
      <w:pPr>
        <w:pStyle w:val="null3"/>
      </w:pPr>
      <w:r>
        <w:rPr>
          <w:rFonts w:ascii="仿宋_GB2312" w:hAnsi="仿宋_GB2312" w:cs="仿宋_GB2312" w:eastAsia="仿宋_GB2312"/>
        </w:rPr>
        <w:t>10、直接控股、管理关系：单位负责人为同一人或者存在直接控股、管理关系的不同供应商，不得同时参加本项目磋商；</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陕西省西安市莲湖区红埠街59号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029-87610159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王攀宏、康敏茹、王强、张艳萍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代理服务费收费标准：参照国家计委关于印发《招标代理服务收费管理暂行办法》（计价格[2002]1980号）的通知和《关于招标代理服务收费有关问题的通知》（发改办价格[2003]857号）的有关规定下浮30%执行。 请将采购代理服务费汇至下列指定账户： 开户名称：华夏国际项目管理（西安）有限公司第一分公司 开户银行：中国光大银行股份有限公司西安科技六路支行 开户账号：78620188000199459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西安市莲湖区住房和城市建设局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1、成交供应商对最终的服务质量负完全责任。2、验收依据：（1）合同；（2）国家有关的验收标准及规范。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w:t>
      </w:r>
    </w:p>
    <w:p>
      <w:pPr>
        <w:pStyle w:val="null3"/>
      </w:pPr>
      <w:r>
        <w:rPr>
          <w:rFonts w:ascii="仿宋_GB2312" w:hAnsi="仿宋_GB2312" w:cs="仿宋_GB2312" w:eastAsia="仿宋_GB2312"/>
        </w:rPr>
        <w:t>联系电话：029-88899970/72-802</w:t>
      </w:r>
    </w:p>
    <w:p>
      <w:pPr>
        <w:pStyle w:val="null3"/>
      </w:pPr>
      <w:r>
        <w:rPr>
          <w:rFonts w:ascii="仿宋_GB2312" w:hAnsi="仿宋_GB2312" w:cs="仿宋_GB2312" w:eastAsia="仿宋_GB2312"/>
        </w:rPr>
        <w:t>地址：陕西省西安市莲湖区二环南路西段202号九座花园16层1605室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2026年次支路建设项目共建设3条道路，分别为凤城南路、冠礼巷、五三三地块南北规划路，现状为凤城南路、冠礼巷道路基本贯通，但通行条件极差、导致车辆需绕行，对区域居民出行和经济发展造成较大影响，道路建成后可以完善路网结构，缓解交通压力；五三三地块南北规划路现状为拆迁空地，道路两侧土地已出让完成、现需打通断头路，完善路网结构，缓解交通压力，提升区域土地价值，促进周边商业和土地开发。本次建设的凤城南路、冠礼巷、五三三地块南北规划路等3条道路均位于莲湖区范围，服务内容包括3条道路的初步设计和施工图设计工作以及施工过程等的后续服务配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1,260,000.00</w:t>
      </w:r>
    </w:p>
    <w:p>
      <w:pPr>
        <w:pStyle w:val="null3"/>
      </w:pPr>
      <w:r>
        <w:rPr>
          <w:rFonts w:ascii="仿宋_GB2312" w:hAnsi="仿宋_GB2312" w:cs="仿宋_GB2312" w:eastAsia="仿宋_GB2312"/>
        </w:rPr>
        <w:t>采购包最高限价（元）: 1,260,000.00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莲湖区2026年次支路建设项目设计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标的名称：莲湖区2026年次支路建设项目设计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莲湖区</w:t>
            </w:r>
            <w:r>
              <w:rPr>
                <w:rFonts w:ascii="仿宋_GB2312" w:hAnsi="仿宋_GB2312" w:cs="仿宋_GB2312" w:eastAsia="仿宋_GB2312"/>
                <w:sz w:val="20"/>
              </w:rPr>
              <w:t>2026年次支路建设项目共建设3条道路，分别为凤城南路、冠礼巷、五三三地块南北规划路，现状为凤城南路、冠礼巷道路基本贯通，但通行条件极差、导致车辆需绕行，对区域居民出行和经济发展造成较大影响，道路建成后可以完善路网结构，缓解交通压力；五三三地块南北规划路现状为拆迁空地，道路两侧土地已出让完成、现需打通断头路，完善路网结构，缓解交通压力，提升区域土地价值，促进周边商业和土地开发。</w:t>
            </w:r>
          </w:p>
          <w:p>
            <w:pPr>
              <w:pStyle w:val="null3"/>
              <w:jc w:val="both"/>
            </w:pPr>
            <w:r>
              <w:rPr>
                <w:rFonts w:ascii="仿宋_GB2312" w:hAnsi="仿宋_GB2312" w:cs="仿宋_GB2312" w:eastAsia="仿宋_GB2312"/>
                <w:sz w:val="20"/>
                <w:b/>
              </w:rPr>
              <w:t>二、服务内容</w:t>
            </w:r>
          </w:p>
          <w:p>
            <w:pPr>
              <w:pStyle w:val="null3"/>
              <w:ind w:firstLine="400"/>
              <w:jc w:val="both"/>
            </w:pPr>
            <w:r>
              <w:rPr>
                <w:rFonts w:ascii="仿宋_GB2312" w:hAnsi="仿宋_GB2312" w:cs="仿宋_GB2312" w:eastAsia="仿宋_GB2312"/>
                <w:sz w:val="20"/>
              </w:rPr>
              <w:t>本次建设的凤城南路、冠礼巷、五三三地块南北规划路等</w:t>
            </w:r>
            <w:r>
              <w:rPr>
                <w:rFonts w:ascii="仿宋_GB2312" w:hAnsi="仿宋_GB2312" w:cs="仿宋_GB2312" w:eastAsia="仿宋_GB2312"/>
                <w:sz w:val="20"/>
              </w:rPr>
              <w:t>3条道路均位于莲湖区范围，服务内容包括3条道路的初步设计和施工图设计工作以及施工过程等的后续服务配合工作。</w:t>
            </w:r>
          </w:p>
          <w:p>
            <w:pPr>
              <w:pStyle w:val="null3"/>
              <w:jc w:val="both"/>
            </w:pPr>
            <w:r>
              <w:rPr>
                <w:rFonts w:ascii="仿宋_GB2312" w:hAnsi="仿宋_GB2312" w:cs="仿宋_GB2312" w:eastAsia="仿宋_GB2312"/>
                <w:sz w:val="20"/>
                <w:b/>
              </w:rPr>
              <w:t>三、技术要求</w:t>
            </w:r>
          </w:p>
          <w:p>
            <w:pPr>
              <w:pStyle w:val="null3"/>
              <w:ind w:firstLine="400"/>
              <w:jc w:val="both"/>
            </w:pPr>
            <w:r>
              <w:rPr>
                <w:rFonts w:ascii="仿宋_GB2312" w:hAnsi="仿宋_GB2312" w:cs="仿宋_GB2312" w:eastAsia="仿宋_GB2312"/>
                <w:sz w:val="20"/>
              </w:rPr>
              <w:t>道路设计要满足规划红线要求和交通需求及与现状道路顺接，便于交通组织；排水工程要满足《西安市排水（污水）工程专项规划》（</w:t>
            </w:r>
            <w:r>
              <w:rPr>
                <w:rFonts w:ascii="仿宋_GB2312" w:hAnsi="仿宋_GB2312" w:cs="仿宋_GB2312" w:eastAsia="仿宋_GB2312"/>
                <w:sz w:val="20"/>
              </w:rPr>
              <w:t>2020-2035年）和《西安市城市排水（雨水）防涝综合规划》（2015-2030）规划。处理各种管线关系，合理布设管位，符合电力、通讯等相关要求。</w:t>
            </w:r>
          </w:p>
          <w:p>
            <w:pPr>
              <w:pStyle w:val="null3"/>
              <w:jc w:val="both"/>
            </w:pPr>
            <w:r>
              <w:rPr>
                <w:rFonts w:ascii="仿宋_GB2312" w:hAnsi="仿宋_GB2312" w:cs="仿宋_GB2312" w:eastAsia="仿宋_GB2312"/>
                <w:sz w:val="20"/>
                <w:b/>
              </w:rPr>
              <w:t>四、服务要求</w:t>
            </w:r>
          </w:p>
          <w:p>
            <w:pPr>
              <w:pStyle w:val="null3"/>
              <w:jc w:val="both"/>
            </w:pPr>
            <w:r>
              <w:rPr>
                <w:rFonts w:ascii="仿宋_GB2312" w:hAnsi="仿宋_GB2312" w:cs="仿宋_GB2312" w:eastAsia="仿宋_GB2312"/>
                <w:sz w:val="20"/>
              </w:rPr>
              <w:t>1、设计文件按国家规定和合同约定的技术规范、标准进行设计。</w:t>
            </w:r>
          </w:p>
          <w:p>
            <w:pPr>
              <w:pStyle w:val="null3"/>
              <w:jc w:val="both"/>
            </w:pPr>
            <w:r>
              <w:rPr>
                <w:rFonts w:ascii="仿宋_GB2312" w:hAnsi="仿宋_GB2312" w:cs="仿宋_GB2312" w:eastAsia="仿宋_GB2312"/>
                <w:sz w:val="20"/>
              </w:rPr>
              <w:t>2、按合同规定的内容、时间及份数向甲方交付设计文件，并对提交的设计文件的质量负责。</w:t>
            </w:r>
          </w:p>
          <w:p>
            <w:pPr>
              <w:pStyle w:val="null3"/>
              <w:jc w:val="both"/>
            </w:pPr>
            <w:r>
              <w:rPr>
                <w:rFonts w:ascii="仿宋_GB2312" w:hAnsi="仿宋_GB2312" w:cs="仿宋_GB2312" w:eastAsia="仿宋_GB2312"/>
                <w:sz w:val="20"/>
              </w:rPr>
              <w:t>3、拟派项目负责人需具备市政工程相关专业工程师职称证书，设计团队应配置道路、排水、交通、照明、绿化、造价等专业人员。</w:t>
            </w:r>
          </w:p>
          <w:p>
            <w:pPr>
              <w:pStyle w:val="null3"/>
              <w:jc w:val="both"/>
            </w:pPr>
            <w:r>
              <w:rPr>
                <w:rFonts w:ascii="仿宋_GB2312" w:hAnsi="仿宋_GB2312" w:cs="仿宋_GB2312" w:eastAsia="仿宋_GB2312"/>
                <w:sz w:val="20"/>
              </w:rPr>
              <w:t>4、项目实施期间，设置专人进行施工配合，确保项目顺利实施。</w:t>
            </w:r>
          </w:p>
          <w:p>
            <w:pPr>
              <w:pStyle w:val="null3"/>
              <w:jc w:val="both"/>
            </w:pPr>
            <w:r>
              <w:rPr>
                <w:rFonts w:ascii="仿宋_GB2312" w:hAnsi="仿宋_GB2312" w:cs="仿宋_GB2312" w:eastAsia="仿宋_GB2312"/>
                <w:sz w:val="20"/>
                <w:b/>
              </w:rPr>
              <w:t>五、商务要求</w:t>
            </w:r>
          </w:p>
          <w:p>
            <w:pPr>
              <w:pStyle w:val="null3"/>
              <w:jc w:val="both"/>
            </w:pPr>
            <w:r>
              <w:rPr>
                <w:rFonts w:ascii="仿宋_GB2312" w:hAnsi="仿宋_GB2312" w:cs="仿宋_GB2312" w:eastAsia="仿宋_GB2312"/>
                <w:sz w:val="20"/>
              </w:rPr>
              <w:t>（一）服务期限</w:t>
            </w:r>
          </w:p>
          <w:p>
            <w:pPr>
              <w:pStyle w:val="null3"/>
              <w:jc w:val="both"/>
            </w:pPr>
            <w:r>
              <w:rPr>
                <w:rFonts w:ascii="仿宋_GB2312" w:hAnsi="仿宋_GB2312" w:cs="仿宋_GB2312" w:eastAsia="仿宋_GB2312"/>
                <w:sz w:val="20"/>
              </w:rPr>
              <w:t>自合同签订之日起至施工完成竣工验收后止。</w:t>
            </w:r>
          </w:p>
          <w:p>
            <w:pPr>
              <w:pStyle w:val="null3"/>
              <w:jc w:val="both"/>
            </w:pPr>
            <w:r>
              <w:rPr>
                <w:rFonts w:ascii="仿宋_GB2312" w:hAnsi="仿宋_GB2312" w:cs="仿宋_GB2312" w:eastAsia="仿宋_GB2312"/>
                <w:sz w:val="20"/>
              </w:rPr>
              <w:t>（二）款项结算</w:t>
            </w:r>
          </w:p>
          <w:p>
            <w:pPr>
              <w:pStyle w:val="null3"/>
              <w:ind w:firstLine="400"/>
              <w:jc w:val="both"/>
            </w:pPr>
            <w:r>
              <w:rPr>
                <w:rFonts w:ascii="仿宋_GB2312" w:hAnsi="仿宋_GB2312" w:cs="仿宋_GB2312" w:eastAsia="仿宋_GB2312"/>
                <w:sz w:val="20"/>
              </w:rPr>
              <w:t>设计人完成初步设计工作及提交施工图的全部设计文件并经审查合格并开具正规发票及提供相关付款手续后，达到付款条件起</w:t>
            </w:r>
            <w:r>
              <w:rPr>
                <w:rFonts w:ascii="仿宋_GB2312" w:hAnsi="仿宋_GB2312" w:cs="仿宋_GB2312" w:eastAsia="仿宋_GB2312"/>
                <w:sz w:val="20"/>
              </w:rPr>
              <w:t>15日内，支付合同总金额的60%；工程竣工验收后，达到付款条件起15日内，支付合同总金额的40%。（实际支付根据财政拨款进度最终确定）</w:t>
            </w:r>
          </w:p>
          <w:p>
            <w:pPr>
              <w:pStyle w:val="null3"/>
              <w:jc w:val="both"/>
            </w:pPr>
            <w:r>
              <w:rPr>
                <w:rFonts w:ascii="仿宋_GB2312" w:hAnsi="仿宋_GB2312" w:cs="仿宋_GB2312" w:eastAsia="仿宋_GB2312"/>
                <w:sz w:val="20"/>
                <w:b/>
              </w:rPr>
              <w:t>六、其他要求</w:t>
            </w:r>
          </w:p>
          <w:p>
            <w:pPr>
              <w:pStyle w:val="null3"/>
              <w:jc w:val="both"/>
            </w:pPr>
            <w:r>
              <w:rPr>
                <w:rFonts w:ascii="仿宋_GB2312" w:hAnsi="仿宋_GB2312" w:cs="仿宋_GB2312" w:eastAsia="仿宋_GB2312"/>
                <w:sz w:val="20"/>
              </w:rPr>
              <w:t>（一）进度要求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1）15个工作日内完成初步设计及报审工作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2）5个工作日内日完成施工图设计</w:t>
            </w:r>
          </w:p>
          <w:p>
            <w:pPr>
              <w:pStyle w:val="null3"/>
              <w:jc w:val="both"/>
            </w:pPr>
            <w:r>
              <w:rPr>
                <w:rFonts w:ascii="仿宋_GB2312" w:hAnsi="仿宋_GB2312" w:cs="仿宋_GB2312" w:eastAsia="仿宋_GB2312"/>
                <w:sz w:val="20"/>
              </w:rPr>
              <w:t>（二）成果交付要求</w:t>
            </w:r>
          </w:p>
          <w:p>
            <w:pPr>
              <w:pStyle w:val="null3"/>
              <w:ind w:firstLine="400"/>
              <w:jc w:val="both"/>
            </w:pPr>
            <w:r>
              <w:rPr>
                <w:rFonts w:ascii="仿宋_GB2312" w:hAnsi="仿宋_GB2312" w:cs="仿宋_GB2312" w:eastAsia="仿宋_GB2312"/>
                <w:sz w:val="20"/>
              </w:rPr>
              <w:t>提供最终初步设计文件</w:t>
            </w:r>
            <w:r>
              <w:rPr>
                <w:rFonts w:ascii="仿宋_GB2312" w:hAnsi="仿宋_GB2312" w:cs="仿宋_GB2312" w:eastAsia="仿宋_GB2312"/>
                <w:sz w:val="20"/>
              </w:rPr>
              <w:t>6套、设计概算书2份及光盘2份。提供施工图设计文件8套，电子版文件根据发包人需求提供。</w:t>
            </w:r>
          </w:p>
          <w:p>
            <w:pPr>
              <w:pStyle w:val="null3"/>
              <w:jc w:val="both"/>
            </w:pPr>
            <w:r>
              <w:rPr>
                <w:rFonts w:ascii="仿宋_GB2312" w:hAnsi="仿宋_GB2312" w:cs="仿宋_GB2312" w:eastAsia="仿宋_GB2312"/>
                <w:sz w:val="20"/>
              </w:rPr>
              <w:t>（三）质量验收标准或规范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1）设计质量满足现行国家、省、市相关设计规范要求。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2）《城市道路交通工程项目规范》（GB 55011-2021）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3）《城市道路交叉口规划规范》（GB50647-2011）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4）《建筑与市政工程无障碍通用规范》（GB 55019-2021）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5）《城市道路路基设计规范》（CJJ 194-2013）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6）《湿陷性黄土地区建筑标准》（GB50025-2018）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7）《城市道路交通标志和标线设置规范》（GB51038-2015）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8）《给水排水管道工程施工及验收规范》(GB50268-2008)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9）《城市道路照明设计标准》（CJJ45-2015）</w:t>
            </w:r>
          </w:p>
          <w:p>
            <w:pPr>
              <w:pStyle w:val="null3"/>
              <w:jc w:val="both"/>
            </w:pPr>
            <w:r>
              <w:rPr>
                <w:rFonts w:ascii="仿宋_GB2312" w:hAnsi="仿宋_GB2312" w:cs="仿宋_GB2312" w:eastAsia="仿宋_GB2312"/>
                <w:sz w:val="20"/>
              </w:rPr>
              <w:t>（四）违约责任</w:t>
            </w:r>
          </w:p>
          <w:p>
            <w:pPr>
              <w:pStyle w:val="null3"/>
            </w:pPr>
            <w:r>
              <w:rPr>
                <w:rFonts w:ascii="仿宋_GB2312" w:hAnsi="仿宋_GB2312" w:cs="仿宋_GB2312" w:eastAsia="仿宋_GB2312"/>
                <w:sz w:val="20"/>
              </w:rPr>
              <w:t>一般与合同款项的支付相关，注意不要超出《民法典》中对于违约的责任上限。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拟派项目负责人需具备市政工程相关专业工程师职称证书，设计团队应配置道路、排水、交通、照明、绿化、造价等专业人员，每个专业至少一名设计人员。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满足磋商文件及采购人要求，以保障项目顺利实施为准。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自合同签订之日起至施工完成竣工验收后止。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西安市莲湖区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1、成交供应商对最终的服务质量负完全责任。2、验收依据：（1）合同；（2）国家有关的验收标准及规范。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进度款，设计人完成初步设计工作及提交施工图的全部设计文件并经审查合格并开具正规发票及提供相关付款手续后，达到付款条件起15个工作日内，支付合同总金额的60.0%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进度款，工程竣工验收后（实际支付根据财政拨款进度最终确定），达到付款条件起15个工作日内，支付合同总金额的40.0%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同时，线下提交响应文件正本壹套、副本贰套。若电子响应文件与纸质响应文件不一致的，以电子响应文件为准；线下递交文件时间：开标截至时间前递交纸质文件；线下递交文件地点：陕西省西安市莲湖区二环南路西段202号九座花园16层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供应商需在项目电子化交易系统中按要求填写《投标函》完成承诺并进行电子签章。并在响应文件中附相关证明材料。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法人参与的提供合法有效的营业执照；其他组织参与的提供合法证明文件；自然人参与的提供其身份证明；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提供2026年01月至磋商响应文件提交截止时间已缴纳的至少一个月的纳税证明或完税证明,依法免税的单位应提供相关证明材料；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提供2026年01月至磋商响应文件提交截止时间已缴存的至少一个月的社会保障资金缴存单据或社保机构开具的社会保险参保缴费情况证明,依法不需要缴纳社会保障资金的单位应提供相关证明材料；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2026年04月至磋商响应文件提交截止时间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工程设计综合资质甲级；或市政行业工程设计乙级及以上资质；或市政行业(燃气、轨道交通工程除外)设计乙级及以上资质；或市政行业(道路工程)专业乙级及以上资质及市政行业（排水工程）专业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未在“信用中国”网站（www.creditchina.gov.cn）和“中国政府采购网”（ccgp.gov.cn）列入失信被执行人、重大税收违法失信主体、政府采购严重违法失信行为记录名单；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供应商名称与公章、营业执照一致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磋商响应文件内容完整、格式符合要求、内容清晰可辨</w:t>
            </w:r>
          </w:p>
        </w:tc>
        <w:tc>
          <w:tcPr>
            <w:tcW w:type="dxa" w:w="1661"/>
          </w:tcPr>
          <w:p>
            <w:pPr>
              <w:pStyle w:val="null3"/>
            </w:pPr>
            <w:r>
              <w:rPr>
                <w:rFonts w:ascii="仿宋_GB2312" w:hAnsi="仿宋_GB2312" w:cs="仿宋_GB2312" w:eastAsia="仿宋_GB2312"/>
              </w:rPr>
              <w:t>报价一览表.docx 中小企业声明函 商务应答表 报价表 资格证明文件.docx 供应商承诺书.docx 响应文件封面 项目业绩一览表.docx 残疾人福利性单位声明函 标的清单 其他资料.docx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响应文件中技术、服务内容达不到采购要求，出现重大负偏差</w:t>
            </w:r>
          </w:p>
        </w:tc>
        <w:tc>
          <w:tcPr>
            <w:tcW w:type="dxa" w:w="3322"/>
          </w:tcPr>
          <w:p>
            <w:pPr>
              <w:pStyle w:val="null3"/>
            </w:pPr>
            <w:r>
              <w:rPr>
                <w:rFonts w:ascii="仿宋_GB2312" w:hAnsi="仿宋_GB2312" w:cs="仿宋_GB2312" w:eastAsia="仿宋_GB2312"/>
              </w:rPr>
              <w:t>技术、服务内容达到采购要求，未出现重大负偏差</w:t>
            </w:r>
          </w:p>
        </w:tc>
        <w:tc>
          <w:tcPr>
            <w:tcW w:type="dxa" w:w="1661"/>
          </w:tcPr>
          <w:p>
            <w:pPr>
              <w:pStyle w:val="null3"/>
            </w:pPr>
            <w:r>
              <w:rPr>
                <w:rFonts w:ascii="仿宋_GB2312" w:hAnsi="仿宋_GB2312" w:cs="仿宋_GB2312" w:eastAsia="仿宋_GB2312"/>
              </w:rPr>
              <w:t>报价一览表.docx 中小企业声明函 商务应答表 报价表 资格证明文件.docx 供应商承诺书.docx 响应文件封面 项目业绩一览表.docx 残疾人福利性单位声明函 标的清单 其他资料.docx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服务期限是否按磋商文件要求响应</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服务地点、付款方式、响应有效期是否按磋商文件要求响应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报价一览表.docx 中小企业声明函 商务应答表 报价表 资格证明文件.docx 供应商承诺书.docx 响应文件封面 项目业绩一览表.docx 残疾人福利性单位声明函 标的清单 其他资料.docx 服务内容及服务要求应答表.docx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对项目的理解及任务分析</w:t>
            </w:r>
          </w:p>
        </w:tc>
        <w:tc>
          <w:tcPr>
            <w:tcW w:type="dxa" w:w="2492"/>
          </w:tcPr>
          <w:p>
            <w:pPr>
              <w:pStyle w:val="null3"/>
            </w:pPr>
            <w:r>
              <w:rPr>
                <w:rFonts w:ascii="仿宋_GB2312" w:hAnsi="仿宋_GB2312" w:cs="仿宋_GB2312" w:eastAsia="仿宋_GB2312"/>
              </w:rPr>
              <w:t>1、评审内容 供应商描述①对项目的理解②针对本项目的任务分析。 2、评审标准 ①全面性：掌握项目各项工作要求，内容全面完善。②准确性：了解项目真实情况。 ③针对性：能够紧扣项目实际情况，内容科学合理。3、赋分标准 ①供应商描述对项目的理解：每完全满足一项评审标准得0.5分，满分1.5分；有一项缺陷扣0.5分。 ②针对本项目的任务分析：每完全满足一项评审标准得0.5分，满分1.5分；有一项缺陷扣0.5分。 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1、评审内容 供应商描述总体设计思路及方案。 2、评审标准 ①可实施性：实施步骤清晰、计划合理，可实施性强。 ②合理性：切合本项目实际情况，设计合理。 ③全面性：内容全面完善，各专业考虑周全。 3、赋分标准 ①总体设计思路：每完全满足一项评审标准得2分，满分6分；有一项缺陷扣1分。 ②设计方案：每完全满足一项评审标准得2分，满分6分；有一项缺陷扣1分。 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项目服务标准、服务质量保障措施</w:t>
            </w:r>
          </w:p>
        </w:tc>
        <w:tc>
          <w:tcPr>
            <w:tcW w:type="dxa" w:w="2492"/>
          </w:tcPr>
          <w:p>
            <w:pPr>
              <w:pStyle w:val="null3"/>
            </w:pPr>
            <w:r>
              <w:rPr>
                <w:rFonts w:ascii="仿宋_GB2312" w:hAnsi="仿宋_GB2312" w:cs="仿宋_GB2312" w:eastAsia="仿宋_GB2312"/>
              </w:rPr>
              <w:t>1、评审内容 供应商描述①服务标准、②服务质量保障措施。 2、评审标准 ①可实施性：实施步骤清晰、计划合理，可实施性强。 ②合理性：切合本项目实际情况，合理可行。 3、赋分标准 ①服务标准：每完全满足一项评审标准得2分，满分4分；有一项缺陷扣1分。 ②服务质量保障措施：每完全满足一项评审标准得2分，满分4分；有一项缺陷扣1分。 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 供应商描述①进度计划、②保障措施。 2、评审标准 ①可实施性：实施步骤清晰、计划合理，可实施性强。 ②合理性：切合本项目实际情况，合理可行。 3、赋分标准 ①进度计划：每完全满足一项评审标准得2分，满分4分；有一项缺陷扣1分。 ②保障措施：每完全满足一项评审标准得2分，满分4分；有一项缺陷扣1分。 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1、评审内容 供应商提供针对本项目的①设计工作重点、难点分析②解决措施。 2、评审标准 ①完整性：方案须全面，对评审内容中的要求有详细描述及说明； ②可实施性：切合本项目实际情况，实施步骤清晰、合理； 3、赋分标准 ①设计工作重点、难点分析：每完全满足一项评审标准得1分；满分2分，有一项缺陷扣0.5分。 ②解决措施：每完全满足一项评审标准得1分；满分2分，有一项缺陷扣0.5分。 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1、学历和职称 拟投入本项目的项目负责人具有本科及以上学历计2分，其他不得分。 2、拟派项目负责人具备市政工程相关专业高级职称证书得4分，中级职称证书得2分，其他不得分。（提供项目负责人相关证件复印件。） 3、业绩 拟投入本项目的项目负责人具有丰富的工作经验，能够带领及引导团队人员顺利完成项目,并达到采购人要求。提供近三年来（2023年1月1日至今）类似市政工程设计业绩证明材料，（以中标（成交）通知书或合同协议书为准，项目负责人姓名（以中标（成交）通知书或合同协议书为准，合同协议书或中标（成交）通知书中无法体现拟派项目设计负责人信息时，以该项目建设单位出具的加盖该项目建设单位公章的相关证明材料中负责人信息为准）。每有1项得3分，最多得6分。 4、项目负责人具有注册测绘师资格证书得2分，未提供不得分。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拟派项目团队成员情况（除项目负责人）</w:t>
            </w:r>
          </w:p>
        </w:tc>
        <w:tc>
          <w:tcPr>
            <w:tcW w:type="dxa" w:w="2492"/>
          </w:tcPr>
          <w:p>
            <w:pPr>
              <w:pStyle w:val="null3"/>
            </w:pPr>
            <w:r>
              <w:rPr>
                <w:rFonts w:ascii="仿宋_GB2312" w:hAnsi="仿宋_GB2312" w:cs="仿宋_GB2312" w:eastAsia="仿宋_GB2312"/>
              </w:rPr>
              <w:t>人员配置合理，岗位分工明确，在人员配置要求的基础上每增加一名道路、排水、交通、照明、绿化、造价等工程相关专业高级工程师职称的加2分，中级职称的加1分，本项满分12分。（须提供人员职称证复印件），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供应商提供针对本项目的服务承诺。 2、评审标准 ①完整性：服务承诺全面，对评审内容中的要求有详细描述及说明； ②可行性：切合本项目实际情况，承诺合理； 3、赋分标准 每完全满足一项评审标准得2分；满分4分，有一项缺陷扣1分。 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需提供近三年来（2023年1月1日至今）类似市政工程设计业绩证明材料，每提供1个业绩得3分；最高得15分（附合同协议书或中标（成交）通知书复印件，以合同签订时间或中标（成交）通知书签发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