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版本号：ZMZB2026GCDX-26920260728001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传统纺织产业智能化生产设备研发平台建设智能化技术应用研究系统华为鸿蒙生态实验室模块采购项目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ZMZB2026GCDX-269</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传统纺织产业智能化生产设备研发平台建设智能化技术应用研究系统华为鸿蒙生态实验室模块采购项目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ZMZB2026GCDX-269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传统纺织产业智能化生产设备研发平台建设智能化技术应用研究系统华为鸿蒙生态实验室模块采购项目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传统纺织产业智能化生产设备研发平台建设智能化技术应用研究系统华为鸿蒙生态实验室模块采购项目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采购包1：656,500.00元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传统纺织产业智能化生产设备研发平台建设智能化技术应用研究系统华为鸿蒙生态实验室模块采购项目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656,500.00</w:t>
      </w:r>
    </w:p>
    <w:p>
      <w:pPr>
        <w:pStyle w:val="null3"/>
      </w:pPr>
      <w:r>
        <w:rPr>
          <w:rFonts w:ascii="仿宋_GB2312" w:hAnsi="仿宋_GB2312" w:cs="仿宋_GB2312" w:eastAsia="仿宋_GB2312"/>
        </w:rPr>
        <w:t>采购包最高限价（元）: 656,500.00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鸿蒙全栈实验箱</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鸿蒙智能小车开发套件等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标的名称：鸿蒙全栈实验箱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鸿蒙全栈实验箱  30套（核心产品）</w:t>
            </w:r>
          </w:p>
          <w:p>
            <w:pPr>
              <w:pStyle w:val="null3"/>
              <w:jc w:val="left"/>
            </w:pPr>
            <w:r>
              <w:rPr>
                <w:rFonts w:ascii="仿宋_GB2312" w:hAnsi="仿宋_GB2312" w:cs="仿宋_GB2312" w:eastAsia="仿宋_GB2312"/>
                <w:sz w:val="20"/>
              </w:rPr>
              <w:t>一、国产双域协同核心架构模块</w:t>
            </w:r>
          </w:p>
          <w:p>
            <w:pPr>
              <w:pStyle w:val="null3"/>
              <w:jc w:val="left"/>
            </w:pPr>
            <w:r>
              <w:rPr>
                <w:rFonts w:ascii="仿宋_GB2312" w:hAnsi="仿宋_GB2312" w:cs="仿宋_GB2312" w:eastAsia="仿宋_GB2312"/>
                <w:sz w:val="20"/>
              </w:rPr>
              <w:t>1.国产操作系统中央控制单元：</w:t>
            </w:r>
          </w:p>
          <w:p>
            <w:pPr>
              <w:pStyle w:val="null3"/>
              <w:jc w:val="left"/>
            </w:pPr>
            <w:r>
              <w:rPr>
                <w:rFonts w:ascii="仿宋_GB2312" w:hAnsi="仿宋_GB2312" w:cs="仿宋_GB2312" w:eastAsia="仿宋_GB2312"/>
                <w:sz w:val="20"/>
              </w:rPr>
              <w:t>▲(1)核心：≥4核，主频：≥2.0GHz，PCB规格：≥8层板；内存：≥4GB，存储空间：≥32GB；4G模块：≥1个；支持多屏同显。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2）网口：≥2个；USB接口：≥3个，包含 USB 3.0 HOST：≥1个，1 个 USB3.0 OTG，1个USB2.0 HOST；HDMI OUT接口：≥1个；USB Type-C：≥1个；3.5mm音频接口：≥1个；LED灯源：≥7个；电源1个，DC（直流电），电压范围：9.2 - 36V；串口：≥7个，包含1 个 CAN，2 个 RS4852，2 个 RS232；SD卡槽：≥1个；SIM卡槽：≥1个；红外接收头：≥1个；扬声器：≥1个。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3）SFP光模块接口：≥1个 ；PCIE3.0接口：≥1个，支持M.2 NVMe SSD固态硬盘。</w:t>
            </w:r>
          </w:p>
          <w:p>
            <w:pPr>
              <w:pStyle w:val="null3"/>
              <w:jc w:val="left"/>
            </w:pPr>
            <w:r>
              <w:rPr>
                <w:rFonts w:ascii="仿宋_GB2312" w:hAnsi="仿宋_GB2312" w:cs="仿宋_GB2312" w:eastAsia="仿宋_GB2312"/>
                <w:sz w:val="20"/>
              </w:rPr>
              <w:t>2.国产操作系统边缘感知终端：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1）32位ARM架构Cortex-M4F内核，2.4GHz低功耗SoCWiFi芯片。主频：≥160MHz；SRAM：≥352KB；RAM：≥280K；Flash：≥2MB；时钟：≥50MHz；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IEEE802.11b/g/n协议的各种数据速率；支持STA和AP形态，作为AP时能够接受≥6个STA接入；外设接口包括SPI、UART、I2C、PWM、GPIO和多路ADC。</w:t>
            </w:r>
          </w:p>
          <w:p>
            <w:pPr>
              <w:pStyle w:val="null3"/>
              <w:jc w:val="left"/>
            </w:pPr>
            <w:r>
              <w:rPr>
                <w:rFonts w:ascii="仿宋_GB2312" w:hAnsi="仿宋_GB2312" w:cs="仿宋_GB2312" w:eastAsia="仿宋_GB2312"/>
                <w:sz w:val="20"/>
              </w:rPr>
              <w:t>二、功能场景模块</w:t>
            </w:r>
          </w:p>
          <w:p>
            <w:pPr>
              <w:pStyle w:val="null3"/>
              <w:jc w:val="left"/>
            </w:pPr>
            <w:r>
              <w:rPr>
                <w:rFonts w:ascii="仿宋_GB2312" w:hAnsi="仿宋_GB2312" w:cs="仿宋_GB2312" w:eastAsia="仿宋_GB2312"/>
                <w:sz w:val="20"/>
              </w:rPr>
              <w:t>1.主控交互模块：显示屏：≥1个，显示屏尺寸：1.54英寸；按键：≥4个；无源蜂鸣器：≥1个；三色LED灯：≥1个；4*4按键模块：≥1个；红绿黄指示灯：≥1个；数码管：≥1个。</w:t>
            </w:r>
          </w:p>
          <w:p>
            <w:pPr>
              <w:pStyle w:val="null3"/>
              <w:jc w:val="left"/>
            </w:pPr>
            <w:r>
              <w:rPr>
                <w:rFonts w:ascii="仿宋_GB2312" w:hAnsi="仿宋_GB2312" w:cs="仿宋_GB2312" w:eastAsia="仿宋_GB2312"/>
                <w:sz w:val="20"/>
              </w:rPr>
              <w:t>2.智能语音模块：语音控制模块：≥1个；扬声器：≥1个；咪头：≥1个；type-c语音控制模块程序下载接口：≥1个。</w:t>
            </w:r>
          </w:p>
          <w:p>
            <w:pPr>
              <w:pStyle w:val="null3"/>
              <w:jc w:val="left"/>
            </w:pPr>
            <w:r>
              <w:rPr>
                <w:rFonts w:ascii="仿宋_GB2312" w:hAnsi="仿宋_GB2312" w:cs="仿宋_GB2312" w:eastAsia="仿宋_GB2312"/>
                <w:sz w:val="20"/>
              </w:rPr>
              <w:t>3.智能家居模块：人体热释电红外传感器：≥1个；舵机：≥1个；蜂鸣器：≥1个；LED灯≥1个；水泵拓展模块：≥1个，采用USB外接水泵，提供水泵。</w:t>
            </w:r>
          </w:p>
          <w:p>
            <w:pPr>
              <w:pStyle w:val="null3"/>
              <w:jc w:val="left"/>
            </w:pPr>
            <w:r>
              <w:rPr>
                <w:rFonts w:ascii="仿宋_GB2312" w:hAnsi="仿宋_GB2312" w:cs="仿宋_GB2312" w:eastAsia="仿宋_GB2312"/>
                <w:sz w:val="20"/>
              </w:rPr>
              <w:t>4.智能消防模块：火焰传感器：≥1个；烟雾传感器：≥1个；红色预警LED灯：≥1个。</w:t>
            </w:r>
          </w:p>
          <w:p>
            <w:pPr>
              <w:pStyle w:val="null3"/>
              <w:jc w:val="left"/>
            </w:pPr>
            <w:r>
              <w:rPr>
                <w:rFonts w:ascii="仿宋_GB2312" w:hAnsi="仿宋_GB2312" w:cs="仿宋_GB2312" w:eastAsia="仿宋_GB2312"/>
                <w:sz w:val="20"/>
              </w:rPr>
              <w:t>5.环境检测模块：温湿度传感器：≥1个；光照传感器：≥1个；雨滴采集器：≥1个；风速采集器：≥1个；土壤湿度拓展模块：≥1个。</w:t>
            </w:r>
          </w:p>
          <w:p>
            <w:pPr>
              <w:pStyle w:val="null3"/>
              <w:jc w:val="left"/>
            </w:pPr>
            <w:r>
              <w:rPr>
                <w:rFonts w:ascii="仿宋_GB2312" w:hAnsi="仿宋_GB2312" w:cs="仿宋_GB2312" w:eastAsia="仿宋_GB2312"/>
                <w:sz w:val="20"/>
              </w:rPr>
              <w:t>6.工业数据模块：工业RS485温湿度光照气压传感器：≥1个，使用RS485-Modbus通信协议；RS232通信接口：≥1个。</w:t>
            </w:r>
          </w:p>
          <w:p>
            <w:pPr>
              <w:pStyle w:val="null3"/>
              <w:jc w:val="left"/>
            </w:pPr>
            <w:r>
              <w:rPr>
                <w:rFonts w:ascii="仿宋_GB2312" w:hAnsi="仿宋_GB2312" w:cs="仿宋_GB2312" w:eastAsia="仿宋_GB2312"/>
                <w:sz w:val="20"/>
              </w:rPr>
              <w:t>7.工业控制模块：工业LED补光灯：≥1个；电机风扇执行器：≥1个；遮光篷布执行器：≥1个。</w:t>
            </w:r>
          </w:p>
          <w:p>
            <w:pPr>
              <w:pStyle w:val="null3"/>
              <w:jc w:val="left"/>
            </w:pPr>
            <w:r>
              <w:rPr>
                <w:rFonts w:ascii="仿宋_GB2312" w:hAnsi="仿宋_GB2312" w:cs="仿宋_GB2312" w:eastAsia="仿宋_GB2312"/>
                <w:sz w:val="20"/>
              </w:rPr>
              <w:t>▲8.智能巡航模块：测速电机：≥2个；黄色LED灯：≥2个；蜂鸣器：≥1个；循迹传感器：≥2个；循迹卡盘：≥1个；超声波测距传感器：≥1个。</w:t>
            </w:r>
          </w:p>
          <w:p>
            <w:pPr>
              <w:pStyle w:val="null3"/>
              <w:jc w:val="left"/>
            </w:pPr>
            <w:r>
              <w:rPr>
                <w:rFonts w:ascii="仿宋_GB2312" w:hAnsi="仿宋_GB2312" w:cs="仿宋_GB2312" w:eastAsia="仿宋_GB2312"/>
                <w:sz w:val="20"/>
              </w:rPr>
              <w:t>▲9.运动健康模块：心率血氧传感器：≥1个；人体测温传感器：≥1个；加速度传感器：≥1个；蜂鸣器：≥1个；蓝色LED灯：≥2个。</w:t>
            </w:r>
          </w:p>
          <w:p>
            <w:pPr>
              <w:pStyle w:val="null3"/>
            </w:pPr>
            <w:r>
              <w:rPr>
                <w:rFonts w:ascii="仿宋_GB2312" w:hAnsi="仿宋_GB2312" w:cs="仿宋_GB2312" w:eastAsia="仿宋_GB2312"/>
                <w:sz w:val="20"/>
              </w:rPr>
              <w:t>10.全场景物联通信模块：星闪通信拓展模块：≥1个；ZigBee通信拓展模块：≥1个；Lora通信拓展模块：≥1个；NFC数据传输模块：≥1个；蓝牙无线通信拓展模块：≥1个；4G无线通信拓展模块：≥1个，物联网流量卡：≥1张。</w:t>
            </w:r>
          </w:p>
        </w:tc>
      </w:tr>
    </w:tbl>
    <w:p>
      <w:pPr>
        <w:pStyle w:val="null3"/>
      </w:pPr>
      <w:r>
        <w:rPr>
          <w:rFonts w:ascii="仿宋_GB2312" w:hAnsi="仿宋_GB2312" w:cs="仿宋_GB2312" w:eastAsia="仿宋_GB2312"/>
        </w:rPr>
        <w:t>标的名称：鸿蒙智能小车开发套件等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鸿蒙智能小车开发套件  30套</w:t>
            </w:r>
          </w:p>
          <w:p>
            <w:pPr>
              <w:pStyle w:val="null3"/>
              <w:jc w:val="both"/>
            </w:pPr>
            <w:r>
              <w:rPr>
                <w:rFonts w:ascii="仿宋_GB2312" w:hAnsi="仿宋_GB2312" w:cs="仿宋_GB2312" w:eastAsia="仿宋_GB2312"/>
                <w:sz w:val="20"/>
              </w:rPr>
              <w:t>1、SoC：无线通信频率≥2.4GHz，最大工作频率不小于160MHz；</w:t>
            </w:r>
          </w:p>
          <w:p>
            <w:pPr>
              <w:pStyle w:val="null3"/>
              <w:jc w:val="both"/>
            </w:pPr>
            <w:r>
              <w:rPr>
                <w:rFonts w:ascii="仿宋_GB2312" w:hAnsi="仿宋_GB2312" w:cs="仿宋_GB2312" w:eastAsia="仿宋_GB2312"/>
                <w:sz w:val="20"/>
              </w:rPr>
              <w:t>2、SRAM ≥352KB，Flash ≥2MB，ROM ≥288KB；</w:t>
            </w:r>
          </w:p>
          <w:p>
            <w:pPr>
              <w:pStyle w:val="null3"/>
              <w:jc w:val="left"/>
            </w:pPr>
            <w:r>
              <w:rPr>
                <w:rFonts w:ascii="仿宋_GB2312" w:hAnsi="仿宋_GB2312" w:cs="仿宋_GB2312" w:eastAsia="仿宋_GB2312"/>
                <w:sz w:val="20"/>
              </w:rPr>
              <w:t>▲3、支持国产化操作系</w:t>
            </w:r>
            <w:r>
              <w:rPr>
                <w:rFonts w:ascii="仿宋_GB2312" w:hAnsi="仿宋_GB2312" w:cs="仿宋_GB2312" w:eastAsia="仿宋_GB2312"/>
                <w:sz w:val="20"/>
              </w:rPr>
              <w:t>统（需提供国产化操作系统兼容性认证证书、产品彩页证明、官网（功能）截图、检测报告</w:t>
            </w:r>
            <w:r>
              <w:rPr>
                <w:rFonts w:ascii="仿宋_GB2312" w:hAnsi="仿宋_GB2312" w:cs="仿宋_GB2312" w:eastAsia="仿宋_GB2312"/>
                <w:sz w:val="20"/>
              </w:rPr>
              <w:t>、生产厂家盖章的技术白皮书</w:t>
            </w:r>
            <w:r>
              <w:rPr>
                <w:rFonts w:ascii="仿宋_GB2312" w:hAnsi="仿宋_GB2312" w:cs="仿宋_GB2312" w:eastAsia="仿宋_GB2312"/>
                <w:sz w:val="20"/>
              </w:rPr>
              <w:t>其中任意一个）；</w:t>
            </w:r>
          </w:p>
          <w:p>
            <w:pPr>
              <w:pStyle w:val="null3"/>
              <w:jc w:val="both"/>
            </w:pPr>
            <w:r>
              <w:rPr>
                <w:rFonts w:ascii="仿宋_GB2312" w:hAnsi="仿宋_GB2312" w:cs="仿宋_GB2312" w:eastAsia="仿宋_GB2312"/>
                <w:sz w:val="20"/>
              </w:rPr>
              <w:t>4、支持复杂环境下TPC、自动速率、弱干扰免疫等可靠性通信算法；</w:t>
            </w:r>
          </w:p>
          <w:p>
            <w:pPr>
              <w:pStyle w:val="null3"/>
              <w:jc w:val="both"/>
            </w:pPr>
            <w:r>
              <w:rPr>
                <w:rFonts w:ascii="仿宋_GB2312" w:hAnsi="仿宋_GB2312" w:cs="仿宋_GB2312" w:eastAsia="仿宋_GB2312"/>
                <w:sz w:val="20"/>
              </w:rPr>
              <w:t>5、支持≥256节点Mesh组网；</w:t>
            </w:r>
          </w:p>
          <w:p>
            <w:pPr>
              <w:pStyle w:val="null3"/>
              <w:jc w:val="both"/>
            </w:pPr>
            <w:r>
              <w:rPr>
                <w:rFonts w:ascii="仿宋_GB2312" w:hAnsi="仿宋_GB2312" w:cs="仿宋_GB2312" w:eastAsia="仿宋_GB2312"/>
                <w:sz w:val="20"/>
              </w:rPr>
              <w:t>6、包含：主板≥1块，通用底板≥1 块，显示板≥1块，NFC板≥1块，机器人板≥1块，TT马达≥2个，红外循迹传感器≥2个，舵机≥1个，超声波模块≥1个；</w:t>
            </w:r>
          </w:p>
          <w:p>
            <w:pPr>
              <w:pStyle w:val="null3"/>
              <w:jc w:val="both"/>
            </w:pPr>
            <w:r>
              <w:rPr>
                <w:rFonts w:ascii="仿宋_GB2312" w:hAnsi="仿宋_GB2312" w:cs="仿宋_GB2312" w:eastAsia="仿宋_GB2312"/>
                <w:sz w:val="20"/>
              </w:rPr>
              <w:t>7、支持通过 18650锂电池、5号干电池供电；</w:t>
            </w:r>
          </w:p>
          <w:p>
            <w:pPr>
              <w:pStyle w:val="null3"/>
              <w:jc w:val="both"/>
            </w:pPr>
            <w:r>
              <w:rPr>
                <w:rFonts w:ascii="仿宋_GB2312" w:hAnsi="仿宋_GB2312" w:cs="仿宋_GB2312" w:eastAsia="仿宋_GB2312"/>
                <w:sz w:val="20"/>
              </w:rPr>
              <w:t>8、支持通过循迹模块获取路面轨道数据，运用循迹算法使小车按照固定轨道运行；</w:t>
            </w:r>
          </w:p>
          <w:p>
            <w:pPr>
              <w:pStyle w:val="null3"/>
              <w:jc w:val="both"/>
            </w:pPr>
            <w:r>
              <w:rPr>
                <w:rFonts w:ascii="仿宋_GB2312" w:hAnsi="仿宋_GB2312" w:cs="仿宋_GB2312" w:eastAsia="仿宋_GB2312"/>
                <w:sz w:val="20"/>
              </w:rPr>
              <w:t>9、支持通过超声波传感器获取周围环境障碍物数据，运用避障算法实现避障功能；</w:t>
            </w:r>
          </w:p>
          <w:p>
            <w:pPr>
              <w:pStyle w:val="null3"/>
              <w:jc w:val="both"/>
            </w:pPr>
            <w:r>
              <w:rPr>
                <w:rFonts w:ascii="仿宋_GB2312" w:hAnsi="仿宋_GB2312" w:cs="仿宋_GB2312" w:eastAsia="仿宋_GB2312"/>
                <w:sz w:val="20"/>
              </w:rPr>
              <w:t>10、具备AP模式，支持远程连接遥控智能小车。</w:t>
            </w:r>
          </w:p>
          <w:p>
            <w:pPr>
              <w:pStyle w:val="null3"/>
              <w:jc w:val="both"/>
            </w:pPr>
            <w:r>
              <w:rPr>
                <w:rFonts w:ascii="仿宋_GB2312" w:hAnsi="仿宋_GB2312" w:cs="仿宋_GB2312" w:eastAsia="仿宋_GB2312"/>
                <w:sz w:val="20"/>
              </w:rPr>
              <w:t>11、配套软件</w:t>
            </w:r>
          </w:p>
          <w:p>
            <w:pPr>
              <w:pStyle w:val="null3"/>
              <w:jc w:val="both"/>
            </w:pPr>
            <w:r>
              <w:rPr>
                <w:rFonts w:ascii="仿宋_GB2312" w:hAnsi="仿宋_GB2312" w:cs="仿宋_GB2312" w:eastAsia="仿宋_GB2312"/>
                <w:sz w:val="20"/>
              </w:rPr>
              <w:t>(1)服务端须能够控制学生终端连接数量，可查看进入系统的学生列表信息，包括主机名、主机IP、登录时间等；</w:t>
            </w:r>
          </w:p>
          <w:p>
            <w:pPr>
              <w:pStyle w:val="null3"/>
              <w:jc w:val="both"/>
            </w:pPr>
            <w:r>
              <w:rPr>
                <w:rFonts w:ascii="仿宋_GB2312" w:hAnsi="仿宋_GB2312" w:cs="仿宋_GB2312" w:eastAsia="仿宋_GB2312"/>
                <w:sz w:val="20"/>
              </w:rPr>
              <w:t>(2)软件必须能够模拟管理网管、多种不同型号的传输网设备；系统应能够虚拟传输网的网管和网元等功能单元，并且能够实现该功能单元的配置及在线修改与告警联动，可在网管进行模拟业务配置，在测试终端上对所模拟的业务进行验证。</w:t>
            </w:r>
          </w:p>
          <w:p>
            <w:pPr>
              <w:pStyle w:val="null3"/>
              <w:jc w:val="both"/>
            </w:pPr>
            <w:r>
              <w:rPr>
                <w:rFonts w:ascii="仿宋_GB2312" w:hAnsi="仿宋_GB2312" w:cs="仿宋_GB2312" w:eastAsia="仿宋_GB2312"/>
                <w:sz w:val="20"/>
              </w:rPr>
              <w:t>(3)软件须具备模拟真实设备组网功能，学生可在此自由创建不同的传输网设备，并将之连接成不同的物理组网，组建完成之后，可在网管上进行网元创建、业务配置。</w:t>
            </w:r>
          </w:p>
          <w:p>
            <w:pPr>
              <w:pStyle w:val="null3"/>
              <w:jc w:val="both"/>
            </w:pPr>
            <w:r>
              <w:rPr>
                <w:rFonts w:ascii="仿宋_GB2312" w:hAnsi="仿宋_GB2312" w:cs="仿宋_GB2312" w:eastAsia="仿宋_GB2312"/>
                <w:sz w:val="20"/>
              </w:rPr>
              <w:t>▲(4)软件的模拟网管应提供真实设备中的大部分业务，可以配置多种业务链路；其网管配置界面必须完全模仿真实网管业务数据配置，配置内容与真实情况一致，能够真实反映工程现场数据配置和操作步骤；</w:t>
            </w:r>
          </w:p>
          <w:p>
            <w:pPr>
              <w:pStyle w:val="null3"/>
              <w:jc w:val="both"/>
            </w:pPr>
            <w:r>
              <w:rPr>
                <w:rFonts w:ascii="仿宋_GB2312" w:hAnsi="仿宋_GB2312" w:cs="仿宋_GB2312" w:eastAsia="仿宋_GB2312"/>
                <w:sz w:val="20"/>
              </w:rPr>
              <w:t>(5)软件应对网管配置进行分类导航，方便学生查看及操作，网管配置要包含网元管理、设备管理、业务管理、告警管理等；系统应具备仿真故障告警功能，在业务配置过程中出现错误时，该功能模块可给予系统告警，可及时查看和处理告警并定位到具体问题所在；</w:t>
            </w:r>
          </w:p>
          <w:p>
            <w:pPr>
              <w:pStyle w:val="null3"/>
              <w:jc w:val="both"/>
            </w:pPr>
            <w:r>
              <w:rPr>
                <w:rFonts w:ascii="仿宋_GB2312" w:hAnsi="仿宋_GB2312" w:cs="仿宋_GB2312" w:eastAsia="仿宋_GB2312"/>
                <w:sz w:val="20"/>
              </w:rPr>
              <w:t>(6)软件须支持一键清除当前客户端所有数据，以excel表形式导出实验报告、记录实验数据，数据包含设备组网规划图、网管逻辑组网图、业务配置数据；导入前期保存的数据等等。</w:t>
            </w:r>
          </w:p>
          <w:p>
            <w:pPr>
              <w:pStyle w:val="null3"/>
              <w:jc w:val="both"/>
            </w:pPr>
            <w:r>
              <w:rPr>
                <w:rFonts w:ascii="仿宋_GB2312" w:hAnsi="仿宋_GB2312" w:cs="仿宋_GB2312" w:eastAsia="仿宋_GB2312"/>
                <w:sz w:val="20"/>
              </w:rPr>
              <w:t>▲(7)软件须支持读取客户端操作日志，客户端操作日志自动保存在服务端；显示客户端登录信息，包括学号、姓名、IP、登录模式、登录时间、在线状态</w:t>
            </w:r>
          </w:p>
          <w:p>
            <w:pPr>
              <w:pStyle w:val="null3"/>
              <w:jc w:val="both"/>
            </w:pPr>
            <w:r>
              <w:rPr>
                <w:rFonts w:ascii="仿宋_GB2312" w:hAnsi="仿宋_GB2312" w:cs="仿宋_GB2312" w:eastAsia="仿宋_GB2312"/>
                <w:sz w:val="20"/>
              </w:rPr>
              <w:t>(8)软件应具备仿真验证功能，最后进行结果验证，可通过在模拟真实设备视图中添加测试终端，点开测试终端用PING命令测试各终端的IP来确定业务是否正常联通。</w:t>
            </w:r>
          </w:p>
          <w:p>
            <w:pPr>
              <w:pStyle w:val="null3"/>
            </w:pPr>
            <w:r>
              <w:rPr>
                <w:rFonts w:ascii="仿宋_GB2312" w:hAnsi="仿宋_GB2312" w:cs="仿宋_GB2312" w:eastAsia="仿宋_GB2312"/>
                <w:sz w:val="20"/>
              </w:rPr>
              <w:t>▲(9)软件应具备业务配置、参数详解的功能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课程资源  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ArkTS程序设计》</w:t>
            </w:r>
          </w:p>
          <w:p>
            <w:pPr>
              <w:pStyle w:val="null3"/>
              <w:jc w:val="both"/>
            </w:pPr>
            <w:r>
              <w:rPr>
                <w:rFonts w:ascii="仿宋_GB2312" w:hAnsi="仿宋_GB2312" w:cs="仿宋_GB2312" w:eastAsia="仿宋_GB2312"/>
                <w:sz w:val="20"/>
              </w:rPr>
              <w:t>1、课程内容至少包括 TypeScript基本语法，ArkTS基础组件，ArkTS容器组件，ArkTS媒体组件，ArkTS绘制组件，ArkTS导航、页签组件和页面的跳转，ArkTS自定义组件，组件复用，ArkTS动画效果。</w:t>
            </w:r>
          </w:p>
          <w:p>
            <w:pPr>
              <w:pStyle w:val="null3"/>
              <w:jc w:val="both"/>
            </w:pPr>
            <w:r>
              <w:rPr>
                <w:rFonts w:ascii="仿宋_GB2312" w:hAnsi="仿宋_GB2312" w:cs="仿宋_GB2312" w:eastAsia="仿宋_GB2312"/>
                <w:sz w:val="20"/>
              </w:rPr>
              <w:t>2、课程资源包括：教学大纲≥1套；课件PPT≥10个；课程视频≥40个，视频格式为mp4；实验手册≥6套；习题库中习题≥150道，需包括单选题和多选题；</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OpenHarmony终端设备操作系统开发》</w:t>
            </w:r>
          </w:p>
          <w:p>
            <w:pPr>
              <w:pStyle w:val="null3"/>
              <w:jc w:val="both"/>
            </w:pPr>
            <w:r>
              <w:rPr>
                <w:rFonts w:ascii="仿宋_GB2312" w:hAnsi="仿宋_GB2312" w:cs="仿宋_GB2312" w:eastAsia="仿宋_GB2312"/>
                <w:sz w:val="20"/>
              </w:rPr>
              <w:t>▲1、课程≥48课时，包含授课大纲≥1份、PPT≥8份</w:t>
            </w:r>
            <w:r>
              <w:rPr>
                <w:rFonts w:ascii="仿宋_GB2312" w:hAnsi="仿宋_GB2312" w:cs="仿宋_GB2312" w:eastAsia="仿宋_GB2312"/>
                <w:sz w:val="20"/>
                <w:b/>
              </w:rPr>
              <w:t>（提供课程目录、样章、资源清单或承诺函）</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2、课程内容包括但不限于OpenHarmony南向操作系统概述、开发环境搭建、hi3861与OpenHarmony南向操作系统的使用，包含LiteOS-M 任务管理、LiteOS-M 中断管理、LiteOS-M 内存管理、LiteOS-M 时间管理、LiteOS-M 内核通信。</w:t>
            </w:r>
          </w:p>
          <w:p>
            <w:pPr>
              <w:pStyle w:val="null3"/>
              <w:jc w:val="both"/>
            </w:pPr>
            <w:r>
              <w:rPr>
                <w:rFonts w:ascii="仿宋_GB2312" w:hAnsi="仿宋_GB2312" w:cs="仿宋_GB2312" w:eastAsia="仿宋_GB2312"/>
                <w:sz w:val="20"/>
              </w:rPr>
              <w:t>3、提供≥5个Demo源码,Demo需运行在国产开源OpenHarmony操作系统上，内容包含但不限于：</w:t>
            </w:r>
          </w:p>
          <w:p>
            <w:pPr>
              <w:pStyle w:val="null3"/>
              <w:jc w:val="both"/>
            </w:pPr>
            <w:r>
              <w:rPr>
                <w:rFonts w:ascii="仿宋_GB2312" w:hAnsi="仿宋_GB2312" w:cs="仿宋_GB2312" w:eastAsia="仿宋_GB2312"/>
                <w:sz w:val="20"/>
              </w:rPr>
              <w:t>(1)任务管理Demo，Demo需用于演示openharmony轻量级系统任务创建、调度、挂起、终止等实验内容；</w:t>
            </w:r>
          </w:p>
          <w:p>
            <w:pPr>
              <w:pStyle w:val="null3"/>
              <w:jc w:val="both"/>
            </w:pPr>
            <w:r>
              <w:rPr>
                <w:rFonts w:ascii="仿宋_GB2312" w:hAnsi="仿宋_GB2312" w:cs="仿宋_GB2312" w:eastAsia="仿宋_GB2312"/>
                <w:sz w:val="20"/>
              </w:rPr>
              <w:t>(2)中断管理Demo，Demo需用于演示openharmony轻量级系统中断创建、触发等实验内容；</w:t>
            </w:r>
          </w:p>
          <w:p>
            <w:pPr>
              <w:pStyle w:val="null3"/>
              <w:jc w:val="both"/>
            </w:pPr>
            <w:r>
              <w:rPr>
                <w:rFonts w:ascii="仿宋_GB2312" w:hAnsi="仿宋_GB2312" w:cs="仿宋_GB2312" w:eastAsia="仿宋_GB2312"/>
                <w:sz w:val="20"/>
              </w:rPr>
              <w:t>(3)内存管理Demo，Demo需用于演示openharmony轻量级系统内存创建、写入、读取等实验内容；</w:t>
            </w:r>
          </w:p>
          <w:p>
            <w:pPr>
              <w:pStyle w:val="null3"/>
              <w:jc w:val="both"/>
            </w:pPr>
            <w:r>
              <w:rPr>
                <w:rFonts w:ascii="仿宋_GB2312" w:hAnsi="仿宋_GB2312" w:cs="仿宋_GB2312" w:eastAsia="仿宋_GB2312"/>
                <w:sz w:val="20"/>
              </w:rPr>
              <w:t>(4)时间管理Demo，Demo需用于演示openharmony轻量级系统时间获取、Tick与毫秒转换等实验内容；</w:t>
            </w:r>
          </w:p>
          <w:p>
            <w:pPr>
              <w:pStyle w:val="null3"/>
              <w:jc w:val="both"/>
            </w:pPr>
            <w:r>
              <w:rPr>
                <w:rFonts w:ascii="仿宋_GB2312" w:hAnsi="仿宋_GB2312" w:cs="仿宋_GB2312" w:eastAsia="仿宋_GB2312"/>
                <w:sz w:val="20"/>
              </w:rPr>
              <w:t>(5)内核通信Demo，Demo需用于演示openharmony轻量级系统事件、互斥锁、信号量、消息队列等实验内容；</w:t>
            </w:r>
          </w:p>
          <w:p>
            <w:pPr>
              <w:pStyle w:val="null3"/>
              <w:jc w:val="both"/>
            </w:pPr>
            <w:r>
              <w:rPr>
                <w:rFonts w:ascii="仿宋_GB2312" w:hAnsi="仿宋_GB2312" w:cs="仿宋_GB2312" w:eastAsia="仿宋_GB2312"/>
                <w:sz w:val="20"/>
              </w:rPr>
              <w:t>三、《基于</w:t>
            </w:r>
            <w:r>
              <w:rPr>
                <w:rFonts w:ascii="仿宋_GB2312" w:hAnsi="仿宋_GB2312" w:cs="仿宋_GB2312" w:eastAsia="仿宋_GB2312"/>
                <w:sz w:val="20"/>
              </w:rPr>
              <w:t>OpenHarmony的智能物联场景设备开发》</w:t>
            </w:r>
          </w:p>
          <w:p>
            <w:pPr>
              <w:pStyle w:val="null3"/>
              <w:jc w:val="both"/>
            </w:pPr>
            <w:r>
              <w:rPr>
                <w:rFonts w:ascii="仿宋_GB2312" w:hAnsi="仿宋_GB2312" w:cs="仿宋_GB2312" w:eastAsia="仿宋_GB2312"/>
                <w:sz w:val="20"/>
              </w:rPr>
              <w:t>▲1、课程≥64课时，包含授课大纲≥1份、实验手册≥8份</w:t>
            </w:r>
            <w:r>
              <w:rPr>
                <w:rFonts w:ascii="仿宋_GB2312" w:hAnsi="仿宋_GB2312" w:cs="仿宋_GB2312" w:eastAsia="仿宋_GB2312"/>
                <w:sz w:val="20"/>
                <w:b/>
              </w:rPr>
              <w:t>（提供课程目录、样章、资源清单或承诺函）</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2、课程内容包括但不限于开发环境搭建、hi3861及hi3863与OpenHarmony南向操作系统的使用、智能家居场景开发、智慧农业场景开发、智能巡航场景开发、运动健康场景开发、物联设备场景开发。</w:t>
            </w:r>
          </w:p>
          <w:p>
            <w:pPr>
              <w:pStyle w:val="null3"/>
              <w:jc w:val="both"/>
            </w:pPr>
            <w:r>
              <w:rPr>
                <w:rFonts w:ascii="仿宋_GB2312" w:hAnsi="仿宋_GB2312" w:cs="仿宋_GB2312" w:eastAsia="仿宋_GB2312"/>
                <w:sz w:val="20"/>
              </w:rPr>
              <w:t>3、提供≥5个Demo源码，Demo需运行在国产开源OpenHarmony操作系统上,内容包含但不限于：</w:t>
            </w:r>
          </w:p>
          <w:p>
            <w:pPr>
              <w:pStyle w:val="null3"/>
              <w:jc w:val="both"/>
            </w:pPr>
            <w:r>
              <w:rPr>
                <w:rFonts w:ascii="仿宋_GB2312" w:hAnsi="仿宋_GB2312" w:cs="仿宋_GB2312" w:eastAsia="仿宋_GB2312"/>
                <w:sz w:val="20"/>
              </w:rPr>
              <w:t>(1)智能家居Demo，Demo需用于演示智能家居场景的相关功能如语音助手、人体检测、自动门窗、智能消防、环境检测；</w:t>
            </w:r>
          </w:p>
          <w:p>
            <w:pPr>
              <w:pStyle w:val="null3"/>
              <w:jc w:val="both"/>
            </w:pPr>
            <w:r>
              <w:rPr>
                <w:rFonts w:ascii="仿宋_GB2312" w:hAnsi="仿宋_GB2312" w:cs="仿宋_GB2312" w:eastAsia="仿宋_GB2312"/>
                <w:sz w:val="20"/>
              </w:rPr>
              <w:t>(2)智慧农业Demo，Demo需用于演示智慧农业场景的相关功能如RS485工业传感器数据采集、通风大棚补光灯场景智能控制；</w:t>
            </w:r>
          </w:p>
          <w:p>
            <w:pPr>
              <w:pStyle w:val="null3"/>
              <w:jc w:val="both"/>
            </w:pPr>
            <w:r>
              <w:rPr>
                <w:rFonts w:ascii="仿宋_GB2312" w:hAnsi="仿宋_GB2312" w:cs="仿宋_GB2312" w:eastAsia="仿宋_GB2312"/>
                <w:sz w:val="20"/>
              </w:rPr>
              <w:t>(3)智能巡航Demo，Demo需用于演示智能巡航场景的相关功能如车轮车速控制、智能巡航、智慧雷达；</w:t>
            </w:r>
          </w:p>
          <w:p>
            <w:pPr>
              <w:pStyle w:val="null3"/>
              <w:jc w:val="both"/>
            </w:pPr>
            <w:r>
              <w:rPr>
                <w:rFonts w:ascii="仿宋_GB2312" w:hAnsi="仿宋_GB2312" w:cs="仿宋_GB2312" w:eastAsia="仿宋_GB2312"/>
                <w:sz w:val="20"/>
              </w:rPr>
              <w:t>(4)运动健康Demo，Demo需用于演示运动健康场景的相关功能如心率血氧温度健康检测、步数采集；</w:t>
            </w:r>
          </w:p>
          <w:p>
            <w:pPr>
              <w:pStyle w:val="null3"/>
              <w:jc w:val="both"/>
            </w:pPr>
            <w:r>
              <w:rPr>
                <w:rFonts w:ascii="仿宋_GB2312" w:hAnsi="仿宋_GB2312" w:cs="仿宋_GB2312" w:eastAsia="仿宋_GB2312"/>
                <w:sz w:val="20"/>
              </w:rPr>
              <w:t>(5)智能物联Demo，Demo需用于演示智能物联场景的相关功能如WiFi、4G、蓝牙、lora、zigbee物联协议数据传输；</w:t>
            </w:r>
          </w:p>
          <w:p>
            <w:pPr>
              <w:pStyle w:val="null3"/>
              <w:jc w:val="both"/>
            </w:pPr>
            <w:r>
              <w:rPr>
                <w:rFonts w:ascii="仿宋_GB2312" w:hAnsi="仿宋_GB2312" w:cs="仿宋_GB2312" w:eastAsia="仿宋_GB2312"/>
                <w:sz w:val="20"/>
              </w:rPr>
              <w:t>四、《基于</w:t>
            </w:r>
            <w:r>
              <w:rPr>
                <w:rFonts w:ascii="仿宋_GB2312" w:hAnsi="仿宋_GB2312" w:cs="仿宋_GB2312" w:eastAsia="仿宋_GB2312"/>
                <w:sz w:val="20"/>
              </w:rPr>
              <w:t>openharmony的智能巡航设备开发》</w:t>
            </w:r>
          </w:p>
          <w:p>
            <w:pPr>
              <w:pStyle w:val="null3"/>
              <w:jc w:val="both"/>
            </w:pPr>
            <w:r>
              <w:rPr>
                <w:rFonts w:ascii="仿宋_GB2312" w:hAnsi="仿宋_GB2312" w:cs="仿宋_GB2312" w:eastAsia="仿宋_GB2312"/>
                <w:sz w:val="20"/>
              </w:rPr>
              <w:t>▲1、课程≥64课时，包含授课大纲≥1份、实验手册≥8份</w:t>
            </w:r>
            <w:r>
              <w:rPr>
                <w:rFonts w:ascii="仿宋_GB2312" w:hAnsi="仿宋_GB2312" w:cs="仿宋_GB2312" w:eastAsia="仿宋_GB2312"/>
                <w:sz w:val="20"/>
                <w:b/>
              </w:rPr>
              <w:t>（提供课程目录、样章、资源清单或承诺函）</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2、课程内容包括但不限于开发环境搭建、hi3861与OpenHarmony南向操作系统的使用、任务管理开发、芯片IO口开发、PWM控制开发、PID控制算法开发、WiFi联网、设备接入华为云IoTDA及通讯、智慧小车案例开发。</w:t>
            </w:r>
          </w:p>
          <w:p>
            <w:pPr>
              <w:pStyle w:val="null3"/>
              <w:jc w:val="both"/>
            </w:pPr>
            <w:r>
              <w:rPr>
                <w:rFonts w:ascii="仿宋_GB2312" w:hAnsi="仿宋_GB2312" w:cs="仿宋_GB2312" w:eastAsia="仿宋_GB2312"/>
                <w:sz w:val="20"/>
              </w:rPr>
              <w:t>3、提供≥5个Demo源码，Demo需运行在国产开源OpenHarmony操作系统上,内容包含但不限于：</w:t>
            </w:r>
          </w:p>
          <w:p>
            <w:pPr>
              <w:pStyle w:val="null3"/>
              <w:jc w:val="both"/>
            </w:pPr>
            <w:r>
              <w:rPr>
                <w:rFonts w:ascii="仿宋_GB2312" w:hAnsi="仿宋_GB2312" w:cs="仿宋_GB2312" w:eastAsia="仿宋_GB2312"/>
                <w:sz w:val="20"/>
              </w:rPr>
              <w:t>(1)任务管理Demo，Demo需用于演示OpenHarmony操作系统任务相关功能；</w:t>
            </w:r>
          </w:p>
          <w:p>
            <w:pPr>
              <w:pStyle w:val="null3"/>
              <w:jc w:val="both"/>
            </w:pPr>
            <w:r>
              <w:rPr>
                <w:rFonts w:ascii="仿宋_GB2312" w:hAnsi="仿宋_GB2312" w:cs="仿宋_GB2312" w:eastAsia="仿宋_GB2312"/>
                <w:sz w:val="20"/>
              </w:rPr>
              <w:t>(2)IO控制Demo，Demo需用于演示IO口输出控制灯及按键输入功能；</w:t>
            </w:r>
          </w:p>
          <w:p>
            <w:pPr>
              <w:pStyle w:val="null3"/>
              <w:jc w:val="both"/>
            </w:pPr>
            <w:r>
              <w:rPr>
                <w:rFonts w:ascii="仿宋_GB2312" w:hAnsi="仿宋_GB2312" w:cs="仿宋_GB2312" w:eastAsia="仿宋_GB2312"/>
                <w:sz w:val="20"/>
              </w:rPr>
              <w:t>(3)PWM输出Demo，Demo需用于演示呼吸灯相关功能；</w:t>
            </w:r>
          </w:p>
          <w:p>
            <w:pPr>
              <w:pStyle w:val="null3"/>
              <w:jc w:val="both"/>
            </w:pPr>
            <w:r>
              <w:rPr>
                <w:rFonts w:ascii="仿宋_GB2312" w:hAnsi="仿宋_GB2312" w:cs="仿宋_GB2312" w:eastAsia="仿宋_GB2312"/>
                <w:sz w:val="20"/>
              </w:rPr>
              <w:t>(4)数据通讯Demo，Demo需用于演示连接及数据交互功能。</w:t>
            </w:r>
          </w:p>
          <w:p>
            <w:pPr>
              <w:pStyle w:val="null3"/>
              <w:jc w:val="both"/>
            </w:pPr>
            <w:r>
              <w:rPr>
                <w:rFonts w:ascii="仿宋_GB2312" w:hAnsi="仿宋_GB2312" w:cs="仿宋_GB2312" w:eastAsia="仿宋_GB2312"/>
                <w:sz w:val="20"/>
              </w:rPr>
              <w:t>(5)智能巡航Demo，Demo需用于演示智能巡航功能场景案例，包含PWM控制巡航速度、PID算法实现变速调节功能，倒车雷达功能、自动巡航功能。</w:t>
            </w:r>
          </w:p>
          <w:p>
            <w:pPr>
              <w:pStyle w:val="null3"/>
              <w:jc w:val="both"/>
            </w:pPr>
            <w:r>
              <w:rPr>
                <w:rFonts w:ascii="仿宋_GB2312" w:hAnsi="仿宋_GB2312" w:cs="仿宋_GB2312" w:eastAsia="仿宋_GB2312"/>
                <w:sz w:val="20"/>
              </w:rPr>
              <w:t>五、《鸿蒙原生应用技术》</w:t>
            </w:r>
          </w:p>
          <w:p>
            <w:pPr>
              <w:pStyle w:val="null3"/>
              <w:jc w:val="both"/>
            </w:pPr>
            <w:r>
              <w:rPr>
                <w:rFonts w:ascii="仿宋_GB2312" w:hAnsi="仿宋_GB2312" w:cs="仿宋_GB2312" w:eastAsia="仿宋_GB2312"/>
                <w:sz w:val="20"/>
              </w:rPr>
              <w:t>1、课程内容至少包括：鸿蒙原生应用开发综述、鸿蒙原生应用开发构建、Stage模型开发、UlAbility的应用、布局开发应用、组件开发应用、鸿蒙原生基础功能应用、鸿蒙原生高级功能应用、动画和手势、ArkWeb混合开发。</w:t>
            </w:r>
          </w:p>
          <w:p>
            <w:pPr>
              <w:pStyle w:val="null3"/>
              <w:jc w:val="both"/>
            </w:pPr>
            <w:r>
              <w:rPr>
                <w:rFonts w:ascii="仿宋_GB2312" w:hAnsi="仿宋_GB2312" w:cs="仿宋_GB2312" w:eastAsia="仿宋_GB2312"/>
                <w:sz w:val="20"/>
              </w:rPr>
              <w:t>2、课程资源包括：教学大纲≥1套，课件PPT≥10个；课程视频≥30个，实验手册≥7套；习题库中习题≥200道，需包括单选题和多选题、简答题、填空题。</w:t>
            </w:r>
          </w:p>
          <w:p>
            <w:pPr>
              <w:pStyle w:val="null3"/>
              <w:jc w:val="both"/>
            </w:pPr>
            <w:r>
              <w:rPr>
                <w:rFonts w:ascii="仿宋_GB2312" w:hAnsi="仿宋_GB2312" w:cs="仿宋_GB2312" w:eastAsia="仿宋_GB2312"/>
                <w:sz w:val="20"/>
              </w:rPr>
              <w:t>六、配套教学平台</w:t>
            </w:r>
          </w:p>
          <w:p>
            <w:pPr>
              <w:pStyle w:val="null3"/>
              <w:jc w:val="both"/>
            </w:pPr>
            <w:r>
              <w:rPr>
                <w:rFonts w:ascii="仿宋_GB2312" w:hAnsi="仿宋_GB2312" w:cs="仿宋_GB2312" w:eastAsia="仿宋_GB2312"/>
                <w:sz w:val="20"/>
              </w:rPr>
              <w:t>1、组织与用户权限管理</w:t>
            </w:r>
          </w:p>
          <w:p>
            <w:pPr>
              <w:pStyle w:val="null3"/>
              <w:jc w:val="both"/>
            </w:pPr>
            <w:r>
              <w:rPr>
                <w:rFonts w:ascii="仿宋_GB2312" w:hAnsi="仿宋_GB2312" w:cs="仿宋_GB2312" w:eastAsia="仿宋_GB2312"/>
                <w:sz w:val="20"/>
              </w:rPr>
              <w:t>(1)系统采用B/S架构，实现全校教学大数据的实时多地采集，为院级、授课老师、学员等提供不同层级的功能区域。</w:t>
            </w:r>
          </w:p>
          <w:p>
            <w:pPr>
              <w:pStyle w:val="null3"/>
              <w:jc w:val="both"/>
            </w:pPr>
            <w:r>
              <w:rPr>
                <w:rFonts w:ascii="仿宋_GB2312" w:hAnsi="仿宋_GB2312" w:cs="仿宋_GB2312" w:eastAsia="仿宋_GB2312"/>
                <w:sz w:val="20"/>
              </w:rPr>
              <w:t>(2)系统支持权限管理：包含菜单管理、角色管理，按照角色进行自定义面板设置。</w:t>
            </w:r>
          </w:p>
          <w:p>
            <w:pPr>
              <w:pStyle w:val="null3"/>
              <w:jc w:val="both"/>
            </w:pPr>
            <w:r>
              <w:rPr>
                <w:rFonts w:ascii="仿宋_GB2312" w:hAnsi="仿宋_GB2312" w:cs="仿宋_GB2312" w:eastAsia="仿宋_GB2312"/>
                <w:sz w:val="20"/>
              </w:rPr>
              <w:t>(3)支持账号管理：包括组织架构和用户管理，支持用户密码重置，设置岗位级别等。</w:t>
            </w:r>
          </w:p>
          <w:p>
            <w:pPr>
              <w:pStyle w:val="null3"/>
              <w:jc w:val="both"/>
            </w:pPr>
            <w:r>
              <w:rPr>
                <w:rFonts w:ascii="仿宋_GB2312" w:hAnsi="仿宋_GB2312" w:cs="仿宋_GB2312" w:eastAsia="仿宋_GB2312"/>
                <w:sz w:val="20"/>
              </w:rPr>
              <w:t>(4)能力认证体系：包含技术体系管理、知识点管理、技能管理。</w:t>
            </w:r>
          </w:p>
          <w:p>
            <w:pPr>
              <w:pStyle w:val="null3"/>
              <w:jc w:val="both"/>
            </w:pPr>
            <w:r>
              <w:rPr>
                <w:rFonts w:ascii="仿宋_GB2312" w:hAnsi="仿宋_GB2312" w:cs="仿宋_GB2312" w:eastAsia="仿宋_GB2312"/>
                <w:sz w:val="20"/>
              </w:rPr>
              <w:t>(5)支持院系专业设置：通过树状结构展示层级关系，支持启用停用功能，支持校区、教学楼、楼层、教室等资源管理；班级管理：提供班级的创建、修改、删除，支持生活考勤（不限于晚自习、早操等）的添加与查看，支持班级的班会与干部竞选管理；学员管理：支持学员批量导入与删除功能，支持学员的访谈管理；老师管理：支持老师的批量导入功能，支持老师的职业证书管理，职称管理。</w:t>
            </w:r>
          </w:p>
          <w:p>
            <w:pPr>
              <w:pStyle w:val="null3"/>
              <w:jc w:val="both"/>
            </w:pPr>
            <w:r>
              <w:rPr>
                <w:rFonts w:ascii="仿宋_GB2312" w:hAnsi="仿宋_GB2312" w:cs="仿宋_GB2312" w:eastAsia="仿宋_GB2312"/>
                <w:sz w:val="20"/>
              </w:rPr>
              <w:t>2、课堂教学</w:t>
            </w:r>
          </w:p>
          <w:p>
            <w:pPr>
              <w:pStyle w:val="null3"/>
              <w:jc w:val="both"/>
            </w:pPr>
            <w:r>
              <w:rPr>
                <w:rFonts w:ascii="仿宋_GB2312" w:hAnsi="仿宋_GB2312" w:cs="仿宋_GB2312" w:eastAsia="仿宋_GB2312"/>
                <w:sz w:val="20"/>
              </w:rPr>
              <w:t>(1)平台支持校历管理；教学计划支持教学课表单条或是批量添加，支持单双周的排课模式，支持列表与图文列表切换展示，支持每堂课的考勤分析及出勤率，支持教学计划归档。</w:t>
            </w:r>
          </w:p>
          <w:p>
            <w:pPr>
              <w:pStyle w:val="null3"/>
              <w:jc w:val="both"/>
            </w:pPr>
            <w:r>
              <w:rPr>
                <w:rFonts w:ascii="仿宋_GB2312" w:hAnsi="仿宋_GB2312" w:cs="仿宋_GB2312" w:eastAsia="仿宋_GB2312"/>
                <w:sz w:val="20"/>
              </w:rPr>
              <w:t>▲(2)教学模式：课堂教学支持普通教学与翻转课堂教学两种模式；翻转课程支持签到活动、提问活动、测验活动、小组pk、头脑风暴、投票、作业、笔记等活动形式；对于每堂课能展示课后分析，分析每人课前、课中、课后学习情况。课中能通过大屏展示课堂活动的参与情况。提升学生课堂参与度。</w:t>
            </w:r>
          </w:p>
          <w:p>
            <w:pPr>
              <w:pStyle w:val="null3"/>
              <w:jc w:val="both"/>
            </w:pPr>
            <w:r>
              <w:rPr>
                <w:rFonts w:ascii="仿宋_GB2312" w:hAnsi="仿宋_GB2312" w:cs="仿宋_GB2312" w:eastAsia="仿宋_GB2312"/>
                <w:sz w:val="20"/>
              </w:rPr>
              <w:t>▲(3)权重设置：支持每门课程教学计划的权重设置，通过设置不同教学活动类型的权重值，自动生成学员的课程综合成绩。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支持问卷管理，方便查看学员对老师的教学评价，根据反馈意见提升老师的教学质量。针对每门课程教学完毕后，会自动生成三个维度的分析：课程分析、讲师分析、学情分析。</w:t>
            </w:r>
          </w:p>
          <w:p>
            <w:pPr>
              <w:pStyle w:val="null3"/>
              <w:jc w:val="both"/>
            </w:pPr>
            <w:r>
              <w:rPr>
                <w:rFonts w:ascii="仿宋_GB2312" w:hAnsi="仿宋_GB2312" w:cs="仿宋_GB2312" w:eastAsia="仿宋_GB2312"/>
                <w:sz w:val="20"/>
              </w:rPr>
              <w:t>3、作业管理</w:t>
            </w:r>
          </w:p>
          <w:p>
            <w:pPr>
              <w:pStyle w:val="null3"/>
              <w:jc w:val="both"/>
            </w:pPr>
            <w:r>
              <w:rPr>
                <w:rFonts w:ascii="仿宋_GB2312" w:hAnsi="仿宋_GB2312" w:cs="仿宋_GB2312" w:eastAsia="仿宋_GB2312"/>
                <w:sz w:val="20"/>
              </w:rPr>
              <w:t>(1)平台支持作业的发布，作业类型支持题库、附件、登分等多种类型方式；题库类型的作业支持普通手动作业和随机作业方式。</w:t>
            </w:r>
          </w:p>
          <w:p>
            <w:pPr>
              <w:pStyle w:val="null3"/>
              <w:jc w:val="both"/>
            </w:pPr>
            <w:r>
              <w:rPr>
                <w:rFonts w:ascii="仿宋_GB2312" w:hAnsi="仿宋_GB2312" w:cs="仿宋_GB2312" w:eastAsia="仿宋_GB2312"/>
                <w:sz w:val="20"/>
              </w:rPr>
              <w:t>(2)支持对未提交作业的学生进行提醒功能；作业发布时支持设置学员组内互评与老师批阅等批阅方式。</w:t>
            </w:r>
          </w:p>
          <w:p>
            <w:pPr>
              <w:pStyle w:val="null3"/>
              <w:jc w:val="both"/>
            </w:pPr>
            <w:r>
              <w:rPr>
                <w:rFonts w:ascii="仿宋_GB2312" w:hAnsi="仿宋_GB2312" w:cs="仿宋_GB2312" w:eastAsia="仿宋_GB2312"/>
                <w:sz w:val="20"/>
              </w:rPr>
              <w:t>4、学员工作台</w:t>
            </w:r>
          </w:p>
          <w:p>
            <w:pPr>
              <w:pStyle w:val="null3"/>
              <w:jc w:val="both"/>
            </w:pPr>
            <w:r>
              <w:rPr>
                <w:rFonts w:ascii="仿宋_GB2312" w:hAnsi="仿宋_GB2312" w:cs="仿宋_GB2312" w:eastAsia="仿宋_GB2312"/>
                <w:sz w:val="20"/>
              </w:rPr>
              <w:t>(1)平台支持学生工作台提醒。</w:t>
            </w:r>
          </w:p>
          <w:p>
            <w:pPr>
              <w:pStyle w:val="null3"/>
              <w:jc w:val="both"/>
            </w:pPr>
            <w:r>
              <w:rPr>
                <w:rFonts w:ascii="仿宋_GB2312" w:hAnsi="仿宋_GB2312" w:cs="仿宋_GB2312" w:eastAsia="仿宋_GB2312"/>
                <w:sz w:val="20"/>
              </w:rPr>
              <w:t>(2)看板展示：看板支持展示当日课表，并可通过本周、本月进行切换。</w:t>
            </w:r>
          </w:p>
          <w:p>
            <w:pPr>
              <w:pStyle w:val="null3"/>
              <w:jc w:val="both"/>
            </w:pPr>
            <w:r>
              <w:rPr>
                <w:rFonts w:ascii="仿宋_GB2312" w:hAnsi="仿宋_GB2312" w:cs="仿宋_GB2312" w:eastAsia="仿宋_GB2312"/>
                <w:sz w:val="20"/>
              </w:rPr>
              <w:t>5、选课管理</w:t>
            </w:r>
          </w:p>
          <w:p>
            <w:pPr>
              <w:pStyle w:val="null3"/>
              <w:jc w:val="both"/>
            </w:pPr>
            <w:r>
              <w:rPr>
                <w:rFonts w:ascii="仿宋_GB2312" w:hAnsi="仿宋_GB2312" w:cs="仿宋_GB2312" w:eastAsia="仿宋_GB2312"/>
                <w:sz w:val="20"/>
              </w:rPr>
              <w:t>(1)平台支持选课管理：支持老师发布选修课程（专业选修与公共选修）。</w:t>
            </w:r>
          </w:p>
          <w:p>
            <w:pPr>
              <w:pStyle w:val="null3"/>
              <w:jc w:val="both"/>
            </w:pPr>
            <w:r>
              <w:rPr>
                <w:rFonts w:ascii="仿宋_GB2312" w:hAnsi="仿宋_GB2312" w:cs="仿宋_GB2312" w:eastAsia="仿宋_GB2312"/>
                <w:sz w:val="20"/>
              </w:rPr>
              <w:t>(2)课程发布：课程发布后支持学生在线选课，查看课程及授课老师详情；支持老师手动添加选修的学生。</w:t>
            </w:r>
          </w:p>
          <w:p>
            <w:pPr>
              <w:pStyle w:val="null3"/>
              <w:jc w:val="both"/>
            </w:pPr>
            <w:r>
              <w:rPr>
                <w:rFonts w:ascii="仿宋_GB2312" w:hAnsi="仿宋_GB2312" w:cs="仿宋_GB2312" w:eastAsia="仿宋_GB2312"/>
                <w:sz w:val="20"/>
              </w:rPr>
              <w:t>(3)选修课也支持考勤、翻转课程、考试等教学过程管理。</w:t>
            </w:r>
          </w:p>
          <w:p>
            <w:pPr>
              <w:pStyle w:val="null3"/>
              <w:jc w:val="both"/>
            </w:pPr>
            <w:r>
              <w:rPr>
                <w:rFonts w:ascii="仿宋_GB2312" w:hAnsi="仿宋_GB2312" w:cs="仿宋_GB2312" w:eastAsia="仿宋_GB2312"/>
                <w:sz w:val="20"/>
              </w:rPr>
              <w:t>6、课程资源管理</w:t>
            </w:r>
          </w:p>
          <w:p>
            <w:pPr>
              <w:pStyle w:val="null3"/>
              <w:jc w:val="both"/>
            </w:pPr>
            <w:r>
              <w:rPr>
                <w:rFonts w:ascii="仿宋_GB2312" w:hAnsi="仿宋_GB2312" w:cs="仿宋_GB2312" w:eastAsia="仿宋_GB2312"/>
                <w:sz w:val="20"/>
              </w:rPr>
              <w:t>(1)支持课程资源管理：支持课程、课件、视频、教案等管理。</w:t>
            </w:r>
          </w:p>
          <w:p>
            <w:pPr>
              <w:pStyle w:val="null3"/>
              <w:jc w:val="both"/>
            </w:pPr>
            <w:r>
              <w:rPr>
                <w:rFonts w:ascii="仿宋_GB2312" w:hAnsi="仿宋_GB2312" w:cs="仿宋_GB2312" w:eastAsia="仿宋_GB2312"/>
                <w:sz w:val="20"/>
              </w:rPr>
              <w:t>(2)支持课程编排：支持可视化链路引导，教师可按照流程步骤指引快速完成课程搭建；系统采用章节树架构可视化组装课程目录，支持各章节自主关联课件、教学视频、虚拟实验、课后作业等各类教学资源。课程列表支持列表与图文列表切换展示。</w:t>
            </w:r>
          </w:p>
          <w:p>
            <w:pPr>
              <w:pStyle w:val="null3"/>
              <w:jc w:val="both"/>
            </w:pPr>
            <w:r>
              <w:rPr>
                <w:rFonts w:ascii="仿宋_GB2312" w:hAnsi="仿宋_GB2312" w:cs="仿宋_GB2312" w:eastAsia="仿宋_GB2312"/>
                <w:sz w:val="20"/>
              </w:rPr>
              <w:t>(3)课程发布：支持课程发布到前端，发布过程中可对课程发布的范围进行设置，支持设置章节的试听，支持课程资源审核。</w:t>
            </w:r>
          </w:p>
          <w:p>
            <w:pPr>
              <w:pStyle w:val="null3"/>
              <w:jc w:val="both"/>
            </w:pPr>
            <w:r>
              <w:rPr>
                <w:rFonts w:ascii="仿宋_GB2312" w:hAnsi="仿宋_GB2312" w:cs="仿宋_GB2312" w:eastAsia="仿宋_GB2312"/>
                <w:sz w:val="20"/>
              </w:rPr>
              <w:t>(4)课程复制功能：支持课程复制，实现相似课程快速组装。</w:t>
            </w:r>
          </w:p>
          <w:p>
            <w:pPr>
              <w:pStyle w:val="null3"/>
              <w:jc w:val="both"/>
            </w:pPr>
            <w:r>
              <w:rPr>
                <w:rFonts w:ascii="仿宋_GB2312" w:hAnsi="仿宋_GB2312" w:cs="仿宋_GB2312" w:eastAsia="仿宋_GB2312"/>
                <w:sz w:val="20"/>
              </w:rPr>
              <w:t>7、课程学习</w:t>
            </w:r>
          </w:p>
          <w:p>
            <w:pPr>
              <w:pStyle w:val="null3"/>
              <w:jc w:val="both"/>
            </w:pPr>
            <w:r>
              <w:rPr>
                <w:rFonts w:ascii="仿宋_GB2312" w:hAnsi="仿宋_GB2312" w:cs="仿宋_GB2312" w:eastAsia="仿宋_GB2312"/>
                <w:sz w:val="20"/>
              </w:rPr>
              <w:t>(1)学员进入平台在线学习课程，课程学习的过程数据会记录，并自动生成学员课程进度。</w:t>
            </w:r>
          </w:p>
          <w:p>
            <w:pPr>
              <w:pStyle w:val="null3"/>
              <w:jc w:val="both"/>
            </w:pPr>
            <w:r>
              <w:rPr>
                <w:rFonts w:ascii="仿宋_GB2312" w:hAnsi="仿宋_GB2312" w:cs="仿宋_GB2312" w:eastAsia="仿宋_GB2312"/>
                <w:sz w:val="20"/>
              </w:rPr>
              <w:t>(2)支持学习过程中添加评论、答疑、笔记；支持对课程进行收藏，方便后期进阶学习。</w:t>
            </w:r>
          </w:p>
          <w:p>
            <w:pPr>
              <w:pStyle w:val="null3"/>
              <w:jc w:val="both"/>
            </w:pPr>
            <w:r>
              <w:rPr>
                <w:rFonts w:ascii="仿宋_GB2312" w:hAnsi="仿宋_GB2312" w:cs="仿宋_GB2312" w:eastAsia="仿宋_GB2312"/>
                <w:sz w:val="20"/>
              </w:rPr>
              <w:t>(3)支持学员端展示课程学习的总数、累计学习时长、整体学习进度；按照课程标签展示学员所学全部课程，方便后期学习快速定位课程复习。</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学生实习、就业支持</w:t>
            </w:r>
            <w:r>
              <w:rPr>
                <w:rFonts w:ascii="仿宋_GB2312" w:hAnsi="仿宋_GB2312" w:cs="仿宋_GB2312" w:eastAsia="仿宋_GB2312"/>
                <w:sz w:val="20"/>
              </w:rPr>
              <w:t>服务平台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、在线考试</w:t>
            </w:r>
          </w:p>
          <w:p>
            <w:pPr>
              <w:pStyle w:val="null3"/>
              <w:jc w:val="both"/>
            </w:pPr>
            <w:r>
              <w:rPr>
                <w:rFonts w:ascii="仿宋_GB2312" w:hAnsi="仿宋_GB2312" w:cs="仿宋_GB2312" w:eastAsia="仿宋_GB2312"/>
                <w:sz w:val="20"/>
              </w:rPr>
              <w:t>▲(1)平台提供行业标准考试测评，考试类型分为顺序练习、随机练习、综合考试、专项智能学习和错题练习，有考试、背题和答题模式</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(2)学生参与练习、考试后支持能力评估、答案解析明细/报告，纠错反馈、笔记记录等功能。</w:t>
            </w:r>
          </w:p>
          <w:p>
            <w:pPr>
              <w:pStyle w:val="null3"/>
              <w:jc w:val="both"/>
            </w:pPr>
            <w:r>
              <w:rPr>
                <w:rFonts w:ascii="仿宋_GB2312" w:hAnsi="仿宋_GB2312" w:cs="仿宋_GB2312" w:eastAsia="仿宋_GB2312"/>
                <w:sz w:val="20"/>
              </w:rPr>
              <w:t>(3)支持内部学习考试与竞赛组织</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、实习就业</w:t>
            </w:r>
          </w:p>
          <w:p>
            <w:pPr>
              <w:pStyle w:val="null3"/>
              <w:jc w:val="both"/>
            </w:pPr>
            <w:r>
              <w:rPr>
                <w:rFonts w:ascii="仿宋_GB2312" w:hAnsi="仿宋_GB2312" w:cs="仿宋_GB2312" w:eastAsia="仿宋_GB2312"/>
                <w:sz w:val="20"/>
              </w:rPr>
              <w:t>▲(1)支持根据学生求职意愿，进行岗位精准筛选，为学生提供个性化、实时职位</w:t>
            </w:r>
            <w:r>
              <w:rPr>
                <w:rFonts w:ascii="仿宋_GB2312" w:hAnsi="仿宋_GB2312" w:cs="仿宋_GB2312" w:eastAsia="仿宋_GB2312"/>
                <w:sz w:val="20"/>
              </w:rPr>
              <w:t>信息</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(2)支持学生在线编辑简历并进行职位投递。</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、职业测评</w:t>
            </w:r>
          </w:p>
          <w:p>
            <w:pPr>
              <w:pStyle w:val="null3"/>
              <w:jc w:val="both"/>
            </w:pPr>
            <w:r>
              <w:rPr>
                <w:rFonts w:ascii="仿宋_GB2312" w:hAnsi="仿宋_GB2312" w:cs="仿宋_GB2312" w:eastAsia="仿宋_GB2312"/>
                <w:sz w:val="20"/>
              </w:rPr>
              <w:t>(1)平台集成APESK测试系统，包含初级量表、高级量表，满足不同层次测评需求。</w:t>
            </w:r>
          </w:p>
          <w:p>
            <w:pPr>
              <w:pStyle w:val="null3"/>
              <w:jc w:val="both"/>
            </w:pPr>
            <w:r>
              <w:rPr>
                <w:rFonts w:ascii="仿宋_GB2312" w:hAnsi="仿宋_GB2312" w:cs="仿宋_GB2312" w:eastAsia="仿宋_GB2312"/>
                <w:sz w:val="20"/>
              </w:rPr>
              <w:t>▲(2)初级量表包含职业锚、九型人格、霍兰德职业兴趣、DISC、贝尔宾、PDP、16PF、TKI冲突模型、MMPI、AQ逆商、GATB倾向、EQ情商、性格色彩、艾森克EPQ、荣格理论第一步等</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(3)高级量表包含荣格第二步、OPQ管理潜质问卷、全脑优势完整版、DISC完整版测试、销售业务岗，研发岗性格评估等。</w:t>
            </w:r>
          </w:p>
          <w:p>
            <w:pPr>
              <w:pStyle w:val="null3"/>
              <w:jc w:val="both"/>
            </w:pPr>
            <w:r>
              <w:rPr>
                <w:rFonts w:ascii="仿宋_GB2312" w:hAnsi="仿宋_GB2312" w:cs="仿宋_GB2312" w:eastAsia="仿宋_GB2312"/>
                <w:sz w:val="20"/>
              </w:rPr>
              <w:t>(4)支持15—30分钟快速测评，测评完成后自动生成报告，为测评者提供全面准确的评估报告和优化方案。</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、个人主页</w:t>
            </w:r>
          </w:p>
          <w:p>
            <w:pPr>
              <w:pStyle w:val="null3"/>
              <w:jc w:val="both"/>
            </w:pPr>
            <w:r>
              <w:rPr>
                <w:rFonts w:ascii="仿宋_GB2312" w:hAnsi="仿宋_GB2312" w:cs="仿宋_GB2312" w:eastAsia="仿宋_GB2312"/>
                <w:sz w:val="20"/>
              </w:rPr>
              <w:t>(1)支持实时查看了解自己当前的学习情况</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、企业端</w:t>
            </w:r>
          </w:p>
          <w:p>
            <w:pPr>
              <w:pStyle w:val="null3"/>
              <w:jc w:val="both"/>
            </w:pPr>
            <w:r>
              <w:rPr>
                <w:rFonts w:ascii="仿宋_GB2312" w:hAnsi="仿宋_GB2312" w:cs="仿宋_GB2312" w:eastAsia="仿宋_GB2312"/>
                <w:sz w:val="20"/>
              </w:rPr>
              <w:t>▲(1)企业用户权限包括职位发布、应聘管理、简历搜索、人才库、企业中心、邀约测评等；</w:t>
            </w:r>
          </w:p>
          <w:p>
            <w:pPr>
              <w:pStyle w:val="null3"/>
              <w:jc w:val="both"/>
            </w:pPr>
            <w:r>
              <w:rPr>
                <w:rFonts w:ascii="仿宋_GB2312" w:hAnsi="仿宋_GB2312" w:cs="仿宋_GB2312" w:eastAsia="仿宋_GB2312"/>
                <w:sz w:val="20"/>
              </w:rPr>
              <w:t>(2)企业HR对简历进行查看、下载，对符合的简历下发面试通知等，支持企业与用户在线视频面试。</w:t>
            </w:r>
          </w:p>
          <w:p>
            <w:pPr>
              <w:pStyle w:val="null3"/>
              <w:jc w:val="both"/>
            </w:pPr>
            <w:r>
              <w:rPr>
                <w:rFonts w:ascii="仿宋_GB2312" w:hAnsi="仿宋_GB2312" w:cs="仿宋_GB2312" w:eastAsia="仿宋_GB2312"/>
                <w:sz w:val="20"/>
              </w:rPr>
              <w:t>(3)支持实时职位发布，管理。</w:t>
            </w:r>
          </w:p>
          <w:p>
            <w:pPr>
              <w:pStyle w:val="null3"/>
              <w:jc w:val="both"/>
            </w:pPr>
            <w:r>
              <w:rPr>
                <w:rFonts w:ascii="仿宋_GB2312" w:hAnsi="仿宋_GB2312" w:cs="仿宋_GB2312" w:eastAsia="仿宋_GB2312"/>
                <w:sz w:val="20"/>
              </w:rPr>
              <w:t>(4)支持学生投递简历的在线查看、下载，邀约面试、状态反馈。</w:t>
            </w:r>
          </w:p>
          <w:p>
            <w:pPr>
              <w:pStyle w:val="null3"/>
              <w:jc w:val="both"/>
            </w:pPr>
            <w:r>
              <w:rPr>
                <w:rFonts w:ascii="仿宋_GB2312" w:hAnsi="仿宋_GB2312" w:cs="仿宋_GB2312" w:eastAsia="仿宋_GB2312"/>
                <w:sz w:val="20"/>
              </w:rPr>
              <w:t>(5)支持平台已公开学生简历的搜索、快速查看。</w:t>
            </w:r>
          </w:p>
          <w:p>
            <w:pPr>
              <w:pStyle w:val="null3"/>
              <w:jc w:val="both"/>
            </w:pPr>
            <w:r>
              <w:rPr>
                <w:rFonts w:ascii="仿宋_GB2312" w:hAnsi="仿宋_GB2312" w:cs="仿宋_GB2312" w:eastAsia="仿宋_GB2312"/>
                <w:sz w:val="20"/>
              </w:rPr>
              <w:t>(6)支持企业基本信息管理、账号管理、近期数据统计查看；支持定向人才推送、人才库管理，提升人才获取效率。</w:t>
            </w:r>
          </w:p>
          <w:p>
            <w:pPr>
              <w:pStyle w:val="null3"/>
              <w:jc w:val="both"/>
            </w:pPr>
            <w:r>
              <w:rPr>
                <w:rFonts w:ascii="仿宋_GB2312" w:hAnsi="仿宋_GB2312" w:cs="仿宋_GB2312" w:eastAsia="仿宋_GB2312"/>
                <w:sz w:val="20"/>
              </w:rPr>
              <w:t>▲(7)针对企业购买的测评量表，企业HR可以选择对应的量表发送给求职者或员工进行测试；测试完成后，管理员可以在线查看或批量导出报告</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、管理端</w:t>
            </w:r>
          </w:p>
          <w:p>
            <w:pPr>
              <w:pStyle w:val="null3"/>
              <w:jc w:val="both"/>
            </w:pPr>
            <w:r>
              <w:rPr>
                <w:rFonts w:ascii="仿宋_GB2312" w:hAnsi="仿宋_GB2312" w:cs="仿宋_GB2312" w:eastAsia="仿宋_GB2312"/>
                <w:sz w:val="20"/>
              </w:rPr>
              <w:t>(1)支持查看/导出记录，包括学生在线学习开始时间、结束时间、学习时长，以及学习过程中随机打卡（在线弹窗打卡）等信息。</w:t>
            </w:r>
          </w:p>
          <w:p>
            <w:pPr>
              <w:pStyle w:val="null3"/>
              <w:jc w:val="both"/>
            </w:pPr>
            <w:r>
              <w:rPr>
                <w:rFonts w:ascii="仿宋_GB2312" w:hAnsi="仿宋_GB2312" w:cs="仿宋_GB2312" w:eastAsia="仿宋_GB2312"/>
                <w:sz w:val="20"/>
              </w:rPr>
              <w:t>(2)支持导出学习数据统计总表（学员姓名、身份证号、本人手机号、学习时间段、学时统计等信息）和每位学员的学习明细记录、支持定制统计报表等。</w:t>
            </w:r>
          </w:p>
          <w:p>
            <w:pPr>
              <w:pStyle w:val="null3"/>
              <w:jc w:val="both"/>
            </w:pPr>
            <w:r>
              <w:rPr>
                <w:rFonts w:ascii="仿宋_GB2312" w:hAnsi="仿宋_GB2312" w:cs="仿宋_GB2312" w:eastAsia="仿宋_GB2312"/>
                <w:sz w:val="20"/>
              </w:rPr>
              <w:t>(3)支持实时观看人数、历史观看人数、观看行为统计、观众信息统计等，帮助分析直播效果，推动市场决策。</w:t>
            </w:r>
          </w:p>
          <w:p>
            <w:pPr>
              <w:pStyle w:val="null3"/>
              <w:jc w:val="both"/>
            </w:pPr>
            <w:r>
              <w:rPr>
                <w:rFonts w:ascii="仿宋_GB2312" w:hAnsi="仿宋_GB2312" w:cs="仿宋_GB2312" w:eastAsia="仿宋_GB2312"/>
                <w:sz w:val="20"/>
              </w:rPr>
              <w:t>(4)可统计每个观众的观看行为，包括何时进入频道、观看多长时间，掌握每一位学员的学习进度。</w:t>
            </w:r>
          </w:p>
          <w:p>
            <w:pPr>
              <w:pStyle w:val="null3"/>
              <w:jc w:val="both"/>
            </w:pPr>
            <w:r>
              <w:rPr>
                <w:rFonts w:ascii="仿宋_GB2312" w:hAnsi="仿宋_GB2312" w:cs="仿宋_GB2312" w:eastAsia="仿宋_GB2312"/>
                <w:sz w:val="20"/>
              </w:rPr>
              <w:t>(5)支持理论考试主观题阅卷，试题纠错；支持考试成绩查看与导出并协同分析总结；支持实时在线考试行为监控，用户平台操作行为记录与统计分析。</w:t>
            </w:r>
          </w:p>
          <w:p>
            <w:pPr>
              <w:pStyle w:val="null3"/>
              <w:jc w:val="both"/>
            </w:pPr>
            <w:r>
              <w:rPr>
                <w:rFonts w:ascii="仿宋_GB2312" w:hAnsi="仿宋_GB2312" w:cs="仿宋_GB2312" w:eastAsia="仿宋_GB2312"/>
                <w:sz w:val="20"/>
              </w:rPr>
              <w:t>八、配套服务</w:t>
            </w:r>
          </w:p>
          <w:p>
            <w:pPr>
              <w:pStyle w:val="null3"/>
              <w:jc w:val="both"/>
            </w:pPr>
            <w:r>
              <w:rPr>
                <w:rFonts w:ascii="仿宋_GB2312" w:hAnsi="仿宋_GB2312" w:cs="仿宋_GB2312" w:eastAsia="仿宋_GB2312"/>
                <w:sz w:val="20"/>
              </w:rPr>
              <w:t>▲1、师资培训：提供线下师资培训≥2场，培训时长≥40课时，培训人次≥20人，培训方向：鸿蒙</w:t>
            </w:r>
            <w:r>
              <w:rPr>
                <w:rFonts w:ascii="仿宋_GB2312" w:hAnsi="仿宋_GB2312" w:cs="仿宋_GB2312" w:eastAsia="仿宋_GB2312"/>
                <w:sz w:val="20"/>
                <w:b/>
              </w:rPr>
              <w:t>（</w:t>
            </w:r>
            <w:r>
              <w:rPr>
                <w:rFonts w:ascii="仿宋_GB2312" w:hAnsi="仿宋_GB2312" w:cs="仿宋_GB2312" w:eastAsia="仿宋_GB2312"/>
                <w:sz w:val="20"/>
                <w:b/>
              </w:rPr>
              <w:t>需提供过往此类师资培训活动的相关证明材料</w:t>
            </w:r>
            <w:r>
              <w:rPr>
                <w:rFonts w:ascii="仿宋_GB2312" w:hAnsi="仿宋_GB2312" w:cs="仿宋_GB2312" w:eastAsia="仿宋_GB2312"/>
                <w:sz w:val="20"/>
                <w:b/>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▲2、教材开发：根据学校制定教材开发方案，提供教材编写内容所涉及的技术咨询服务，提供行业信息和案例，教材开发版权归学校所有,教材页数≥240页(不包含出版)</w:t>
            </w:r>
            <w:r>
              <w:rPr>
                <w:rFonts w:ascii="仿宋_GB2312" w:hAnsi="仿宋_GB2312" w:cs="仿宋_GB2312" w:eastAsia="仿宋_GB2312"/>
                <w:sz w:val="20"/>
                <w:b/>
              </w:rPr>
              <w:t>（</w:t>
            </w:r>
            <w:r>
              <w:rPr>
                <w:rFonts w:ascii="仿宋_GB2312" w:hAnsi="仿宋_GB2312" w:cs="仿宋_GB2312" w:eastAsia="仿宋_GB2312"/>
                <w:sz w:val="20"/>
                <w:b/>
              </w:rPr>
              <w:t>需提供过往此类教材开发活动的相关证明材料</w:t>
            </w:r>
            <w:r>
              <w:rPr>
                <w:rFonts w:ascii="仿宋_GB2312" w:hAnsi="仿宋_GB2312" w:cs="仿宋_GB2312" w:eastAsia="仿宋_GB2312"/>
                <w:sz w:val="20"/>
                <w:b/>
              </w:rPr>
              <w:t>）</w:t>
            </w:r>
            <w:r>
              <w:rPr>
                <w:rFonts w:ascii="仿宋_GB2312" w:hAnsi="仿宋_GB2312" w:cs="仿宋_GB2312" w:eastAsia="仿宋_GB2312"/>
                <w:sz w:val="20"/>
              </w:rPr>
              <w:t>；</w:t>
            </w:r>
          </w:p>
          <w:p>
            <w:pPr>
              <w:pStyle w:val="null3"/>
            </w:pPr>
            <w:r>
              <w:rPr>
                <w:rFonts w:ascii="仿宋_GB2312" w:hAnsi="仿宋_GB2312" w:cs="仿宋_GB2312" w:eastAsia="仿宋_GB2312"/>
                <w:sz w:val="20"/>
              </w:rPr>
              <w:t>▲3、竞赛服务：提供≥3次的竞赛辅导，在赛前一个月对学生进行集中线上辅导，赛前一周入校开展赛前集训。赛事辅导包含：从ICT大赛省赛开始直至全球赛</w:t>
            </w:r>
            <w:r>
              <w:rPr>
                <w:rFonts w:ascii="仿宋_GB2312" w:hAnsi="仿宋_GB2312" w:cs="仿宋_GB2312" w:eastAsia="仿宋_GB2312"/>
                <w:sz w:val="20"/>
                <w:b/>
              </w:rPr>
              <w:t>（</w:t>
            </w:r>
            <w:r>
              <w:rPr>
                <w:rFonts w:ascii="仿宋_GB2312" w:hAnsi="仿宋_GB2312" w:cs="仿宋_GB2312" w:eastAsia="仿宋_GB2312"/>
                <w:sz w:val="20"/>
                <w:b/>
              </w:rPr>
              <w:t>需提供过往此类竞赛服务活动的相关证明材料</w:t>
            </w:r>
            <w:r>
              <w:rPr>
                <w:rFonts w:ascii="仿宋_GB2312" w:hAnsi="仿宋_GB2312" w:cs="仿宋_GB2312" w:eastAsia="仿宋_GB2312"/>
                <w:sz w:val="20"/>
                <w:b/>
              </w:rPr>
              <w:t>）</w:t>
            </w:r>
            <w:r>
              <w:rPr>
                <w:rFonts w:ascii="仿宋_GB2312" w:hAnsi="仿宋_GB2312" w:cs="仿宋_GB2312" w:eastAsia="仿宋_GB2312"/>
                <w:sz w:val="20"/>
                <w:b/>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计算机学院7-222实验室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所有物资（设备）到达采购人指定地点，安装、调试、运行并验收合格后，30天内支付合同总价的100%。采购人向成交供应商付款前，成交供应商应向采购人开具符合采购人要求的增值税专用发票，若因成交供应商未开具或逾期开具合法有效的增值税专用发票，采购人有权顺延付款期限且不承担逾期付款责任 ，达到付款条件起22个工作日内，支付合同总金额的100.0%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1.项目质保期：验收合格通过之日起5年。2.售后服务响应不得超出2小时，制定解决方案，2 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2.培训内容及要求：提供现场培训，确保参培人员能独立完成设备操作、日常维护、定期保养及常见故障处理，并提供全套中文技术资料和培训课件。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4.投标保证金以电子保函形式递交需在开标前给shanxizhuoming_zb@163.com发一份扫描件，投标保证金：开标前致电代理机构财务部门确认响应保证金到账情况，咨询电话：029-88225322找财务高老师。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 商务应答表.docx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33分）：完全符合、响应招标文件要求，没有负偏离计33分，“▲”参数每负偏离一项扣1分，未带标识参数每负偏离一项扣0.15分，扣完为止。 备注：▲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的制造工艺、加工及检验能力；②质量保证措施。以上方案每缺一项扣1分；不提供方案不得分。每有1处描述缺陷要求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产品(鸿蒙全栈实验箱、鸿蒙智能小车开发套件 )进货渠道正规，确保生产供应的产品无假货、水货、翻新货且无产权纠纷，提供响应产品(鸿蒙全栈实验箱、鸿蒙智能小车开发套件 )的合法来源渠道证明文件（不限于原厂授权、供货协议等）,完全响应得2分；未提供或提供不全不得分。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在采购文件对于技术培训要求的基础上，提供优化后的产品培训方案，包括但不限于：①培训计划（含培训计划表、地点、时间及培训对象人数等）和培训内容（含所提供产品的原理和技术性能、操作维护方法、安装调试、排除故障等）; ②培训师资安排，并提供师资相关专业证书(需具备鸿蒙高级认证证书)并提供社保缴纳证明材料。以上方案每有一项缺项扣2.5分，每有一项内容中有缺陷，扣0.5分。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技术支持服务（包括：人才培养方案修订、课程开发协助、师资培训支持、就业支持等，并提供过往此类活动的相关证明材料，并承诺质保期后的维修仍然按照备品备件表内价格收取费用）。以上方案每有一项缺项扣2.0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