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94E9C">
      <w:pPr>
        <w:spacing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0" w:name="_Toc4698_WPSOffice_Level1"/>
      <w:bookmarkStart w:id="1" w:name="_Toc524623217"/>
      <w:r>
        <w:rPr>
          <w:rFonts w:hint="eastAsia" w:ascii="宋体" w:hAnsi="宋体" w:cs="宋体"/>
          <w:b/>
          <w:color w:val="000000" w:themeColor="text1"/>
          <w:sz w:val="32"/>
          <w:szCs w:val="32"/>
          <w:highlight w:val="none"/>
          <w:lang w:val="en-US" w:eastAsia="zh-CN"/>
          <w14:textFill>
            <w14:solidFill>
              <w14:schemeClr w14:val="tx1"/>
            </w14:solidFill>
          </w14:textFill>
        </w:rPr>
        <w:t>采购</w:t>
      </w:r>
      <w:r>
        <w:rPr>
          <w:rFonts w:hint="eastAsia" w:ascii="宋体" w:hAnsi="宋体" w:eastAsia="宋体" w:cs="宋体"/>
          <w:b/>
          <w:color w:val="000000" w:themeColor="text1"/>
          <w:sz w:val="32"/>
          <w:szCs w:val="32"/>
          <w:highlight w:val="none"/>
          <w14:textFill>
            <w14:solidFill>
              <w14:schemeClr w14:val="tx1"/>
            </w14:solidFill>
          </w14:textFill>
        </w:rPr>
        <w:t>内容及技术要求</w:t>
      </w:r>
      <w:bookmarkEnd w:id="0"/>
      <w:bookmarkEnd w:id="1"/>
    </w:p>
    <w:p w14:paraId="3C55310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一、项目概况</w:t>
      </w:r>
    </w:p>
    <w:p w14:paraId="03AD47A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1.1项目名称：延川县财政局关于“五好两宜”和美乡村方案设计及初步设计采购项目</w:t>
      </w:r>
    </w:p>
    <w:p w14:paraId="70C8C8E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1.2服务期：自合同签订之日起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lang w:val="en-US" w:eastAsia="zh-CN"/>
          <w14:textFill>
            <w14:solidFill>
              <w14:schemeClr w14:val="tx1"/>
            </w14:solidFill>
          </w14:textFill>
        </w:rPr>
        <w:t>日历</w:t>
      </w:r>
      <w:r>
        <w:rPr>
          <w:rFonts w:hint="eastAsia" w:ascii="宋体" w:hAnsi="宋体" w:eastAsia="宋体" w:cs="宋体"/>
          <w:color w:val="000000" w:themeColor="text1"/>
          <w:sz w:val="24"/>
          <w:szCs w:val="24"/>
          <w:highlight w:val="none"/>
          <w:lang w:val="en-US" w:eastAsia="zh-CN"/>
          <w14:textFill>
            <w14:solidFill>
              <w14:schemeClr w14:val="tx1"/>
            </w14:solidFill>
          </w14:textFill>
        </w:rPr>
        <w:t>天完成。</w:t>
      </w:r>
    </w:p>
    <w:p w14:paraId="39E4564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1.3质量标准：符合国家有关现行规范、标准的要求。</w:t>
      </w:r>
    </w:p>
    <w:p w14:paraId="7D125A17">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1.4 采购内容：</w:t>
      </w:r>
      <w:r>
        <w:rPr>
          <w:rFonts w:ascii="宋体" w:hAnsi="宋体" w:eastAsia="宋体" w:cs="宋体"/>
          <w:spacing w:val="-2"/>
          <w:sz w:val="24"/>
          <w:szCs w:val="24"/>
        </w:rPr>
        <w:t>依据项目可行性研究报告批复所开展的相关工作，</w:t>
      </w:r>
      <w:r>
        <w:rPr>
          <w:rFonts w:hint="eastAsia" w:ascii="宋体" w:hAnsi="宋体" w:eastAsia="宋体" w:cs="宋体"/>
          <w:spacing w:val="-2"/>
          <w:sz w:val="24"/>
          <w:szCs w:val="24"/>
          <w:lang w:val="en-US" w:eastAsia="zh-CN"/>
        </w:rPr>
        <w:t>完成延川县财政局关于“五好两宜”和美乡村方案设计及初步设计</w:t>
      </w:r>
      <w:bookmarkStart w:id="2" w:name="_GoBack"/>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工作</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ascii="宋体" w:hAnsi="宋体" w:eastAsia="宋体" w:cs="宋体"/>
          <w:spacing w:val="-2"/>
          <w:sz w:val="24"/>
          <w:szCs w:val="24"/>
        </w:rPr>
        <w:t>具体涵盖项目</w:t>
      </w:r>
      <w:r>
        <w:rPr>
          <w:rFonts w:hint="eastAsia" w:ascii="宋体" w:hAnsi="宋体" w:eastAsia="宋体" w:cs="宋体"/>
          <w:spacing w:val="-2"/>
          <w:sz w:val="24"/>
          <w:szCs w:val="24"/>
          <w:lang w:val="en-US" w:eastAsia="zh-CN"/>
        </w:rPr>
        <w:t>方案设计、</w:t>
      </w:r>
      <w:r>
        <w:rPr>
          <w:rFonts w:ascii="宋体" w:hAnsi="宋体" w:eastAsia="宋体" w:cs="宋体"/>
          <w:spacing w:val="-2"/>
          <w:sz w:val="24"/>
          <w:szCs w:val="24"/>
        </w:rPr>
        <w:t>初</w:t>
      </w:r>
      <w:r>
        <w:rPr>
          <w:rFonts w:ascii="宋体" w:hAnsi="宋体" w:eastAsia="宋体" w:cs="宋体"/>
          <w:spacing w:val="-1"/>
          <w:sz w:val="24"/>
          <w:szCs w:val="24"/>
        </w:rPr>
        <w:t>步设计及概算编制</w:t>
      </w:r>
      <w:r>
        <w:rPr>
          <w:rFonts w:hint="eastAsia" w:ascii="宋体" w:hAnsi="宋体" w:eastAsia="宋体" w:cs="宋体"/>
          <w:spacing w:val="-1"/>
          <w:sz w:val="24"/>
          <w:szCs w:val="24"/>
          <w:lang w:val="en-US" w:eastAsia="zh-CN"/>
        </w:rPr>
        <w:t>工作，</w:t>
      </w:r>
      <w:r>
        <w:rPr>
          <w:rFonts w:ascii="宋体" w:hAnsi="宋体" w:eastAsia="宋体" w:cs="宋体"/>
          <w:sz w:val="24"/>
          <w:szCs w:val="24"/>
        </w:rPr>
        <w:t>初步设计及概算须经专家评</w:t>
      </w:r>
      <w:r>
        <w:rPr>
          <w:rFonts w:ascii="宋体" w:hAnsi="宋体" w:eastAsia="宋体" w:cs="宋体"/>
          <w:spacing w:val="-1"/>
          <w:sz w:val="24"/>
          <w:szCs w:val="24"/>
        </w:rPr>
        <w:t>审</w:t>
      </w:r>
      <w:r>
        <w:rPr>
          <w:rFonts w:hint="eastAsia" w:ascii="宋体" w:hAnsi="宋体" w:eastAsia="宋体" w:cs="宋体"/>
          <w:spacing w:val="-1"/>
          <w:sz w:val="24"/>
          <w:szCs w:val="24"/>
          <w:lang w:val="en-US" w:eastAsia="zh-CN"/>
        </w:rPr>
        <w:t>通过</w:t>
      </w:r>
      <w:r>
        <w:rPr>
          <w:rFonts w:ascii="宋体" w:hAnsi="宋体" w:eastAsia="宋体" w:cs="宋体"/>
          <w:spacing w:val="-1"/>
          <w:sz w:val="24"/>
          <w:szCs w:val="24"/>
        </w:rPr>
        <w:t>。</w:t>
      </w:r>
    </w:p>
    <w:p w14:paraId="1745EF7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二、范围与要求</w:t>
      </w:r>
    </w:p>
    <w:p w14:paraId="22DA8C12">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拟建项目位于</w:t>
      </w:r>
      <w:r>
        <w:rPr>
          <w:rFonts w:hint="eastAsia" w:ascii="宋体" w:hAnsi="宋体" w:cs="宋体"/>
          <w:color w:val="000000" w:themeColor="text1"/>
          <w:sz w:val="24"/>
          <w:szCs w:val="24"/>
          <w:highlight w:val="none"/>
          <w:lang w:val="en-US" w:eastAsia="zh-CN"/>
          <w14:textFill>
            <w14:solidFill>
              <w14:schemeClr w14:val="tx1"/>
            </w14:solidFill>
          </w14:textFill>
        </w:rPr>
        <w:t>延川县</w:t>
      </w:r>
      <w:r>
        <w:rPr>
          <w:rFonts w:hint="eastAsia" w:ascii="宋体" w:hAnsi="宋体" w:eastAsia="宋体" w:cs="宋体"/>
          <w:color w:val="000000" w:themeColor="text1"/>
          <w:sz w:val="24"/>
          <w:szCs w:val="24"/>
          <w:highlight w:val="none"/>
          <w:lang w:val="en-US" w:eastAsia="zh-CN"/>
          <w14:textFill>
            <w14:solidFill>
              <w14:schemeClr w14:val="tx1"/>
            </w14:solidFill>
          </w14:textFill>
        </w:rPr>
        <w:t>城</w:t>
      </w:r>
      <w:r>
        <w:rPr>
          <w:rFonts w:hint="eastAsia" w:ascii="宋体" w:hAnsi="宋体" w:cs="宋体"/>
          <w:color w:val="000000" w:themeColor="text1"/>
          <w:sz w:val="24"/>
          <w:szCs w:val="24"/>
          <w:highlight w:val="none"/>
          <w:lang w:val="en-US" w:eastAsia="zh-CN"/>
          <w14:textFill>
            <w14:solidFill>
              <w14:schemeClr w14:val="tx1"/>
            </w14:solidFill>
          </w14:textFill>
        </w:rPr>
        <w:t>文安驿镇、大禹街道办等10个行政村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按</w:t>
      </w:r>
      <w:r>
        <w:rPr>
          <w:rFonts w:hint="eastAsia" w:ascii="宋体" w:hAnsi="宋体" w:cs="宋体"/>
          <w:color w:val="000000" w:themeColor="text1"/>
          <w:sz w:val="24"/>
          <w:szCs w:val="24"/>
          <w:highlight w:val="none"/>
          <w:lang w:val="en-US" w:eastAsia="zh-CN"/>
          <w14:textFill>
            <w14:solidFill>
              <w14:schemeClr w14:val="tx1"/>
            </w14:solidFill>
          </w14:textFill>
        </w:rPr>
        <w:t>委托方提供的相关资料及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现行</w:t>
      </w:r>
      <w:r>
        <w:rPr>
          <w:rFonts w:hint="eastAsia" w:ascii="宋体" w:hAnsi="宋体" w:cs="宋体"/>
          <w:color w:val="000000" w:themeColor="text1"/>
          <w:sz w:val="24"/>
          <w:szCs w:val="24"/>
          <w:highlight w:val="none"/>
          <w:lang w:val="en-US" w:eastAsia="zh-CN"/>
          <w14:textFill>
            <w14:solidFill>
              <w14:schemeClr w14:val="tx1"/>
            </w14:solidFill>
          </w14:textFill>
        </w:rPr>
        <w:t>相关国家规范</w:t>
      </w:r>
      <w:r>
        <w:rPr>
          <w:rFonts w:hint="eastAsia" w:ascii="宋体" w:hAnsi="宋体" w:eastAsia="宋体" w:cs="宋体"/>
          <w:color w:val="000000" w:themeColor="text1"/>
          <w:sz w:val="24"/>
          <w:szCs w:val="24"/>
          <w:highlight w:val="none"/>
          <w:lang w:val="en-US" w:eastAsia="zh-CN"/>
          <w14:textFill>
            <w14:solidFill>
              <w14:schemeClr w14:val="tx1"/>
            </w14:solidFill>
          </w14:textFill>
        </w:rPr>
        <w:t>或行业的相关技术标准、规范开展以下工作：</w:t>
      </w:r>
    </w:p>
    <w:p w14:paraId="2EB49544">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投标人应自主完成项目前期调查工作，包括不限于建设地点、建设内容等内容；</w:t>
      </w:r>
    </w:p>
    <w:p w14:paraId="2897E3DE">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投标人应按委托方要求，完成项目方案设计，须提交委托方审核通过；</w:t>
      </w:r>
    </w:p>
    <w:p w14:paraId="61776164">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359" w:leftChars="-171" w:firstLine="480" w:firstLineChars="200"/>
        <w:jc w:val="left"/>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投标人应按委托方提供的岩土勘察报告等相关资料，完成项目初步设计及概算编制，初步设计文件</w:t>
      </w:r>
      <w:r>
        <w:rPr>
          <w:rFonts w:ascii="宋体" w:hAnsi="宋体" w:eastAsia="宋体" w:cs="宋体"/>
          <w:sz w:val="24"/>
          <w:szCs w:val="24"/>
        </w:rPr>
        <w:t>须经专家评</w:t>
      </w:r>
      <w:r>
        <w:rPr>
          <w:rFonts w:ascii="宋体" w:hAnsi="宋体" w:eastAsia="宋体" w:cs="宋体"/>
          <w:spacing w:val="-1"/>
          <w:sz w:val="24"/>
          <w:szCs w:val="24"/>
        </w:rPr>
        <w:t>审</w:t>
      </w:r>
      <w:r>
        <w:rPr>
          <w:rFonts w:hint="eastAsia" w:ascii="宋体" w:hAnsi="宋体" w:eastAsia="宋体" w:cs="宋体"/>
          <w:spacing w:val="-1"/>
          <w:sz w:val="24"/>
          <w:szCs w:val="24"/>
          <w:lang w:val="en-US" w:eastAsia="zh-CN"/>
        </w:rPr>
        <w:t>通过；</w:t>
      </w:r>
    </w:p>
    <w:p w14:paraId="41443CB8">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成果</w:t>
      </w:r>
      <w:r>
        <w:rPr>
          <w:rFonts w:hint="eastAsia" w:ascii="宋体" w:hAnsi="宋体" w:cs="宋体"/>
          <w:color w:val="000000" w:themeColor="text1"/>
          <w:sz w:val="24"/>
          <w:szCs w:val="24"/>
          <w:highlight w:val="none"/>
          <w:lang w:val="en-US" w:eastAsia="zh-CN"/>
          <w14:textFill>
            <w14:solidFill>
              <w14:schemeClr w14:val="tx1"/>
            </w14:solidFill>
          </w14:textFill>
        </w:rPr>
        <w:t>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方案设计及初步设计评审通过后，投标人应向委托方提供不少于5</w:t>
      </w:r>
      <w:r>
        <w:rPr>
          <w:rFonts w:hint="eastAsia" w:ascii="宋体" w:hAnsi="宋体" w:eastAsia="宋体" w:cs="宋体"/>
          <w:color w:val="000000" w:themeColor="text1"/>
          <w:sz w:val="24"/>
          <w:szCs w:val="24"/>
          <w:highlight w:val="none"/>
          <w:lang w:val="en-US" w:eastAsia="zh-CN"/>
          <w14:textFill>
            <w14:solidFill>
              <w14:schemeClr w14:val="tx1"/>
            </w14:solidFill>
          </w14:textFill>
        </w:rPr>
        <w:t>份</w:t>
      </w:r>
      <w:r>
        <w:rPr>
          <w:rFonts w:hint="eastAsia" w:ascii="宋体" w:hAnsi="宋体" w:cs="宋体"/>
          <w:color w:val="000000" w:themeColor="text1"/>
          <w:sz w:val="24"/>
          <w:szCs w:val="24"/>
          <w:highlight w:val="none"/>
          <w:lang w:val="en-US" w:eastAsia="zh-CN"/>
          <w14:textFill>
            <w14:solidFill>
              <w14:schemeClr w14:val="tx1"/>
            </w14:solidFill>
          </w14:textFill>
        </w:rPr>
        <w:t>成果文件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及PDF格式电子版文件。</w:t>
      </w:r>
    </w:p>
    <w:p w14:paraId="5733B71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三、踏勘现场（响应投标人自行踏勘）</w:t>
      </w:r>
    </w:p>
    <w:p w14:paraId="65499F4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1．响应投标人根据需要对工程现场及周围环境进行踏勘，以便响应投标人获取须自己负责的有关编制响应文件和签署合同所需的所有资料。踏勘现场所发生的费用由响应投标人自己承担。</w:t>
      </w:r>
    </w:p>
    <w:p w14:paraId="56335B2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2．采购人向响应投标人提供有关现场的资料和数据，是采购人现有的能使响应投标人利用的资料。</w:t>
      </w:r>
    </w:p>
    <w:p w14:paraId="55E3F4F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响应投标人及其人员经过采购人的允许，可为踏勘目的进入采购人的工程现场，但响应投标人及其人员不得因此使采购人及其人员承担有关的责任和蒙受损失。响应投标人并应对由此次踏勘现场而造成的死亡、人生伤害、财产损失、损害以及任何其他损失、损害和引起的费用和开支承担责任。</w:t>
      </w:r>
    </w:p>
    <w:p w14:paraId="1CF4ADB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4．如果响应投标人认为需再次进行现场踏勘，采购人应予以支持，费用自理。</w:t>
      </w:r>
    </w:p>
    <w:p w14:paraId="30BBE9E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四、后期服务承诺</w:t>
      </w:r>
    </w:p>
    <w:p w14:paraId="6E2EF29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1.为确保服务质量及与采购人沟通联络，成交投标人须设置专职主管，负责对本项目的服务范围、服务质量的检查监督及与采购人日常业务联系。</w:t>
      </w:r>
    </w:p>
    <w:p w14:paraId="125B69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2.成交投标人须主动接受采购人的指导、检查、监督及协调。</w:t>
      </w:r>
    </w:p>
    <w:p w14:paraId="0B87D66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3.成交投标人制定并履行现场服务承诺，在项目建设期间按照项目进展及时完善相关手续。</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7FB4C"/>
    <w:multiLevelType w:val="singleLevel"/>
    <w:tmpl w:val="81C7FB4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CA1762"/>
    <w:rsid w:val="23467E3B"/>
    <w:rsid w:val="25173AEF"/>
    <w:rsid w:val="2F96402B"/>
    <w:rsid w:val="50D24671"/>
    <w:rsid w:val="5AFF2F4E"/>
    <w:rsid w:val="6A81480C"/>
    <w:rsid w:val="6FE70212"/>
    <w:rsid w:val="7780005B"/>
    <w:rsid w:val="79377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949</Words>
  <Characters>966</Characters>
  <Lines>0</Lines>
  <Paragraphs>0</Paragraphs>
  <TotalTime>4</TotalTime>
  <ScaleCrop>false</ScaleCrop>
  <LinksUpToDate>false</LinksUpToDate>
  <CharactersWithSpaces>975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2026-05-26T09:52:00Z</dcterms:created>
  <dc:creator>Administrator</dc:creator>
  <cp:lastModifiedBy>Sun兵</cp:lastModifiedBy>
  <dcterms:modified xsi:type="dcterms:W3CDTF">2026-07-21T07:19:37Z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eyJoZGlkIjoiNjAwZGQxOGJmODNhNzYzYjJmODMwNDlhODEyYmEyNjMiLCJ1c2VySWQiOiIyMzQzNzgyODUifQ==</vt:lpwstr>
  </property>
  <property fmtid="{D5CDD505-2E9C-101B-9397-08002B2CF9AE}" pid="4" name="ICV">
    <vt:lpwstr>0FEA5A38AA9742C9AADD4F405704F001_13</vt:lpwstr>
  </property>
</Properties>
</file>