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版本号：YDCZB-2602220260708001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检索分析工具采购项目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YDCZB-26022</w:t>
      </w:r>
      <w:r>
        <w:br/>
      </w:r>
      <w:r>
        <w:br/>
      </w:r>
      <w:r>
        <w:br/>
      </w:r>
    </w:p>
    <w:p>
      <w:pPr>
        <w:pStyle w:val="null3"/>
        <w:jc w:val="center"/>
        <w:outlineLvl w:val="5"/>
      </w:pPr>
      <w:r>
        <w:rPr>
          <w:rFonts w:ascii="仿宋_GB2312" w:hAnsi="仿宋_GB2312" w:cs="仿宋_GB2312" w:eastAsia="仿宋_GB2312"/>
          <w:sz w:val="15"/>
          <w:b/>
        </w:rPr>
        <w:t>陕西省知识产权保护中心</w:t>
      </w:r>
    </w:p>
    <w:p>
      <w:pPr>
        <w:pStyle w:val="null3"/>
        <w:jc w:val="center"/>
        <w:outlineLvl w:val="5"/>
      </w:pPr>
      <w:r>
        <w:rPr>
          <w:rFonts w:ascii="仿宋_GB2312" w:hAnsi="仿宋_GB2312" w:cs="仿宋_GB2312" w:eastAsia="仿宋_GB2312"/>
          <w:sz w:val="15"/>
          <w:b/>
        </w:rPr>
        <w:t>西安壹鼎城招标有限公司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西安壹鼎城招标有限公司</w:t>
      </w:r>
      <w:r>
        <w:rPr>
          <w:rFonts w:ascii="仿宋_GB2312" w:hAnsi="仿宋_GB2312" w:cs="仿宋_GB2312" w:eastAsia="仿宋_GB2312"/>
        </w:rPr>
        <w:t>（以下简称“代理机构”）受</w:t>
      </w:r>
      <w:r>
        <w:rPr>
          <w:rFonts w:ascii="仿宋_GB2312" w:hAnsi="仿宋_GB2312" w:cs="仿宋_GB2312" w:eastAsia="仿宋_GB2312"/>
        </w:rPr>
        <w:t>陕西省知识产权保护中心</w:t>
      </w:r>
      <w:r>
        <w:rPr>
          <w:rFonts w:ascii="仿宋_GB2312" w:hAnsi="仿宋_GB2312" w:cs="仿宋_GB2312" w:eastAsia="仿宋_GB2312"/>
        </w:rPr>
        <w:t>委托，拟对</w:t>
      </w:r>
      <w:r>
        <w:rPr>
          <w:rFonts w:ascii="仿宋_GB2312" w:hAnsi="仿宋_GB2312" w:cs="仿宋_GB2312" w:eastAsia="仿宋_GB2312"/>
        </w:rPr>
        <w:t>检索分析工具采购项目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YDCZB-26022</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检索分析工具采购项目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检索分析工具采购项目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采购包1（检索分析工具采购项目）：属于专门面向中小企业采购。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2、财务状况报告：提供2024年度或者2025年度经审计的完整财务报告或协商日期前三个月内其基本存款账户开户银行出具的资信证明。（如提供资信证明，须同时提供基本存款账户开户许可证或基本账户信息表）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3、税收缴纳证明：提供2025年9月至今已缴纳的至少一个月的纳税证明，依法免税的单位应提供相关证明材料</w:t>
      </w:r>
    </w:p>
    <w:p>
      <w:pPr>
        <w:pStyle w:val="null3"/>
      </w:pPr>
      <w:r>
        <w:rPr>
          <w:rFonts w:ascii="仿宋_GB2312" w:hAnsi="仿宋_GB2312" w:cs="仿宋_GB2312" w:eastAsia="仿宋_GB2312"/>
        </w:rPr>
        <w:t>4、社会保障资金缴纳证明：提供2025年9月至今已缴存的至少一个月的社会保障资金缴存单据或社保机构开具的社会保险参保缴费情况证明，依法不需要缴纳社会保 障资金的单位应提供相关证明材料</w:t>
      </w:r>
    </w:p>
    <w:p>
      <w:pPr>
        <w:pStyle w:val="null3"/>
      </w:pPr>
      <w:r>
        <w:rPr>
          <w:rFonts w:ascii="仿宋_GB2312" w:hAnsi="仿宋_GB2312" w:cs="仿宋_GB2312" w:eastAsia="仿宋_GB2312"/>
        </w:rPr>
        <w:t>5、书面声明：具备履行合同所必须的设备和专业技术能力的书面声明</w:t>
      </w:r>
    </w:p>
    <w:p>
      <w:pPr>
        <w:pStyle w:val="null3"/>
      </w:pPr>
      <w:r>
        <w:rPr>
          <w:rFonts w:ascii="仿宋_GB2312" w:hAnsi="仿宋_GB2312" w:cs="仿宋_GB2312" w:eastAsia="仿宋_GB2312"/>
        </w:rPr>
        <w:t>6、没有重大违法记录：参加政府采购活动前三年内，在经营活动中没有重大违法记录的书面声明</w:t>
      </w:r>
    </w:p>
    <w:p>
      <w:pPr>
        <w:pStyle w:val="null3"/>
      </w:pPr>
      <w:r>
        <w:rPr>
          <w:rFonts w:ascii="仿宋_GB2312" w:hAnsi="仿宋_GB2312" w:cs="仿宋_GB2312" w:eastAsia="仿宋_GB2312"/>
        </w:rPr>
        <w:t>7、信用查询：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直接参加协商的，须提供法定代表人身份证明；法定代表人授权代表参加协商的，须提供法定代表人授权委托书（需同时提供投标截止时间前三个月内任意一个月供应商为其缴纳的社保证明材料）</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陕西省知识产权保护中心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西安市未央区沣东自贸新天地2A座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罗来兵</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029-85719690</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西安壹鼎城招标有限公司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陕西省西安市高新区沣惠南路18号西格玛大厦 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17629270201</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采购包1：699,250.00元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采购包1：699,250.00元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布《招标代理服务收费管理暂行办法》（计价格[2002]1980号）和国家发展和改革委员会办公厅颁发的《关于招标代理服务收费有关问题的通知》（发改办价格[2003]857号）文件规定执行。</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陕西省知识产权保护中心</w:t>
      </w:r>
      <w:r>
        <w:rPr>
          <w:rFonts w:ascii="仿宋_GB2312" w:hAnsi="仿宋_GB2312" w:cs="仿宋_GB2312" w:eastAsia="仿宋_GB2312"/>
        </w:rPr>
        <w:t>和</w:t>
      </w:r>
      <w:r>
        <w:rPr>
          <w:rFonts w:ascii="仿宋_GB2312" w:hAnsi="仿宋_GB2312" w:cs="仿宋_GB2312" w:eastAsia="仿宋_GB2312"/>
        </w:rPr>
        <w:t>西安壹鼎城招标有限公司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西安壹鼎城招标有限公司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陕西省知识产权保护中心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西安壹鼎城招标有限公司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乙方应保证所提供的服务或其任何一部分均不会侵犯任何第三方的专利权、商标权或著作权;所有成果资料归甲方所有。</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符合采购人及单一来源文件要求，符合国家相应的标准规范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西安壹鼎城招标有限公司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西安壹鼎城招标有限公司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西安壹鼎城招标有限公司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联系电话：17629270201</w:t>
      </w:r>
    </w:p>
    <w:p>
      <w:pPr>
        <w:pStyle w:val="null3"/>
      </w:pPr>
      <w:r>
        <w:rPr>
          <w:rFonts w:ascii="仿宋_GB2312" w:hAnsi="仿宋_GB2312" w:cs="仿宋_GB2312" w:eastAsia="仿宋_GB2312"/>
        </w:rPr>
        <w:t>地址：陕西省西安市高新区沣惠南路18号西格玛大厦 201室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检索分析工具采购项目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699,250.00</w:t>
      </w:r>
    </w:p>
    <w:p>
      <w:pPr>
        <w:pStyle w:val="null3"/>
      </w:pPr>
      <w:r>
        <w:rPr>
          <w:rFonts w:ascii="仿宋_GB2312" w:hAnsi="仿宋_GB2312" w:cs="仿宋_GB2312" w:eastAsia="仿宋_GB2312"/>
        </w:rPr>
        <w:t>采购包最高限价（元）: 699,250.00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检索分析工具采购项目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699,250.00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标的名称：检索分析工具采购项目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一</w:t>
            </w:r>
            <w:r>
              <w:rPr>
                <w:rFonts w:ascii="仿宋_GB2312" w:hAnsi="仿宋_GB2312" w:cs="仿宋_GB2312" w:eastAsia="仿宋_GB2312"/>
                <w:sz w:val="24"/>
              </w:rPr>
              <w:t>、技术要求</w:t>
            </w:r>
          </w:p>
          <w:p>
            <w:pPr>
              <w:pStyle w:val="null3"/>
              <w:ind w:firstLine="360"/>
              <w:jc w:val="left"/>
            </w:pPr>
            <w:r>
              <w:rPr>
                <w:rFonts w:ascii="仿宋_GB2312" w:hAnsi="仿宋_GB2312" w:cs="仿宋_GB2312" w:eastAsia="仿宋_GB2312"/>
                <w:sz w:val="24"/>
              </w:rPr>
              <w:t>（一）项目内容</w:t>
            </w:r>
          </w:p>
          <w:p>
            <w:pPr>
              <w:pStyle w:val="null3"/>
              <w:ind w:firstLine="360"/>
              <w:jc w:val="left"/>
            </w:pPr>
            <w:r>
              <w:rPr>
                <w:rFonts w:ascii="仿宋_GB2312" w:hAnsi="仿宋_GB2312" w:cs="仿宋_GB2312" w:eastAsia="仿宋_GB2312"/>
                <w:sz w:val="24"/>
              </w:rPr>
              <w:t>单位新增新材料和生物产业后，对专利预审工作检索深度、技术理解、数据完整性和审查效率提出了更高要求。新材料领域涉及材料成分、结构、性能、制备工艺和应用场景，生物医药领域则涵盖化学药、生物技术、基因序列、药品研发、临床与注册信息、</w:t>
            </w:r>
            <w:r>
              <w:rPr>
                <w:rFonts w:ascii="仿宋_GB2312" w:hAnsi="仿宋_GB2312" w:cs="仿宋_GB2312" w:eastAsia="仿宋_GB2312"/>
                <w:sz w:val="24"/>
              </w:rPr>
              <w:t>AI辅助查新等多维度内容，仅依靠传统专利数据库难以全面支撑高质量及垂直产业的预审。急需采购相关基础数据库和化学结构、基因序列、新药研发和新材料等专业数据库，助力中心快速补齐新领域专业数据能力，提升预审质量和服务效能。同时，新一代信息技术和新能源领域专利预审、</w:t>
            </w:r>
            <w:r>
              <w:rPr>
                <w:rFonts w:ascii="仿宋_GB2312" w:hAnsi="仿宋_GB2312" w:cs="仿宋_GB2312" w:eastAsia="仿宋_GB2312"/>
                <w:sz w:val="24"/>
              </w:rPr>
              <w:t>国家专利导航服务基地建设、知识产权公共服务</w:t>
            </w:r>
            <w:r>
              <w:rPr>
                <w:rFonts w:ascii="仿宋_GB2312" w:hAnsi="仿宋_GB2312" w:cs="仿宋_GB2312" w:eastAsia="仿宋_GB2312"/>
                <w:sz w:val="24"/>
              </w:rPr>
              <w:t>，</w:t>
            </w:r>
            <w:r>
              <w:rPr>
                <w:rFonts w:ascii="仿宋_GB2312" w:hAnsi="仿宋_GB2312" w:cs="仿宋_GB2312" w:eastAsia="仿宋_GB2312"/>
                <w:sz w:val="24"/>
              </w:rPr>
              <w:t>侵权纠纷判定和海外纠纷应对指导等方面也需要专业检索分析工具的支撑</w:t>
            </w:r>
            <w:r>
              <w:rPr>
                <w:rFonts w:ascii="仿宋_GB2312" w:hAnsi="仿宋_GB2312" w:cs="仿宋_GB2312" w:eastAsia="仿宋_GB2312"/>
                <w:sz w:val="24"/>
              </w:rPr>
              <w:t>。经试用和各部门需求征集，拟</w:t>
            </w:r>
            <w:r>
              <w:rPr>
                <w:rFonts w:ascii="仿宋_GB2312" w:hAnsi="仿宋_GB2312" w:cs="仿宋_GB2312" w:eastAsia="仿宋_GB2312"/>
                <w:sz w:val="24"/>
              </w:rPr>
              <w:t>采购</w:t>
            </w:r>
            <w:r>
              <w:rPr>
                <w:rFonts w:ascii="仿宋_GB2312" w:hAnsi="仿宋_GB2312" w:cs="仿宋_GB2312" w:eastAsia="仿宋_GB2312"/>
                <w:sz w:val="24"/>
              </w:rPr>
              <w:t>数据库检索分析账号，满足各部门工作使用。</w:t>
            </w:r>
          </w:p>
          <w:tbl>
            <w:tblPr>
              <w:tblInd w:type="dxa" w:w="135"/>
              <w:tblBorders>
                <w:top w:val="none" w:color="000000" w:sz="4"/>
                <w:left w:val="none" w:color="000000" w:sz="4"/>
                <w:bottom w:val="none" w:color="000000" w:sz="4"/>
                <w:right w:val="none" w:color="000000" w:sz="4"/>
                <w:insideH w:val="none"/>
                <w:insideV w:val="none"/>
              </w:tblBorders>
            </w:tblPr>
            <w:tblGrid>
              <w:gridCol w:w="246"/>
              <w:gridCol w:w="408"/>
              <w:gridCol w:w="285"/>
              <w:gridCol w:w="1603"/>
            </w:tblGrid>
            <w:tr>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产品名称</w:t>
                  </w:r>
                </w:p>
              </w:tc>
              <w:tc>
                <w:tcPr>
                  <w:tcW w:type="dxa" w:w="2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功能作用</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专利数据库标准版</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rFonts w:ascii="仿宋_GB2312" w:hAnsi="仿宋_GB2312" w:cs="仿宋_GB2312" w:eastAsia="仿宋_GB2312"/>
                      <w:sz w:val="24"/>
                    </w:rPr>
                    <w:t>用于新一代信息技术、新能源、生物、新材料领域专利快速预审业务的辅助检索、分类、翻译，特别是通过全球智能语义检索技术获取相似专利从而形成可专利性参考基准。</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专利数据库卓越版</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left"/>
                  </w:pPr>
                  <w:r>
                    <w:rPr>
                      <w:rFonts w:ascii="仿宋_GB2312" w:hAnsi="仿宋_GB2312" w:cs="仿宋_GB2312" w:eastAsia="仿宋_GB2312"/>
                      <w:sz w:val="24"/>
                    </w:rPr>
                    <w:t>用于专利导航、知识产权公共服务，侵权纠纷判定和海外预警分析等方面专业检索、分析、下载、图表生成等支撑，提高专利导航、专利信息推送、快速确权、快速维权的效率</w:t>
                  </w:r>
                  <w:r>
                    <w:rPr>
                      <w:rFonts w:ascii="仿宋_GB2312" w:hAnsi="仿宋_GB2312" w:cs="仿宋_GB2312" w:eastAsia="仿宋_GB2312"/>
                      <w:sz w:val="24"/>
                    </w:rPr>
                    <w:t>。</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生物序列数据库</w:t>
                  </w:r>
                  <w:r>
                    <w:rPr>
                      <w:rFonts w:ascii="仿宋_GB2312" w:hAnsi="仿宋_GB2312" w:cs="仿宋_GB2312" w:eastAsia="仿宋_GB2312"/>
                      <w:sz w:val="24"/>
                    </w:rPr>
                    <w:t>-专业版</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rFonts w:ascii="仿宋_GB2312" w:hAnsi="仿宋_GB2312" w:cs="仿宋_GB2312" w:eastAsia="仿宋_GB2312"/>
                      <w:sz w:val="24"/>
                    </w:rPr>
                    <w:t>生物领域传统文本检索难以充分识别相似序列和相关技术。用于基因、蛋白、抗体、核酸序列类专利专业检索，帮助预审员更准确地发现相关现有技术，提高生物技术方向预审的专业性。</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化学结构数据库</w:t>
                  </w:r>
                  <w:r>
                    <w:rPr>
                      <w:rFonts w:ascii="仿宋_GB2312" w:hAnsi="仿宋_GB2312" w:cs="仿宋_GB2312" w:eastAsia="仿宋_GB2312"/>
                      <w:sz w:val="24"/>
                    </w:rPr>
                    <w:t>-化学版</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rFonts w:ascii="仿宋_GB2312" w:hAnsi="仿宋_GB2312" w:cs="仿宋_GB2312" w:eastAsia="仿宋_GB2312"/>
                      <w:sz w:val="24"/>
                    </w:rPr>
                    <w:t>生物领域涉及化合物结构、药物靶点、适应症、晶型、制剂、合成路线等内容。帮助预审员从化合物</w:t>
                  </w:r>
                  <w:r>
                    <w:rPr>
                      <w:rFonts w:ascii="仿宋_GB2312" w:hAnsi="仿宋_GB2312" w:cs="仿宋_GB2312" w:eastAsia="仿宋_GB2312"/>
                      <w:sz w:val="24"/>
                    </w:rPr>
                    <w:t>名称、结构式、性质</w:t>
                  </w:r>
                  <w:r>
                    <w:rPr>
                      <w:rFonts w:ascii="仿宋_GB2312" w:hAnsi="仿宋_GB2312" w:cs="仿宋_GB2312" w:eastAsia="仿宋_GB2312"/>
                      <w:sz w:val="24"/>
                    </w:rPr>
                    <w:t>等角度开展检索分析，弥补单纯关键词检索不足，提高对化药类专利新颖性和创造性初判的支撑能力。</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新材料</w:t>
                  </w:r>
                  <w:r>
                    <w:rPr>
                      <w:rFonts w:ascii="仿宋_GB2312" w:hAnsi="仿宋_GB2312" w:cs="仿宋_GB2312" w:eastAsia="仿宋_GB2312"/>
                      <w:sz w:val="24"/>
                    </w:rPr>
                    <w:t>-旗舰版</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rFonts w:ascii="仿宋_GB2312" w:hAnsi="仿宋_GB2312" w:cs="仿宋_GB2312" w:eastAsia="仿宋_GB2312"/>
                      <w:sz w:val="24"/>
                    </w:rPr>
                    <w:t>涉及材料体系、组分比例、制备工艺、性能参数及应用效果。围绕材料名称、成分、性能、工艺、应用等维度提供专业数据检索分析，帮助预审员快速理解技术方案，准确识别关键创新点，提高对新材料专利的检索和判断能力。</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新药情报库</w:t>
                  </w:r>
                  <w:r>
                    <w:rPr>
                      <w:rFonts w:ascii="仿宋_GB2312" w:hAnsi="仿宋_GB2312" w:cs="仿宋_GB2312" w:eastAsia="仿宋_GB2312"/>
                      <w:sz w:val="24"/>
                    </w:rPr>
                    <w:t>-专家版</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rFonts w:ascii="仿宋_GB2312" w:hAnsi="仿宋_GB2312" w:cs="仿宋_GB2312" w:eastAsia="仿宋_GB2312"/>
                      <w:sz w:val="24"/>
                    </w:rPr>
                    <w:t>提供药品研发阶段、上市信息、适应症、企业主体、临床进展等数据。预审员可以结合药品全生命周期信息，理解技术方案所处研发背景和产业价值，更准确地判断专利申请与现有药品技术之间的关系。</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智能查新检索</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至少</w:t>
                  </w:r>
                  <w:r>
                    <w:rPr>
                      <w:rFonts w:ascii="仿宋_GB2312" w:hAnsi="仿宋_GB2312" w:cs="仿宋_GB2312" w:eastAsia="仿宋_GB2312"/>
                      <w:sz w:val="24"/>
                    </w:rPr>
                    <w:t>1万次（30个账号）</w:t>
                  </w:r>
                </w:p>
              </w:tc>
              <w:tc>
                <w:tcPr>
                  <w:tcW w:type="dxa" w:w="1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rFonts w:ascii="仿宋_GB2312" w:hAnsi="仿宋_GB2312" w:cs="仿宋_GB2312" w:eastAsia="仿宋_GB2312"/>
                      <w:sz w:val="24"/>
                    </w:rPr>
                    <w:t>辅助进行技术方案提炼、</w:t>
                  </w:r>
                  <w:r>
                    <w:rPr>
                      <w:rFonts w:ascii="仿宋_GB2312" w:hAnsi="仿宋_GB2312" w:cs="仿宋_GB2312" w:eastAsia="仿宋_GB2312"/>
                      <w:sz w:val="24"/>
                    </w:rPr>
                    <w:t>检索要素扩展、检索式构建、对比</w:t>
                  </w:r>
                  <w:r>
                    <w:rPr>
                      <w:rFonts w:ascii="仿宋_GB2312" w:hAnsi="仿宋_GB2312" w:cs="仿宋_GB2312" w:eastAsia="仿宋_GB2312"/>
                      <w:sz w:val="24"/>
                    </w:rPr>
                    <w:t>文献推荐、摘要解读，帮助预审员降低跨领域理解难度，提高检索效率和工作质量。</w:t>
                  </w:r>
                </w:p>
              </w:tc>
            </w:tr>
          </w:tbl>
          <w:p>
            <w:pPr>
              <w:pStyle w:val="null3"/>
              <w:numPr>
                <w:ilvl w:val="0"/>
                <w:numId w:val="1"/>
              </w:numPr>
              <w:jc w:val="left"/>
            </w:pPr>
            <w:r>
              <w:rPr>
                <w:rFonts w:ascii="仿宋_GB2312" w:hAnsi="仿宋_GB2312" w:cs="仿宋_GB2312" w:eastAsia="仿宋_GB2312"/>
                <w:sz w:val="24"/>
              </w:rPr>
              <w:t>预期目标（成果）</w:t>
            </w:r>
          </w:p>
          <w:p>
            <w:pPr>
              <w:pStyle w:val="null3"/>
              <w:ind w:firstLine="480"/>
              <w:jc w:val="both"/>
            </w:pPr>
            <w:r>
              <w:rPr>
                <w:rFonts w:ascii="仿宋_GB2312" w:hAnsi="仿宋_GB2312" w:cs="仿宋_GB2312" w:eastAsia="仿宋_GB2312"/>
                <w:sz w:val="24"/>
              </w:rPr>
              <w:t>检索</w:t>
            </w:r>
            <w:r>
              <w:rPr>
                <w:rFonts w:ascii="仿宋_GB2312" w:hAnsi="仿宋_GB2312" w:cs="仿宋_GB2312" w:eastAsia="仿宋_GB2312"/>
                <w:sz w:val="24"/>
              </w:rPr>
              <w:t>分析工具账号</w:t>
            </w:r>
          </w:p>
          <w:p>
            <w:pPr>
              <w:pStyle w:val="null3"/>
              <w:ind w:firstLine="360"/>
              <w:jc w:val="left"/>
            </w:pPr>
            <w:r>
              <w:rPr>
                <w:rFonts w:ascii="仿宋_GB2312" w:hAnsi="仿宋_GB2312" w:cs="仿宋_GB2312" w:eastAsia="仿宋_GB2312"/>
                <w:sz w:val="24"/>
              </w:rPr>
              <w:t>（三）项目要求</w:t>
            </w:r>
          </w:p>
          <w:p>
            <w:pPr>
              <w:pStyle w:val="null3"/>
              <w:ind w:firstLine="360"/>
              <w:jc w:val="left"/>
            </w:pPr>
            <w:r>
              <w:rPr>
                <w:rFonts w:ascii="仿宋_GB2312" w:hAnsi="仿宋_GB2312" w:cs="仿宋_GB2312" w:eastAsia="仿宋_GB2312"/>
                <w:sz w:val="24"/>
              </w:rPr>
              <w:t>1.质量要求</w:t>
            </w:r>
          </w:p>
          <w:p>
            <w:pPr>
              <w:pStyle w:val="null3"/>
              <w:ind w:firstLine="360"/>
              <w:jc w:val="left"/>
            </w:pPr>
            <w:r>
              <w:rPr>
                <w:rFonts w:ascii="仿宋_GB2312" w:hAnsi="仿宋_GB2312" w:cs="仿宋_GB2312" w:eastAsia="仿宋_GB2312"/>
                <w:sz w:val="24"/>
              </w:rPr>
              <w:t>严格按照国家法律法规或技术标准的规定要求，</w:t>
            </w:r>
            <w:r>
              <w:rPr>
                <w:rFonts w:ascii="仿宋_GB2312" w:hAnsi="仿宋_GB2312" w:cs="仿宋_GB2312" w:eastAsia="仿宋_GB2312"/>
                <w:sz w:val="24"/>
              </w:rPr>
              <w:t>提供权威数据、便捷检索、</w:t>
            </w:r>
            <w:r>
              <w:rPr>
                <w:rFonts w:ascii="仿宋_GB2312" w:hAnsi="仿宋_GB2312" w:cs="仿宋_GB2312" w:eastAsia="仿宋_GB2312"/>
                <w:sz w:val="24"/>
              </w:rPr>
              <w:t>专业</w:t>
            </w:r>
            <w:r>
              <w:rPr>
                <w:rFonts w:ascii="仿宋_GB2312" w:hAnsi="仿宋_GB2312" w:cs="仿宋_GB2312" w:eastAsia="仿宋_GB2312"/>
                <w:sz w:val="24"/>
              </w:rPr>
              <w:t>服务</w:t>
            </w:r>
            <w:r>
              <w:rPr>
                <w:rFonts w:ascii="仿宋_GB2312" w:hAnsi="仿宋_GB2312" w:cs="仿宋_GB2312" w:eastAsia="仿宋_GB2312"/>
                <w:sz w:val="24"/>
              </w:rPr>
              <w:t>，</w:t>
            </w:r>
            <w:r>
              <w:rPr>
                <w:rFonts w:ascii="仿宋_GB2312" w:hAnsi="仿宋_GB2312" w:cs="仿宋_GB2312" w:eastAsia="仿宋_GB2312"/>
                <w:sz w:val="24"/>
              </w:rPr>
              <w:t>全面、深入开展相关工作。</w:t>
            </w:r>
          </w:p>
          <w:p>
            <w:pPr>
              <w:pStyle w:val="null3"/>
              <w:ind w:firstLine="360"/>
              <w:jc w:val="left"/>
            </w:pPr>
            <w:r>
              <w:rPr>
                <w:rFonts w:ascii="仿宋_GB2312" w:hAnsi="仿宋_GB2312" w:cs="仿宋_GB2312" w:eastAsia="仿宋_GB2312"/>
                <w:sz w:val="24"/>
              </w:rPr>
              <w:t>2.安全要求</w:t>
            </w:r>
          </w:p>
          <w:p>
            <w:pPr>
              <w:pStyle w:val="null3"/>
              <w:ind w:firstLine="480"/>
              <w:jc w:val="both"/>
            </w:pPr>
            <w:r>
              <w:rPr>
                <w:rFonts w:ascii="仿宋_GB2312" w:hAnsi="仿宋_GB2312" w:cs="仿宋_GB2312" w:eastAsia="仿宋_GB2312"/>
                <w:sz w:val="24"/>
              </w:rPr>
              <w:t>项目所涉相关信息严格保密。</w:t>
            </w:r>
          </w:p>
          <w:p>
            <w:pPr>
              <w:pStyle w:val="null3"/>
              <w:ind w:firstLine="360"/>
              <w:jc w:val="left"/>
            </w:pPr>
            <w:r>
              <w:rPr>
                <w:rFonts w:ascii="仿宋_GB2312" w:hAnsi="仿宋_GB2312" w:cs="仿宋_GB2312" w:eastAsia="仿宋_GB2312"/>
                <w:sz w:val="24"/>
              </w:rPr>
              <w:t>3.时限要求</w:t>
            </w:r>
          </w:p>
          <w:p>
            <w:pPr>
              <w:pStyle w:val="null3"/>
              <w:ind w:firstLine="480"/>
              <w:jc w:val="both"/>
            </w:pPr>
            <w:r>
              <w:rPr>
                <w:rFonts w:ascii="仿宋_GB2312" w:hAnsi="仿宋_GB2312" w:cs="仿宋_GB2312" w:eastAsia="仿宋_GB2312"/>
                <w:sz w:val="24"/>
              </w:rPr>
              <w:t>自</w:t>
            </w:r>
            <w:r>
              <w:rPr>
                <w:rFonts w:ascii="仿宋_GB2312" w:hAnsi="仿宋_GB2312" w:cs="仿宋_GB2312" w:eastAsia="仿宋_GB2312"/>
                <w:sz w:val="24"/>
              </w:rPr>
              <w:t>账号开通</w:t>
            </w:r>
            <w:r>
              <w:rPr>
                <w:rFonts w:ascii="仿宋_GB2312" w:hAnsi="仿宋_GB2312" w:cs="仿宋_GB2312" w:eastAsia="仿宋_GB2312"/>
                <w:sz w:val="24"/>
              </w:rPr>
              <w:t>之日起</w:t>
            </w:r>
            <w:r>
              <w:rPr>
                <w:rFonts w:ascii="仿宋_GB2312" w:hAnsi="仿宋_GB2312" w:cs="仿宋_GB2312" w:eastAsia="仿宋_GB2312"/>
                <w:sz w:val="24"/>
              </w:rPr>
              <w:t>一年</w:t>
            </w:r>
            <w:r>
              <w:rPr>
                <w:rFonts w:ascii="仿宋_GB2312" w:hAnsi="仿宋_GB2312" w:cs="仿宋_GB2312" w:eastAsia="仿宋_GB2312"/>
                <w:sz w:val="24"/>
              </w:rPr>
              <w:t>。</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满足项目实施及采购人要求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自账号开通之日起一年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 ，达到付款条件起15个工作日内，支付合同总金额的100.0%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供应商在项目完成后提交验收申请，并提供全套验收资料，采购人在收到验收申请后组织验收。 验收内容： 采购文件要求和响应文件承诺。 验收依据：合同、采购文件、响应文件、国家（行业）有关标准规范。</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（1）按《中华人民共和国民法典》及有关法律 法规中的相关条款对违约情况进行处理；（2）未按合同要求提供服务或服务质量不能满足要求，采购人会同相关单位有权终止合同，并对违约方的违约行为进行追究， 同时按有关法规进行相应的处罚。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3.4.1（响应文件格式-标的清单）本项目服务范围：检索分析工具采购项目；服务要求：符合采购文件有关技术、商务要求；服务标准：符合国家和省、市有关行业标准及采购人的有关规定。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提供2024年度或者2025年度经审计的完整财务报告或协商日期前三个月内其基本存款账户开户银行出具的资信证明。（如提供资信证明，须同时提供基本存款账户开户许可证或基本账户信息表）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响应文件封面 标的清单 报价表 响应函 其他附件.docx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提供2024年度或者2025年度经审计的完整财务报告或协商日期前三个月内其基本存款账户开户银行出具的资信证明。（如提供资信证明，须同时提供基本存款账户开户许可证或基本账户信息表）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提供2025年9月至今已缴纳的至少一个月的纳税证明，依法免税的单位应提供相关证明材料</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提供2025年9月至今已缴存的至少一个月的社会保障资金缴存单据或社保机构开具的社会保险参保缴费情况证明，依法不需要缴纳社会保 障资金的单位应提供相关证明材料</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法定代表人直接参加协商的，须提供法定代表人身份证明；法定代表人授权代表参加协商的，须提供法定代表人授权委托书（需同时提供投标截止时间前三个月内任意一个月供应商为其缴纳的社保证明材料）</w:t>
            </w:r>
          </w:p>
        </w:tc>
        <w:tc>
          <w:tcPr>
            <w:tcW w:type="dxa" w:w="1661"/>
          </w:tcPr>
          <w:p>
            <w:pPr>
              <w:pStyle w:val="null3"/>
            </w:pPr>
            <w:r>
              <w:rPr>
                <w:rFonts w:ascii="仿宋_GB2312" w:hAnsi="仿宋_GB2312" w:cs="仿宋_GB2312" w:eastAsia="仿宋_GB2312"/>
              </w:rPr>
              <w:t>响应文件封面 标的清单 报价表 响应函 其他附件.docx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本项目专门面向中小企业采购，供应商须为中小微企业或监狱企业或残疾人福利性单位。</w:t>
            </w:r>
          </w:p>
        </w:tc>
        <w:tc>
          <w:tcPr>
            <w:tcW w:type="dxa" w:w="3322"/>
          </w:tcPr>
          <w:p>
            <w:pPr>
              <w:pStyle w:val="null3"/>
            </w:pPr>
            <w:r>
              <w:rPr>
                <w:rFonts w:ascii="仿宋_GB2312" w:hAnsi="仿宋_GB2312" w:cs="仿宋_GB2312" w:eastAsia="仿宋_GB2312"/>
              </w:rPr>
              <w:t>供应商应提供中小企业声明函\残疾人福利性单位声明函\监狱企业证明函。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报价唯一，且没有高于采购预算及最高限价</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单一来源采购响应文件的签署、盖章符合单一来源采购文件要求，供应商递交的响应文件与本项目名称一致</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协商有效期、授权有效期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服务期响应单一来源采购文件要求</w:t>
            </w:r>
          </w:p>
        </w:tc>
        <w:tc>
          <w:tcPr>
            <w:tcW w:type="dxa" w:w="1661"/>
          </w:tcPr>
          <w:p>
            <w:pPr>
              <w:pStyle w:val="null3"/>
            </w:pPr>
            <w:r>
              <w:rPr>
                <w:rFonts w:ascii="仿宋_GB2312" w:hAnsi="仿宋_GB2312" w:cs="仿宋_GB2312" w:eastAsia="仿宋_GB2312"/>
              </w:rPr>
              <w:t>响应文件封面 标的清单 报价表 响应函 其他附件.docx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