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版本号：SCZD2026-ZB-1950-00120260716001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4号楼病房加固改造提升项目设计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SCZD2026-ZB-1950-001</w:t>
      </w:r>
      <w:r>
        <w:br/>
      </w:r>
      <w:r>
        <w:br/>
      </w:r>
      <w:r>
        <w:br/>
      </w:r>
    </w:p>
    <w:p>
      <w:pPr>
        <w:pStyle w:val="null3"/>
        <w:jc w:val="center"/>
        <w:outlineLvl w:val="2"/>
      </w:pPr>
      <w:r>
        <w:rPr>
          <w:rFonts w:ascii="仿宋_GB2312" w:hAnsi="仿宋_GB2312" w:cs="仿宋_GB2312" w:eastAsia="仿宋_GB2312"/>
          <w:sz w:val="28"/>
          <w:b/>
        </w:rPr>
        <w:t>西安市红会医院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西安市红会医院</w:t>
      </w:r>
      <w:r>
        <w:rPr>
          <w:rFonts w:ascii="仿宋_GB2312" w:hAnsi="仿宋_GB2312" w:cs="仿宋_GB2312" w:eastAsia="仿宋_GB2312"/>
        </w:rPr>
        <w:t>委托，拟对</w:t>
      </w:r>
      <w:r>
        <w:rPr>
          <w:rFonts w:ascii="仿宋_GB2312" w:hAnsi="仿宋_GB2312" w:cs="仿宋_GB2312" w:eastAsia="仿宋_GB2312"/>
        </w:rPr>
        <w:t>4号楼病房加固改造提升项目设计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SCZD2026-ZB-1950-001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4号楼病房加固改造提升项目设计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4#楼改造、1#至3#楼新建连廊建筑、数字化配套设计工作：完成改造方案设计、初步设计、施工图设计、报审配合、施工配合、竣工验收全流程设计服务，满足医疗使用、院感防控、消防、给排水、结构安全、暖通、适老化适儿化、无障碍、医用气体、智能化等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信用信息：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 （以采购代理机构于递交磋商响应文件截止时间当天进行资格审查时在“信用中国”网站（www.creditchina.gov.cn）及中国政府采购网(www.ccgp.gov.cn)查询结果为准）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2、法定代表人/单位负责人身份证明书、授权委托书及授权代表身份证复印件：法定代表人/单位负责人身份证明书、授权委托书及授权代表身份证复印件：供应商参加本项目的合法授权人授权委托书；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的本单位社保缴纳的证明资料</w:t>
      </w:r>
    </w:p>
    <w:p>
      <w:pPr>
        <w:pStyle w:val="null3"/>
      </w:pPr>
      <w:r>
        <w:rPr>
          <w:rFonts w:ascii="仿宋_GB2312" w:hAnsi="仿宋_GB2312" w:cs="仿宋_GB2312" w:eastAsia="仿宋_GB2312"/>
        </w:rPr>
        <w:t>3、企业资质：供应商具备建设行政主管部门颁发的工程设计综合甲级资质或建筑行业设计乙级及以上资质或建筑行业（建筑工程）专业设计乙级及以上资质</w:t>
      </w:r>
    </w:p>
    <w:p>
      <w:pPr>
        <w:pStyle w:val="null3"/>
      </w:pPr>
      <w:r>
        <w:rPr>
          <w:rFonts w:ascii="仿宋_GB2312" w:hAnsi="仿宋_GB2312" w:cs="仿宋_GB2312" w:eastAsia="仿宋_GB2312"/>
        </w:rPr>
        <w:t>4、项目负责人资质：拟派项目负责人须具有建筑专业中级及以上工程师职称，同时具有一级注册建筑师执业资格（须在本设计单位注册）</w:t>
      </w:r>
    </w:p>
    <w:p>
      <w:pPr>
        <w:pStyle w:val="null3"/>
      </w:pPr>
      <w:r>
        <w:rPr>
          <w:rFonts w:ascii="仿宋_GB2312" w:hAnsi="仿宋_GB2312" w:cs="仿宋_GB2312" w:eastAsia="仿宋_GB2312"/>
        </w:rPr>
        <w:t>5、本项目不接受由西安市红会医院职工及其亲属投资的企业参加磋商：本项目不接受由西安市红会医院职工及其亲属投资的企业参加磋商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西安市红会医院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西安市未央区建元二路北段666号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西安市红会医院经办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当在中标结果公示发布后5个工作日内将项目履约保证金预算金额的5%转账至甲方基本户。未按照招标文件要求按时足额缴纳履约保证金的，甲方将取消乙方中标资格，且无需承担任何责任，甲方按照评审报告推荐的成交候选人名单排序，确定下一候选人为中标人或者重新组织招标活动。合同事宜完成，产品无任何质量问题，无息退还履约保证金。 （2）甲方基本户：户名：西安市红会医院 账 号：102407334632 开户行：中国银行西安碑林区支行营业部 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09:30:00</w:t>
            </w:r>
          </w:p>
          <w:p>
            <w:pPr>
              <w:pStyle w:val="null3"/>
              <w:ind w:firstLine="975"/>
            </w:pPr>
            <w:r>
              <w:rPr>
                <w:rFonts w:ascii="仿宋_GB2312" w:hAnsi="仿宋_GB2312" w:cs="仿宋_GB2312" w:eastAsia="仿宋_GB2312"/>
              </w:rPr>
              <w:t>踏勘地点：西安市红会医院南院区4号楼</w:t>
            </w:r>
          </w:p>
          <w:p>
            <w:pPr>
              <w:pStyle w:val="null3"/>
              <w:ind w:firstLine="975"/>
            </w:pPr>
            <w:r>
              <w:rPr>
                <w:rFonts w:ascii="仿宋_GB2312" w:hAnsi="仿宋_GB2312" w:cs="仿宋_GB2312" w:eastAsia="仿宋_GB2312"/>
              </w:rPr>
              <w:t>联系人：蒋永安</w:t>
            </w:r>
          </w:p>
          <w:p>
            <w:pPr>
              <w:pStyle w:val="null3"/>
              <w:ind w:firstLine="975"/>
            </w:pPr>
            <w:r>
              <w:rPr>
                <w:rFonts w:ascii="仿宋_GB2312" w:hAnsi="仿宋_GB2312" w:cs="仿宋_GB2312" w:eastAsia="仿宋_GB2312"/>
              </w:rPr>
              <w:t>联系电话号码：13709116454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西安市红会医院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西安市红会医院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西安市红会医院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4#楼改造、1#至3#楼新建连廊建筑、数字化配套设计工作：完成改造方案设计、初步设计、施工图设计、报审配合、施工配合、竣工验收全流程设计服务，满足医疗使用、院感防控、消防、给排水、结构安全、暖通、适老化适儿化、无障碍、医用气体、智能化等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病房改造设计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标的名称：病房改造设计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西安市红会医院南院区</w:t>
            </w:r>
            <w:r>
              <w:rPr>
                <w:rFonts w:ascii="仿宋_GB2312" w:hAnsi="仿宋_GB2312" w:cs="仿宋_GB2312" w:eastAsia="仿宋_GB2312"/>
                <w:sz w:val="21"/>
                <w:color w:val="000000"/>
              </w:rPr>
              <w:t xml:space="preserve">4# 楼始建于 1953 年，地上 4 层，总建筑面积 </w:t>
            </w:r>
            <w:r>
              <w:rPr>
                <w:rFonts w:ascii="仿宋_GB2312" w:hAnsi="仿宋_GB2312" w:cs="仿宋_GB2312" w:eastAsia="仿宋_GB2312"/>
                <w:sz w:val="21"/>
                <w:color w:val="000000"/>
              </w:rPr>
              <w:t>5190</w:t>
            </w:r>
            <w:r>
              <w:rPr>
                <w:rFonts w:ascii="仿宋_GB2312" w:hAnsi="仿宋_GB2312" w:cs="仿宋_GB2312" w:eastAsia="仿宋_GB2312"/>
                <w:sz w:val="21"/>
                <w:color w:val="000000"/>
              </w:rPr>
              <w:t>㎡。该楼建成年代久远，存在结构耐久性能下降、消防配套设施缺失、机电管线及医用设备严重老化等问题，病房硬件条件落后、诊疗流线不合理，已无法适配当前持续增长的康复就医服务需求。</w:t>
            </w:r>
          </w:p>
          <w:p>
            <w:pPr>
              <w:pStyle w:val="null3"/>
              <w:ind w:firstLine="420"/>
              <w:jc w:val="both"/>
            </w:pPr>
            <w:r>
              <w:rPr>
                <w:rFonts w:ascii="仿宋_GB2312" w:hAnsi="仿宋_GB2312" w:cs="仿宋_GB2312" w:eastAsia="仿宋_GB2312"/>
                <w:sz w:val="21"/>
                <w:color w:val="000000"/>
              </w:rPr>
              <w:t>为落实南院区功能重新规划调整，需对院区交通流线、人行流线整体梳理优化；同时新建</w:t>
            </w:r>
            <w:r>
              <w:rPr>
                <w:rFonts w:ascii="仿宋_GB2312" w:hAnsi="仿宋_GB2312" w:cs="仿宋_GB2312" w:eastAsia="仿宋_GB2312"/>
                <w:sz w:val="21"/>
                <w:color w:val="000000"/>
              </w:rPr>
              <w:t>1#至3# 楼连廊。</w:t>
            </w:r>
          </w:p>
          <w:p>
            <w:pPr>
              <w:pStyle w:val="null3"/>
              <w:ind w:firstLine="420"/>
              <w:jc w:val="both"/>
            </w:pPr>
            <w:r>
              <w:rPr>
                <w:rFonts w:ascii="仿宋_GB2312" w:hAnsi="仿宋_GB2312" w:cs="仿宋_GB2312" w:eastAsia="仿宋_GB2312"/>
                <w:sz w:val="21"/>
                <w:color w:val="000000"/>
              </w:rPr>
              <w:t>本次项目包含</w:t>
            </w:r>
            <w:r>
              <w:rPr>
                <w:rFonts w:ascii="仿宋_GB2312" w:hAnsi="仿宋_GB2312" w:cs="仿宋_GB2312" w:eastAsia="仿宋_GB2312"/>
                <w:sz w:val="21"/>
                <w:color w:val="000000"/>
              </w:rPr>
              <w:t>四</w:t>
            </w:r>
            <w:r>
              <w:rPr>
                <w:rFonts w:ascii="仿宋_GB2312" w:hAnsi="仿宋_GB2312" w:cs="仿宋_GB2312" w:eastAsia="仿宋_GB2312"/>
                <w:sz w:val="21"/>
                <w:color w:val="000000"/>
              </w:rPr>
              <w:t>大核心建设内容：</w:t>
            </w:r>
          </w:p>
          <w:p>
            <w:pPr>
              <w:pStyle w:val="null3"/>
              <w:ind w:firstLine="420"/>
              <w:jc w:val="both"/>
            </w:pPr>
            <w:r>
              <w:rPr>
                <w:rFonts w:ascii="仿宋_GB2312" w:hAnsi="仿宋_GB2312" w:cs="仿宋_GB2312" w:eastAsia="仿宋_GB2312"/>
                <w:sz w:val="21"/>
                <w:color w:val="000000"/>
              </w:rPr>
              <w:t>1、4# 楼整体加固及病房全流程改造：开展建筑结构安全加固、消防系统升级、病房室内装修、医用机电配套更新，全面提升住院诊疗环境与院感防控条件；</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新建院区连通连廊工程：新建</w:t>
            </w:r>
            <w:r>
              <w:rPr>
                <w:rFonts w:ascii="仿宋_GB2312" w:hAnsi="仿宋_GB2312" w:cs="仿宋_GB2312" w:eastAsia="仿宋_GB2312"/>
                <w:sz w:val="21"/>
                <w:color w:val="000000"/>
              </w:rPr>
              <w:t>1# 楼至 3# 楼连廊，并整合利用现状既有连廊，打通 1#、3#、4#、5# 楼物理通行通道，实现多栋楼互联互通，形成功能完整、动线顺畅的一体化康复医疗片区，满足康复诊疗一体化运营需求。</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数字化配套建设：配套搭建异构存储管理平台、</w:t>
            </w:r>
            <w:r>
              <w:rPr>
                <w:rFonts w:ascii="仿宋_GB2312" w:hAnsi="仿宋_GB2312" w:cs="仿宋_GB2312" w:eastAsia="仿宋_GB2312"/>
                <w:sz w:val="21"/>
                <w:color w:val="000000"/>
              </w:rPr>
              <w:t>PACS 影像存储系统，同步完成数据迁移及全院弱电系统改造；</w:t>
            </w:r>
          </w:p>
          <w:p>
            <w:pPr>
              <w:pStyle w:val="null3"/>
              <w:ind w:firstLine="420"/>
              <w:jc w:val="both"/>
            </w:pPr>
            <w:r>
              <w:rPr>
                <w:rFonts w:ascii="仿宋_GB2312" w:hAnsi="仿宋_GB2312" w:cs="仿宋_GB2312" w:eastAsia="仿宋_GB2312"/>
                <w:sz w:val="21"/>
                <w:color w:val="000000"/>
              </w:rPr>
              <w:t>4、医用设备配套购置：按需采购适配 4 号楼诊疗功能的专用医疗设备。</w:t>
            </w:r>
          </w:p>
          <w:p>
            <w:pPr>
              <w:pStyle w:val="null3"/>
              <w:spacing w:before="315"/>
              <w:ind w:left="420"/>
              <w:jc w:val="both"/>
            </w:pPr>
            <w:r>
              <w:rPr>
                <w:rFonts w:ascii="仿宋_GB2312" w:hAnsi="仿宋_GB2312" w:cs="仿宋_GB2312" w:eastAsia="仿宋_GB2312"/>
                <w:sz w:val="21"/>
                <w:b/>
                <w:color w:val="000000"/>
              </w:rPr>
              <w:t>二、服务内容</w:t>
            </w:r>
          </w:p>
          <w:p>
            <w:pPr>
              <w:pStyle w:val="null3"/>
              <w:ind w:firstLine="420"/>
              <w:jc w:val="both"/>
            </w:pPr>
            <w:r>
              <w:rPr>
                <w:rFonts w:ascii="仿宋_GB2312" w:hAnsi="仿宋_GB2312" w:cs="仿宋_GB2312" w:eastAsia="仿宋_GB2312"/>
                <w:sz w:val="21"/>
                <w:color w:val="000000"/>
              </w:rPr>
              <w:t>4#楼改造、1#至3#楼新建连廊建筑</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数字化配套</w:t>
            </w:r>
            <w:r>
              <w:rPr>
                <w:rFonts w:ascii="仿宋_GB2312" w:hAnsi="仿宋_GB2312" w:cs="仿宋_GB2312" w:eastAsia="仿宋_GB2312"/>
                <w:sz w:val="21"/>
                <w:color w:val="000000"/>
              </w:rPr>
              <w:t>设计工作：</w:t>
            </w:r>
          </w:p>
          <w:p>
            <w:pPr>
              <w:pStyle w:val="null3"/>
              <w:ind w:firstLine="420"/>
              <w:jc w:val="both"/>
            </w:pPr>
            <w:r>
              <w:rPr>
                <w:rFonts w:ascii="仿宋_GB2312" w:hAnsi="仿宋_GB2312" w:cs="仿宋_GB2312" w:eastAsia="仿宋_GB2312"/>
                <w:sz w:val="21"/>
                <w:color w:val="000000"/>
              </w:rPr>
              <w:t>完成改造方案设计、初步设计、施工图设计、报审配合、施工配合、竣工验收全流程设计服务，满足医疗使用、院感防控、消防、给排水、结构安全、暖通、适老化适儿化、无障碍、医用气体、智能化等要求。</w:t>
            </w:r>
          </w:p>
          <w:p>
            <w:pPr>
              <w:pStyle w:val="null3"/>
              <w:ind w:firstLine="420"/>
              <w:jc w:val="left"/>
            </w:pPr>
            <w:r>
              <w:rPr>
                <w:rFonts w:ascii="仿宋_GB2312" w:hAnsi="仿宋_GB2312" w:cs="仿宋_GB2312" w:eastAsia="仿宋_GB2312"/>
                <w:sz w:val="21"/>
                <w:color w:val="000000"/>
              </w:rPr>
              <w:t>各专业人员齐全，技术经验丰富，最终达到满足功能需求及相应国家规范要求的设计蓝图</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出具施工图和初步设计概算并</w:t>
            </w:r>
            <w:r>
              <w:rPr>
                <w:rFonts w:ascii="仿宋_GB2312" w:hAnsi="仿宋_GB2312" w:cs="仿宋_GB2312" w:eastAsia="仿宋_GB2312"/>
                <w:sz w:val="21"/>
                <w:color w:val="000000"/>
              </w:rPr>
              <w:t>编制招标概算。</w:t>
            </w:r>
          </w:p>
          <w:p>
            <w:pPr>
              <w:pStyle w:val="null3"/>
              <w:spacing w:before="315"/>
              <w:ind w:left="420"/>
              <w:jc w:val="both"/>
            </w:pPr>
            <w:r>
              <w:rPr>
                <w:rFonts w:ascii="仿宋_GB2312" w:hAnsi="仿宋_GB2312" w:cs="仿宋_GB2312" w:eastAsia="仿宋_GB2312"/>
                <w:sz w:val="21"/>
                <w:b/>
                <w:color w:val="000000"/>
              </w:rPr>
              <w:t>三、技术要求</w:t>
            </w:r>
          </w:p>
          <w:p>
            <w:pPr>
              <w:pStyle w:val="null3"/>
              <w:ind w:firstLine="420"/>
              <w:jc w:val="both"/>
            </w:pPr>
            <w:r>
              <w:rPr>
                <w:rFonts w:ascii="仿宋_GB2312" w:hAnsi="仿宋_GB2312" w:cs="仿宋_GB2312" w:eastAsia="仿宋_GB2312"/>
                <w:sz w:val="21"/>
                <w:color w:val="000000"/>
              </w:rPr>
              <w:t>1、设计原则</w:t>
            </w:r>
          </w:p>
          <w:p>
            <w:pPr>
              <w:pStyle w:val="null3"/>
              <w:ind w:firstLine="420"/>
              <w:jc w:val="both"/>
            </w:pPr>
            <w:r>
              <w:rPr>
                <w:rFonts w:ascii="仿宋_GB2312" w:hAnsi="仿宋_GB2312" w:cs="仿宋_GB2312" w:eastAsia="仿宋_GB2312"/>
                <w:sz w:val="21"/>
                <w:color w:val="000000"/>
              </w:rPr>
              <w:t>安全优先：结构加固可靠、消防达标、满足老旧建筑改造强制性条文；医疗合规：符合综合医院、康复医疗、院感防控、无障碍、医用流线要求；功能提升：重塑病房条件、优化采光通风、提升就医环境与运营效率；流线贯通：通过连廊实现楼宇互联互通，人车分流、医患分流、洁污分流；经济适用：控制改造增量、减少拆除、便于施工、降低运维。</w:t>
            </w:r>
          </w:p>
          <w:p>
            <w:pPr>
              <w:pStyle w:val="null3"/>
              <w:ind w:firstLine="420"/>
              <w:jc w:val="both"/>
            </w:pPr>
            <w:r>
              <w:rPr>
                <w:rFonts w:ascii="仿宋_GB2312" w:hAnsi="仿宋_GB2312" w:cs="仿宋_GB2312" w:eastAsia="仿宋_GB2312"/>
                <w:sz w:val="21"/>
                <w:color w:val="000000"/>
              </w:rPr>
              <w:t>2、重点设计内容</w:t>
            </w:r>
          </w:p>
          <w:p>
            <w:pPr>
              <w:pStyle w:val="null3"/>
              <w:ind w:firstLine="420"/>
              <w:jc w:val="both"/>
            </w:pPr>
            <w:r>
              <w:rPr>
                <w:rFonts w:ascii="仿宋_GB2312" w:hAnsi="仿宋_GB2312" w:cs="仿宋_GB2312" w:eastAsia="仿宋_GB2312"/>
                <w:sz w:val="21"/>
                <w:color w:val="000000"/>
              </w:rPr>
              <w:t>4# 楼结构加固、抗震复核、构件补强、开洞及节点处理；消防系统补齐升级：疏散、防火分隔、应急照明、报警、喷淋等按改造工程达标；病房改造：床单元、卫生间、呼叫、供氧、隔音、防撞、易清洁饰面；连廊设计：安全可靠、防雨防风、无障碍通行、与既有建筑接驳合理；院区出入口与流线：重新组织人行、就医、后勤、疏散路径。</w:t>
            </w:r>
          </w:p>
          <w:p>
            <w:pPr>
              <w:pStyle w:val="null3"/>
              <w:ind w:firstLine="420"/>
              <w:jc w:val="both"/>
            </w:pPr>
            <w:r>
              <w:rPr>
                <w:rFonts w:ascii="仿宋_GB2312" w:hAnsi="仿宋_GB2312" w:cs="仿宋_GB2312" w:eastAsia="仿宋_GB2312"/>
                <w:sz w:val="21"/>
                <w:color w:val="000000"/>
              </w:rPr>
              <w:t>3、设计深度</w:t>
            </w:r>
          </w:p>
          <w:p>
            <w:pPr>
              <w:pStyle w:val="null3"/>
              <w:ind w:firstLine="420"/>
              <w:jc w:val="both"/>
            </w:pPr>
            <w:r>
              <w:rPr>
                <w:rFonts w:ascii="仿宋_GB2312" w:hAnsi="仿宋_GB2312" w:cs="仿宋_GB2312" w:eastAsia="仿宋_GB2312"/>
                <w:sz w:val="21"/>
                <w:color w:val="000000"/>
              </w:rPr>
              <w:t>符合《建筑工程设计文件编制深度规定》《综合医院建筑设计规范》及老旧医院改造相关要求。</w:t>
            </w:r>
          </w:p>
          <w:p>
            <w:pPr>
              <w:pStyle w:val="null3"/>
              <w:jc w:val="both"/>
            </w:pPr>
            <w:r>
              <w:rPr>
                <w:rFonts w:ascii="仿宋_GB2312" w:hAnsi="仿宋_GB2312" w:cs="仿宋_GB2312" w:eastAsia="仿宋_GB2312"/>
                <w:sz w:val="21"/>
                <w:b/>
                <w:color w:val="000000"/>
              </w:rPr>
              <w:t>四、服务要求</w:t>
            </w:r>
          </w:p>
          <w:p>
            <w:pPr>
              <w:pStyle w:val="null3"/>
              <w:ind w:firstLine="420"/>
              <w:jc w:val="both"/>
            </w:pPr>
            <w:r>
              <w:rPr>
                <w:rFonts w:ascii="仿宋_GB2312" w:hAnsi="仿宋_GB2312" w:cs="仿宋_GB2312" w:eastAsia="仿宋_GB2312"/>
                <w:sz w:val="21"/>
                <w:color w:val="000000"/>
              </w:rPr>
              <w:t>各专业人员齐全，技术经验丰富</w:t>
            </w:r>
            <w:r>
              <w:rPr>
                <w:rFonts w:ascii="仿宋_GB2312" w:hAnsi="仿宋_GB2312" w:cs="仿宋_GB2312" w:eastAsia="仿宋_GB2312"/>
                <w:sz w:val="21"/>
                <w:color w:val="000000"/>
              </w:rPr>
              <w:t>，</w:t>
            </w:r>
            <w:r>
              <w:rPr>
                <w:rFonts w:ascii="仿宋_GB2312" w:hAnsi="仿宋_GB2312" w:cs="仿宋_GB2312" w:eastAsia="仿宋_GB2312"/>
                <w:sz w:val="21"/>
                <w:color w:val="000000"/>
              </w:rPr>
              <w:t>编制初步设计方案</w:t>
            </w:r>
            <w:r>
              <w:rPr>
                <w:rFonts w:ascii="仿宋_GB2312" w:hAnsi="仿宋_GB2312" w:cs="仿宋_GB2312" w:eastAsia="仿宋_GB2312"/>
                <w:sz w:val="21"/>
                <w:color w:val="000000"/>
              </w:rPr>
              <w:t>和初步设计概算，最终达到满足功能需求及相应国家规范要求的设计蓝图。</w:t>
            </w:r>
          </w:p>
          <w:p>
            <w:pPr>
              <w:pStyle w:val="null3"/>
              <w:spacing w:before="315"/>
              <w:ind w:left="420"/>
              <w:jc w:val="both"/>
            </w:pPr>
            <w:r>
              <w:rPr>
                <w:rFonts w:ascii="仿宋_GB2312" w:hAnsi="仿宋_GB2312" w:cs="仿宋_GB2312" w:eastAsia="仿宋_GB2312"/>
                <w:sz w:val="21"/>
                <w:b/>
                <w:color w:val="000000"/>
              </w:rPr>
              <w:t>五、商务要求</w:t>
            </w:r>
          </w:p>
          <w:p>
            <w:pPr>
              <w:pStyle w:val="null3"/>
              <w:jc w:val="both"/>
            </w:pPr>
            <w:r>
              <w:rPr>
                <w:rFonts w:ascii="仿宋_GB2312" w:hAnsi="仿宋_GB2312" w:cs="仿宋_GB2312" w:eastAsia="仿宋_GB2312"/>
                <w:sz w:val="21"/>
                <w:color w:val="000000"/>
              </w:rPr>
              <w:t>（一）服务期限</w:t>
            </w:r>
          </w:p>
          <w:p>
            <w:pPr>
              <w:pStyle w:val="null3"/>
              <w:ind w:firstLine="420"/>
              <w:jc w:val="both"/>
            </w:pPr>
            <w:r>
              <w:rPr>
                <w:rFonts w:ascii="仿宋_GB2312" w:hAnsi="仿宋_GB2312" w:cs="仿宋_GB2312" w:eastAsia="仿宋_GB2312"/>
                <w:sz w:val="21"/>
                <w:color w:val="000000"/>
              </w:rPr>
              <w:t>自合同签订至项目整体竣工验收完毕。</w:t>
            </w:r>
          </w:p>
          <w:p>
            <w:pPr>
              <w:pStyle w:val="null3"/>
              <w:jc w:val="both"/>
            </w:pPr>
            <w:r>
              <w:rPr>
                <w:rFonts w:ascii="仿宋_GB2312" w:hAnsi="仿宋_GB2312" w:cs="仿宋_GB2312" w:eastAsia="仿宋_GB2312"/>
                <w:sz w:val="21"/>
                <w:color w:val="000000"/>
              </w:rPr>
              <w:t>（二）款项结算</w:t>
            </w:r>
          </w:p>
          <w:p>
            <w:pPr>
              <w:pStyle w:val="null3"/>
              <w:ind w:firstLine="420"/>
              <w:jc w:val="both"/>
            </w:pPr>
            <w:r>
              <w:rPr>
                <w:rFonts w:ascii="仿宋_GB2312" w:hAnsi="仿宋_GB2312" w:cs="仿宋_GB2312" w:eastAsia="仿宋_GB2312"/>
                <w:sz w:val="21"/>
                <w:color w:val="000000"/>
              </w:rPr>
              <w:t>合同签订后</w:t>
            </w:r>
            <w:r>
              <w:rPr>
                <w:rFonts w:ascii="仿宋_GB2312" w:hAnsi="仿宋_GB2312" w:cs="仿宋_GB2312" w:eastAsia="仿宋_GB2312"/>
                <w:sz w:val="21"/>
                <w:color w:val="000000"/>
              </w:rPr>
              <w:t>，</w:t>
            </w:r>
            <w:r>
              <w:rPr>
                <w:rFonts w:ascii="仿宋_GB2312" w:hAnsi="仿宋_GB2312" w:cs="仿宋_GB2312" w:eastAsia="仿宋_GB2312"/>
                <w:sz w:val="21"/>
                <w:color w:val="000000"/>
              </w:rPr>
              <w:t>方案</w:t>
            </w:r>
            <w:r>
              <w:rPr>
                <w:rFonts w:ascii="仿宋_GB2312" w:hAnsi="仿宋_GB2312" w:cs="仿宋_GB2312" w:eastAsia="仿宋_GB2312"/>
                <w:sz w:val="21"/>
                <w:color w:val="000000"/>
              </w:rPr>
              <w:t>完成</w:t>
            </w:r>
            <w:r>
              <w:rPr>
                <w:rFonts w:ascii="仿宋_GB2312" w:hAnsi="仿宋_GB2312" w:cs="仿宋_GB2312" w:eastAsia="仿宋_GB2312"/>
                <w:sz w:val="21"/>
                <w:color w:val="000000"/>
              </w:rPr>
              <w:t>，通过可研批复</w:t>
            </w:r>
            <w:r>
              <w:rPr>
                <w:rFonts w:ascii="仿宋_GB2312" w:hAnsi="仿宋_GB2312" w:cs="仿宋_GB2312" w:eastAsia="仿宋_GB2312"/>
                <w:sz w:val="21"/>
                <w:color w:val="000000"/>
              </w:rPr>
              <w:t>，</w:t>
            </w:r>
            <w:r>
              <w:rPr>
                <w:rFonts w:ascii="仿宋_GB2312" w:hAnsi="仿宋_GB2312" w:cs="仿宋_GB2312" w:eastAsia="仿宋_GB2312"/>
                <w:sz w:val="21"/>
                <w:color w:val="000000"/>
              </w:rPr>
              <w:t>并经发包人确认后，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个工作日内支付合同总价款的</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初步设计概算批复后</w:t>
            </w:r>
            <w:r>
              <w:rPr>
                <w:rFonts w:ascii="仿宋_GB2312" w:hAnsi="仿宋_GB2312" w:cs="仿宋_GB2312" w:eastAsia="仿宋_GB2312"/>
                <w:sz w:val="21"/>
                <w:color w:val="000000"/>
              </w:rPr>
              <w:t>，</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个工作日内支付合同总价款的</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施工图完成并通过审查后，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个工作日内支付合同总价款的</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项目竣工验收后，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个工作日内支付合同总价款的</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spacing w:before="315"/>
              <w:jc w:val="both"/>
            </w:pPr>
            <w:r>
              <w:rPr>
                <w:rFonts w:ascii="仿宋_GB2312" w:hAnsi="仿宋_GB2312" w:cs="仿宋_GB2312" w:eastAsia="仿宋_GB2312"/>
                <w:sz w:val="21"/>
                <w:b/>
                <w:color w:val="000000"/>
              </w:rPr>
              <w:t>六、其他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）进度要求</w:t>
            </w:r>
          </w:p>
          <w:p>
            <w:pPr>
              <w:pStyle w:val="null3"/>
              <w:ind w:firstLine="420"/>
              <w:jc w:val="both"/>
            </w:pPr>
            <w:r>
              <w:rPr>
                <w:rFonts w:ascii="仿宋_GB2312" w:hAnsi="仿宋_GB2312" w:cs="仿宋_GB2312" w:eastAsia="仿宋_GB2312"/>
                <w:sz w:val="21"/>
                <w:color w:val="000000"/>
              </w:rPr>
              <w:t>合同签订后</w:t>
            </w:r>
            <w:r>
              <w:rPr>
                <w:rFonts w:ascii="仿宋_GB2312" w:hAnsi="仿宋_GB2312" w:cs="仿宋_GB2312" w:eastAsia="仿宋_GB2312"/>
                <w:sz w:val="21"/>
                <w:color w:val="000000"/>
              </w:rPr>
              <w:t>45个日历日内完成初步设计方案及初步设计概算书的编制。合同签订后60个日历日内完成施工图设计及图纸审查。</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）成果交付要求</w:t>
            </w:r>
          </w:p>
          <w:p>
            <w:pPr>
              <w:pStyle w:val="null3"/>
              <w:ind w:firstLine="420"/>
              <w:jc w:val="both"/>
            </w:pPr>
            <w:r>
              <w:rPr>
                <w:rFonts w:ascii="仿宋_GB2312" w:hAnsi="仿宋_GB2312" w:cs="仿宋_GB2312" w:eastAsia="仿宋_GB2312"/>
                <w:sz w:val="21"/>
                <w:color w:val="000000"/>
              </w:rPr>
              <w:t>1、方案文本，纸质版2份</w:t>
            </w:r>
          </w:p>
          <w:p>
            <w:pPr>
              <w:pStyle w:val="null3"/>
              <w:ind w:firstLine="420"/>
              <w:jc w:val="both"/>
            </w:pPr>
            <w:r>
              <w:rPr>
                <w:rFonts w:ascii="仿宋_GB2312" w:hAnsi="仿宋_GB2312" w:cs="仿宋_GB2312" w:eastAsia="仿宋_GB2312"/>
                <w:sz w:val="21"/>
                <w:color w:val="000000"/>
              </w:rPr>
              <w:t>2、初步设计图纸，纸质版5套</w:t>
            </w:r>
          </w:p>
          <w:p>
            <w:pPr>
              <w:pStyle w:val="null3"/>
              <w:ind w:firstLine="420"/>
              <w:jc w:val="both"/>
            </w:pPr>
            <w:r>
              <w:rPr>
                <w:rFonts w:ascii="仿宋_GB2312" w:hAnsi="仿宋_GB2312" w:cs="仿宋_GB2312" w:eastAsia="仿宋_GB2312"/>
                <w:sz w:val="21"/>
                <w:color w:val="000000"/>
              </w:rPr>
              <w:t>3、初步设计概算书，纸质版2份</w:t>
            </w:r>
          </w:p>
          <w:p>
            <w:pPr>
              <w:pStyle w:val="null3"/>
              <w:ind w:firstLine="420"/>
              <w:jc w:val="both"/>
            </w:pPr>
            <w:r>
              <w:rPr>
                <w:rFonts w:ascii="仿宋_GB2312" w:hAnsi="仿宋_GB2312" w:cs="仿宋_GB2312" w:eastAsia="仿宋_GB2312"/>
                <w:sz w:val="21"/>
                <w:color w:val="000000"/>
              </w:rPr>
              <w:t>4、施工图设计图纸，纸质版8套</w:t>
            </w:r>
          </w:p>
          <w:p>
            <w:pPr>
              <w:pStyle w:val="null3"/>
              <w:ind w:firstLine="420"/>
              <w:jc w:val="both"/>
            </w:pPr>
            <w:r>
              <w:rPr>
                <w:rFonts w:ascii="仿宋_GB2312" w:hAnsi="仿宋_GB2312" w:cs="仿宋_GB2312" w:eastAsia="仿宋_GB2312"/>
                <w:sz w:val="21"/>
                <w:color w:val="000000"/>
              </w:rPr>
              <w:t>以上资料提供电子版</w:t>
            </w:r>
            <w:r>
              <w:rPr>
                <w:rFonts w:ascii="仿宋_GB2312" w:hAnsi="仿宋_GB2312" w:cs="仿宋_GB2312" w:eastAsia="仿宋_GB2312"/>
                <w:sz w:val="21"/>
                <w:color w:val="000000"/>
              </w:rPr>
              <w:t>1份（WORD格式、PDF格式），刻录成DVD。</w:t>
            </w:r>
          </w:p>
          <w:p>
            <w:pPr>
              <w:pStyle w:val="null3"/>
              <w:jc w:val="both"/>
            </w:pPr>
            <w:r>
              <w:rPr>
                <w:rFonts w:ascii="仿宋_GB2312" w:hAnsi="仿宋_GB2312" w:cs="仿宋_GB2312" w:eastAsia="仿宋_GB2312"/>
                <w:sz w:val="21"/>
                <w:color w:val="000000"/>
              </w:rPr>
              <w:t>（三）质量验收标准或规范</w:t>
            </w:r>
          </w:p>
          <w:p>
            <w:pPr>
              <w:pStyle w:val="null3"/>
              <w:ind w:firstLine="420"/>
              <w:jc w:val="both"/>
            </w:pPr>
            <w:r>
              <w:rPr>
                <w:rFonts w:ascii="仿宋_GB2312" w:hAnsi="仿宋_GB2312" w:cs="仿宋_GB2312" w:eastAsia="仿宋_GB2312"/>
                <w:sz w:val="21"/>
                <w:color w:val="000000"/>
              </w:rPr>
              <w:t>1、《综合医院建筑设计规范》（GB 51039-2014）；</w:t>
            </w:r>
          </w:p>
          <w:p>
            <w:pPr>
              <w:pStyle w:val="null3"/>
              <w:ind w:firstLine="420"/>
              <w:jc w:val="both"/>
            </w:pPr>
            <w:r>
              <w:rPr>
                <w:rFonts w:ascii="仿宋_GB2312" w:hAnsi="仿宋_GB2312" w:cs="仿宋_GB2312" w:eastAsia="仿宋_GB2312"/>
                <w:sz w:val="21"/>
                <w:color w:val="000000"/>
              </w:rPr>
              <w:t>2、《医院洁净手术部建筑技术规范》（GB 50333-2013）；</w:t>
            </w:r>
          </w:p>
          <w:p>
            <w:pPr>
              <w:pStyle w:val="null3"/>
              <w:ind w:firstLine="420"/>
              <w:jc w:val="both"/>
            </w:pPr>
            <w:r>
              <w:rPr>
                <w:rFonts w:ascii="仿宋_GB2312" w:hAnsi="仿宋_GB2312" w:cs="仿宋_GB2312" w:eastAsia="仿宋_GB2312"/>
                <w:sz w:val="21"/>
                <w:color w:val="000000"/>
              </w:rPr>
              <w:t>3、《建筑设计防火规范》（GB 50016-2014，2018年版）</w:t>
            </w:r>
          </w:p>
          <w:p>
            <w:pPr>
              <w:pStyle w:val="null3"/>
              <w:ind w:firstLine="420"/>
              <w:jc w:val="both"/>
            </w:pPr>
            <w:r>
              <w:rPr>
                <w:rFonts w:ascii="仿宋_GB2312" w:hAnsi="仿宋_GB2312" w:cs="仿宋_GB2312" w:eastAsia="仿宋_GB2312"/>
                <w:sz w:val="21"/>
                <w:color w:val="000000"/>
              </w:rPr>
              <w:t>4、《火灾自动报警系统设计规范》（GB 50116-2013）；</w:t>
            </w:r>
          </w:p>
          <w:p>
            <w:pPr>
              <w:pStyle w:val="null3"/>
              <w:ind w:firstLine="420"/>
              <w:jc w:val="both"/>
            </w:pPr>
            <w:r>
              <w:rPr>
                <w:rFonts w:ascii="仿宋_GB2312" w:hAnsi="仿宋_GB2312" w:cs="仿宋_GB2312" w:eastAsia="仿宋_GB2312"/>
                <w:sz w:val="21"/>
                <w:color w:val="000000"/>
              </w:rPr>
              <w:t>5、《自动喷水灭火系统设计规范》（GB 50084-2017）；</w:t>
            </w:r>
          </w:p>
          <w:p>
            <w:pPr>
              <w:pStyle w:val="null3"/>
              <w:ind w:firstLine="420"/>
              <w:jc w:val="both"/>
            </w:pPr>
            <w:r>
              <w:rPr>
                <w:rFonts w:ascii="仿宋_GB2312" w:hAnsi="仿宋_GB2312" w:cs="仿宋_GB2312" w:eastAsia="仿宋_GB2312"/>
                <w:sz w:val="21"/>
                <w:color w:val="000000"/>
              </w:rPr>
              <w:t>6、《建筑防烟排烟系统技术标准》（GB 51251-2017）；</w:t>
            </w:r>
          </w:p>
          <w:p>
            <w:pPr>
              <w:pStyle w:val="null3"/>
              <w:ind w:firstLine="420"/>
              <w:jc w:val="both"/>
            </w:pPr>
            <w:r>
              <w:rPr>
                <w:rFonts w:ascii="仿宋_GB2312" w:hAnsi="仿宋_GB2312" w:cs="仿宋_GB2312" w:eastAsia="仿宋_GB2312"/>
                <w:sz w:val="21"/>
                <w:color w:val="000000"/>
              </w:rPr>
              <w:t>7、《消防应急照明和疏散指示系统技术标准》（GB 51309-2018）。</w:t>
            </w:r>
          </w:p>
          <w:p>
            <w:pPr>
              <w:pStyle w:val="null3"/>
              <w:ind w:firstLine="420"/>
              <w:jc w:val="both"/>
            </w:pPr>
            <w:r>
              <w:rPr>
                <w:rFonts w:ascii="仿宋_GB2312" w:hAnsi="仿宋_GB2312" w:cs="仿宋_GB2312" w:eastAsia="仿宋_GB2312"/>
                <w:sz w:val="21"/>
                <w:color w:val="000000"/>
              </w:rPr>
              <w:t>8、《民用建筑可靠性鉴定标准》（GB 50292-2015）；</w:t>
            </w:r>
          </w:p>
          <w:p>
            <w:pPr>
              <w:pStyle w:val="null3"/>
              <w:ind w:firstLine="420"/>
              <w:jc w:val="both"/>
            </w:pPr>
            <w:r>
              <w:rPr>
                <w:rFonts w:ascii="仿宋_GB2312" w:hAnsi="仿宋_GB2312" w:cs="仿宋_GB2312" w:eastAsia="仿宋_GB2312"/>
                <w:sz w:val="21"/>
                <w:color w:val="000000"/>
              </w:rPr>
              <w:t>9、《混凝土结构加固设计规范》（GB 50367-2013）；</w:t>
            </w:r>
          </w:p>
          <w:p>
            <w:pPr>
              <w:pStyle w:val="null3"/>
              <w:ind w:firstLine="420"/>
              <w:jc w:val="both"/>
            </w:pPr>
            <w:r>
              <w:rPr>
                <w:rFonts w:ascii="仿宋_GB2312" w:hAnsi="仿宋_GB2312" w:cs="仿宋_GB2312" w:eastAsia="仿宋_GB2312"/>
                <w:sz w:val="21"/>
                <w:color w:val="000000"/>
              </w:rPr>
              <w:t>10、《建筑抗震设计规范》（GB 50011-2010，2016年版）；</w:t>
            </w:r>
          </w:p>
          <w:p>
            <w:pPr>
              <w:pStyle w:val="null3"/>
              <w:ind w:firstLine="420"/>
              <w:jc w:val="both"/>
            </w:pPr>
            <w:r>
              <w:rPr>
                <w:rFonts w:ascii="仿宋_GB2312" w:hAnsi="仿宋_GB2312" w:cs="仿宋_GB2312" w:eastAsia="仿宋_GB2312"/>
                <w:sz w:val="21"/>
                <w:color w:val="000000"/>
              </w:rPr>
              <w:t>11、《建筑结构荷载规范》（GB 50009-2012）；</w:t>
            </w:r>
          </w:p>
          <w:p>
            <w:pPr>
              <w:pStyle w:val="null3"/>
              <w:ind w:firstLine="420"/>
              <w:jc w:val="both"/>
            </w:pPr>
            <w:r>
              <w:rPr>
                <w:rFonts w:ascii="仿宋_GB2312" w:hAnsi="仿宋_GB2312" w:cs="仿宋_GB2312" w:eastAsia="仿宋_GB2312"/>
                <w:sz w:val="21"/>
                <w:color w:val="000000"/>
              </w:rPr>
              <w:t>12、《既有建筑改造通用规范》（GB 55028-2021）</w:t>
            </w:r>
          </w:p>
          <w:p>
            <w:pPr>
              <w:pStyle w:val="null3"/>
              <w:ind w:firstLine="420"/>
              <w:jc w:val="both"/>
            </w:pPr>
            <w:r>
              <w:rPr>
                <w:rFonts w:ascii="仿宋_GB2312" w:hAnsi="仿宋_GB2312" w:cs="仿宋_GB2312" w:eastAsia="仿宋_GB2312"/>
                <w:sz w:val="21"/>
                <w:color w:val="000000"/>
              </w:rPr>
              <w:t>13、《民用建筑设计统一标准》（GB 50352-2019）；</w:t>
            </w:r>
          </w:p>
          <w:p>
            <w:pPr>
              <w:pStyle w:val="null3"/>
              <w:ind w:firstLine="420"/>
              <w:jc w:val="both"/>
            </w:pPr>
            <w:r>
              <w:rPr>
                <w:rFonts w:ascii="仿宋_GB2312" w:hAnsi="仿宋_GB2312" w:cs="仿宋_GB2312" w:eastAsia="仿宋_GB2312"/>
                <w:sz w:val="21"/>
                <w:color w:val="000000"/>
              </w:rPr>
              <w:t>14、《建筑节能与可再生能源利用通用规范》（GB 55015-2021）；</w:t>
            </w:r>
          </w:p>
          <w:p>
            <w:pPr>
              <w:pStyle w:val="null3"/>
              <w:ind w:firstLine="420"/>
              <w:jc w:val="both"/>
            </w:pPr>
            <w:r>
              <w:rPr>
                <w:rFonts w:ascii="仿宋_GB2312" w:hAnsi="仿宋_GB2312" w:cs="仿宋_GB2312" w:eastAsia="仿宋_GB2312"/>
                <w:sz w:val="21"/>
                <w:color w:val="000000"/>
              </w:rPr>
              <w:t>15、《安全防范工程技术标准》（GB 50348-2018）。</w:t>
            </w:r>
          </w:p>
          <w:p>
            <w:pPr>
              <w:pStyle w:val="null3"/>
              <w:ind w:firstLine="420"/>
              <w:jc w:val="both"/>
            </w:pPr>
            <w:r>
              <w:rPr>
                <w:rFonts w:ascii="仿宋_GB2312" w:hAnsi="仿宋_GB2312" w:cs="仿宋_GB2312" w:eastAsia="仿宋_GB2312"/>
                <w:sz w:val="21"/>
                <w:color w:val="000000"/>
              </w:rPr>
              <w:t>15、《建筑与市政工程无障碍通用规范》（GB 55019-2021）等。</w:t>
            </w:r>
          </w:p>
          <w:p>
            <w:pPr>
              <w:pStyle w:val="null3"/>
              <w:ind w:firstLine="420"/>
              <w:jc w:val="both"/>
            </w:pPr>
            <w:r>
              <w:rPr>
                <w:rFonts w:ascii="仿宋_GB2312" w:hAnsi="仿宋_GB2312" w:cs="仿宋_GB2312" w:eastAsia="仿宋_GB2312"/>
                <w:sz w:val="21"/>
                <w:color w:val="000000"/>
              </w:rPr>
              <w:t>若有最新的规范，按照最新版本执行。</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四</w:t>
            </w:r>
            <w:r>
              <w:rPr>
                <w:rFonts w:ascii="仿宋_GB2312" w:hAnsi="仿宋_GB2312" w:cs="仿宋_GB2312" w:eastAsia="仿宋_GB2312"/>
                <w:sz w:val="21"/>
                <w:color w:val="000000"/>
              </w:rPr>
              <w:t>）违约责任</w:t>
            </w:r>
          </w:p>
          <w:p>
            <w:pPr>
              <w:pStyle w:val="null3"/>
              <w:ind w:firstLine="420"/>
              <w:jc w:val="both"/>
            </w:pPr>
            <w:r>
              <w:rPr>
                <w:rFonts w:ascii="仿宋_GB2312" w:hAnsi="仿宋_GB2312" w:cs="仿宋_GB2312" w:eastAsia="仿宋_GB2312"/>
                <w:sz w:val="21"/>
                <w:color w:val="000000"/>
              </w:rPr>
              <w:t>承包人未按合同规定时间</w:t>
            </w:r>
            <w:r>
              <w:rPr>
                <w:rFonts w:ascii="仿宋_GB2312" w:hAnsi="仿宋_GB2312" w:cs="仿宋_GB2312" w:eastAsia="仿宋_GB2312"/>
                <w:sz w:val="21"/>
                <w:color w:val="000000"/>
              </w:rPr>
              <w:t>(日期)提交设计成果资料，每超过一日，应减收合同金额的3%，设计人超过15日仍未提交成果的，发包人有权解除合同，合同自书面解除通知到达承包人时解除，同时承包人应按照合同总额的30%向发包人支付违约金，并承担发包人全部损失。</w:t>
            </w:r>
          </w:p>
          <w:p>
            <w:pPr>
              <w:pStyle w:val="null3"/>
              <w:jc w:val="both"/>
            </w:pPr>
            <w:r>
              <w:rPr>
                <w:rFonts w:ascii="仿宋_GB2312" w:hAnsi="仿宋_GB2312" w:cs="仿宋_GB2312" w:eastAsia="仿宋_GB2312"/>
                <w:sz w:val="21"/>
                <w:color w:val="000000"/>
              </w:rPr>
              <w:t>（五）争议解决</w:t>
            </w:r>
          </w:p>
          <w:p>
            <w:pPr>
              <w:pStyle w:val="null3"/>
            </w:pPr>
            <w:r>
              <w:rPr>
                <w:rFonts w:ascii="仿宋_GB2312" w:hAnsi="仿宋_GB2312" w:cs="仿宋_GB2312" w:eastAsia="仿宋_GB2312"/>
                <w:sz w:val="21"/>
                <w:color w:val="000000"/>
              </w:rPr>
              <w:t>双方协商解决，在协商、调解不成时</w:t>
            </w:r>
            <w:r>
              <w:rPr>
                <w:rFonts w:ascii="仿宋_GB2312" w:hAnsi="仿宋_GB2312" w:cs="仿宋_GB2312" w:eastAsia="仿宋_GB2312"/>
                <w:sz w:val="21"/>
                <w:color w:val="000000"/>
              </w:rPr>
              <w:t>向甲方所在地人民法院提起诉讼。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合同签订后45个日历日内完成初步设计方案及初步设计概算书的编制。合同签订后60个日历日内完成施工图设计及图纸审查。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西安市红会医院南院区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进度款，合同签订后，方案完成，通过可研批复，并经发包人确认后，达到付款条件起15个工作日内，支付合同总金额的30.0%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进度款，初步设计概算批复后，达到付款条件起15个工作日内，支付合同总金额的30.0%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进度款，施工图完成并通过审查后，达到付款条件起15个工作日内，支付合同总金额的30.0%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进度款，项目竣工验收后，达到付款条件起15个工作日内，支付合同总金额的10.0%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每次支付款项前，设计人须向发包人提供正规等额增值税发票，若因发票未及时提供引起支付延迟的，相关责任由设计人负责。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（1）供应商应提供磋商截止时间前近六个月中任何一个月纳税凭证，时间以税款所属时期为准（银行出具的缴税凭证或税务机关出具的证明的复印件，并加盖本单位公章）。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（3）依法免税或无须缴纳税收的供应商，应提供相应证明文件。 3.依法缴纳社会保障资金的相关材料： （1）供应商应提供磋商截止时间前近六个月中至少一个月的缴纳社会保险的凭据（专用收据或社会保险缴纳清单），并加盖本单位公章。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（3）依法不需要缴纳社会保障资金的，应提供相应文件说明其依法不需要缴纳的证明材料复印件，并加盖本单位公章。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（1）提供2024年度或者2025年度经审计的财务报告，应满足以下要求：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（2）提供资信证明扫描件，应满足以下要求： ①资信证明须为递交磋商文件截止时间前三个月内由供应商基本账户开户银行出具。 ②无论开具银行是否标明“复印无效”，供应商提供的复印件在本次磋商中予以认可（即不因“复印无效”字样而认定资信证明复印件无效）。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信用信息：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 （以采购代理机构于递交磋商响应文件截止时间当天进行资格审查时在“信用中国”网站（www.creditchina.gov.cn）及中国政府采购网(www.ccgp.gov.cn)查询结果为准）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法定代表人/单位负责人身份证明书、授权委托书及授权代表身份证复印件</w:t>
            </w:r>
          </w:p>
        </w:tc>
        <w:tc>
          <w:tcPr>
            <w:tcW w:type="dxa" w:w="3322"/>
          </w:tcPr>
          <w:p>
            <w:pPr>
              <w:pStyle w:val="null3"/>
            </w:pPr>
            <w:r>
              <w:rPr>
                <w:rFonts w:ascii="仿宋_GB2312" w:hAnsi="仿宋_GB2312" w:cs="仿宋_GB2312" w:eastAsia="仿宋_GB2312"/>
              </w:rPr>
              <w:t>法定代表人/单位负责人身份证明书、授权委托书及授权代表身份证复印件：供应商参加本项目的合法授权人授权委托书； 供应商应授权合法的人员参加磋商全过程，其中法定代表人直接参加磋商的，须出具法定代表人身份证，并与营业执照上信息一致。授权代表参与磋商提供法定代表人（单位负责人）授权委托书（附法定代表人（单位负责人）、被授权人身份证复印件及被授权人截止开标前近半年任意一个月的本单位社保缴纳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供应商具备建设行政主管部门颁发的工程设计综合甲级资质或建筑行业设计乙级及以上资质或建筑行业（建筑工程）专业设计乙级及以上资质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拟派项目负责人须具有建筑专业中级及以上工程师职称，同时具有一级注册建筑师执业资格（须在本设计单位注册）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本项目不接受由西安市红会医院职工及其亲属投资的企业参加磋商</w:t>
            </w:r>
          </w:p>
        </w:tc>
        <w:tc>
          <w:tcPr>
            <w:tcW w:type="dxa" w:w="3322"/>
          </w:tcPr>
          <w:p>
            <w:pPr>
              <w:pStyle w:val="null3"/>
            </w:pPr>
            <w:r>
              <w:rPr>
                <w:rFonts w:ascii="仿宋_GB2312" w:hAnsi="仿宋_GB2312" w:cs="仿宋_GB2312" w:eastAsia="仿宋_GB2312"/>
              </w:rPr>
              <w:t>本项目不接受由西安市红会医院职工及其亲属投资的企业参加磋商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人员资质.docx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人员资质.docx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人员资质.docx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一、评审内容：供应商根据项目实际需求，提供完整设计方案及效果图。方案内容包含但不限于： 1.设计范围、依据及目标：内容完整、依据充分、目标清晰可量化，与项目高度契合。 2.设计编制大纲：结构严谨、逻辑清晰，涵盖全部关键内容，优化思路明确。3.设计效果图：完整、美观、真实感强，充分体现设计意图。 4.专项布置分析：结构加固、消防系统补齐升级、病房改造、连廊设计、院区出入口与流线。 二、评审标准：上述4项内容每完整响应1项得5分，满分20分。每项内容中，存在缺失缺陷1处扣1-2分，扣完为止。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设计进度安排及保障措施</w:t>
            </w:r>
          </w:p>
        </w:tc>
        <w:tc>
          <w:tcPr>
            <w:tcW w:type="dxa" w:w="2492"/>
          </w:tcPr>
          <w:p>
            <w:pPr>
              <w:pStyle w:val="null3"/>
            </w:pPr>
            <w:r>
              <w:rPr>
                <w:rFonts w:ascii="仿宋_GB2312" w:hAnsi="仿宋_GB2312" w:cs="仿宋_GB2312" w:eastAsia="仿宋_GB2312"/>
              </w:rPr>
              <w:t>一、评审内容：供应商根据项目实际需求，提供设计进度安排及保障措施。内容包含但不限于：1.科学合理的进度计划；2.清晰关键节点；3.具体可行的保障措施。 二、评审标准：内容完整全面、按要求响应得满分5分。每有1项内容存在缺失缺陷，扣1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项目组织管理方案</w:t>
            </w:r>
          </w:p>
        </w:tc>
        <w:tc>
          <w:tcPr>
            <w:tcW w:type="dxa" w:w="2492"/>
          </w:tcPr>
          <w:p>
            <w:pPr>
              <w:pStyle w:val="null3"/>
            </w:pPr>
            <w:r>
              <w:rPr>
                <w:rFonts w:ascii="仿宋_GB2312" w:hAnsi="仿宋_GB2312" w:cs="仿宋_GB2312" w:eastAsia="仿宋_GB2312"/>
              </w:rPr>
              <w:t>一、评审内容：供应商根据项目实际需求，提供项目组织管理方案（含项目管理、人员岗位职责）。内容包含但不限于：1.清晰组织架构；2.明确职责分工；3.合理人员配置；4.完善管理流程。 二、评审标准：内容完整全面、按要求响应得满分 5分。每有 1 项内容存在缺失缺陷，扣 1 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针对本项目重难点的分析</w:t>
            </w:r>
          </w:p>
        </w:tc>
        <w:tc>
          <w:tcPr>
            <w:tcW w:type="dxa" w:w="2492"/>
          </w:tcPr>
          <w:p>
            <w:pPr>
              <w:pStyle w:val="null3"/>
            </w:pPr>
            <w:r>
              <w:rPr>
                <w:rFonts w:ascii="仿宋_GB2312" w:hAnsi="仿宋_GB2312" w:cs="仿宋_GB2312" w:eastAsia="仿宋_GB2312"/>
              </w:rPr>
              <w:t>一、评审内容：供应商根据项目实际需求，提供项目重难点分析及应对措施。内容包含但不限于：1.准确全面识别重难点；2.具体可行的应对措施。 二、评审标准：内容完整全面、按要求响应得满分5分。每有 1 项内容存在缺失缺陷，扣1分，扣完为止。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供应商针对本项目有明确的服务承诺</w:t>
            </w:r>
          </w:p>
        </w:tc>
        <w:tc>
          <w:tcPr>
            <w:tcW w:type="dxa" w:w="2492"/>
          </w:tcPr>
          <w:p>
            <w:pPr>
              <w:pStyle w:val="null3"/>
            </w:pPr>
            <w:r>
              <w:rPr>
                <w:rFonts w:ascii="仿宋_GB2312" w:hAnsi="仿宋_GB2312" w:cs="仿宋_GB2312" w:eastAsia="仿宋_GB2312"/>
              </w:rPr>
              <w:t>一、供应商针对本项目提供明确服务承诺。内容包含但不限于：具体量化承诺内容、明确响应时间、服务方式、责任人、完善违约处理机制。 二、评审标准：内容完整全面、按要求响应得满分 5分。每有 1 项内容存在缺失缺陷，扣1分；未提供不得分。 备注:缺陷是指内容缺项、不完整或缺少关键点、只有简单描述无实质性内容；非专门针对本项目或不适用本项目特性、套用其他项目内容。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拟派设计人员配备情况</w:t>
            </w:r>
          </w:p>
        </w:tc>
        <w:tc>
          <w:tcPr>
            <w:tcW w:type="dxa" w:w="2492"/>
          </w:tcPr>
          <w:p>
            <w:pPr>
              <w:pStyle w:val="null3"/>
            </w:pPr>
            <w:r>
              <w:rPr>
                <w:rFonts w:ascii="仿宋_GB2312" w:hAnsi="仿宋_GB2312" w:cs="仿宋_GB2312" w:eastAsia="仿宋_GB2312"/>
              </w:rPr>
              <w:t>各专业主要设计负责人：除项目负责人外团队成员至少包含 8 人，且必须满足建筑、结构、电气、暖通、给排水、风景园林、工程造价、工程咨询专业，每个专业各配 1 人及以上，不满足基本团队成员人数配置要求的，本项不得分。 在人员满足的前提下：（1）建筑专业负责人：具备副高级及以上职称资格或具有一级注册建筑师执业资格的，得 2分；其余不得分。 （2）结构专业负责人：具备副高级及以上职称资格或具有一级注册结构工程师执业资格的，得 2分；其余不得分。 （3）给排水专业负责人：具备中级及以上职称资格或具有国家注册公用设备工程师执业资格的，得 2分；其余不得分。（4）暖通专业负责人：具备中级及以上职称资格或具有国家注册公用设备工程师执业资格的，得 2 分；其余不得分。（5）电气专业负责人：具备中级及以上职称资格或具有国家注册电气工程师执业资格的，得2分；其余不得分。（6）风景园林专业负责人：具备中级及以上职称资格的，得2分；其余不得分。（7）工程造价专业负责人：具备中级及以上职称资格或具有国家一级注册造价工程师执业资格的，得2分；其余不得分。（8）工程咨询专业负责人：具备中级及以上职称资格或具有国家注册咨询工程师执业资格的，得 2分；其余不得分。 评审依据：提供团队人员的身份证、注册证、职称证、最近六个月任意一个月的社保缴纳证明。提供上述资料的复印件加盖单位公章附在磋商文件中，否则不得分。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人员资质.docx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在降低建设成本、适老化和适儿化改造、老旧病区多人间改造为双人或单人间等方面的合理化建议以及在合作期内的特色增值服务情况：提出科学可行、利于项目后期实施的降本增效措施；提供贴合项目需求、可落地执行的特色增值服务。 每提供1 项内容得1分，满分4分。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提供供应商自2023年7月至磋商时间截止前（以合同签订日期为准）承接的同类项目、类似规模业绩，每提供1份计2分，最高得10分。 注：业绩以合同为依据，合同至少包括合同首页、中间页和签字盖章页，内容提供不完整的、未提供的均不计分。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提供拟派项目负责人承接的同类项目业绩。每提供1份计2.5分，最高得10分。 评审依据：业绩证明材料以供应商所提供加盖公章的合同的复印件或扫描件为准或提供拟派本项目负责人业绩的支撑证明材料（例如甲方出具加盖公章的证明或设计合同中直接体现项目负责人姓名）。时间以合同签订时间为依据。与供应商业绩可重复使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满足磋商文件要求且最终磋商报价最低为评标基准价，其价格分为满分。其他供应商的价格分统一按照下列公式计算：价格分=（评标基准价/最终磋商报价）×20。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详见附件：人员资质.docx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