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版本号：ZY2026--ZB--CS111020260708001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沉浸式虚实互动急救虚拟仿真实训室建设项目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ZY2026--ZB--CS1110</w:t>
      </w:r>
      <w:r>
        <w:br/>
      </w:r>
      <w:r>
        <w:br/>
      </w:r>
      <w:r>
        <w:br/>
      </w:r>
    </w:p>
    <w:p>
      <w:pPr>
        <w:pStyle w:val="null3"/>
        <w:jc w:val="center"/>
        <w:outlineLvl w:val="2"/>
      </w:pPr>
      <w:r>
        <w:rPr>
          <w:rFonts w:ascii="仿宋_GB2312" w:hAnsi="仿宋_GB2312" w:cs="仿宋_GB2312" w:eastAsia="仿宋_GB2312"/>
          <w:sz w:val="28"/>
          <w:b/>
        </w:rPr>
        <w:t>西安市卫生学校</w:t>
      </w:r>
    </w:p>
    <w:p>
      <w:pPr>
        <w:pStyle w:val="null3"/>
        <w:jc w:val="center"/>
        <w:outlineLvl w:val="2"/>
      </w:pPr>
      <w:r>
        <w:rPr>
          <w:rFonts w:ascii="仿宋_GB2312" w:hAnsi="仿宋_GB2312" w:cs="仿宋_GB2312" w:eastAsia="仿宋_GB2312"/>
          <w:sz w:val="28"/>
          <w:b/>
        </w:rPr>
        <w:t>陕西正翼项目管理咨询有限公司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陕西正翼项目管理咨询有限公司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西安市卫生学校</w:t>
      </w:r>
      <w:r>
        <w:rPr>
          <w:rFonts w:ascii="仿宋_GB2312" w:hAnsi="仿宋_GB2312" w:cs="仿宋_GB2312" w:eastAsia="仿宋_GB2312"/>
        </w:rPr>
        <w:t>委托，拟对</w:t>
      </w:r>
      <w:r>
        <w:rPr>
          <w:rFonts w:ascii="仿宋_GB2312" w:hAnsi="仿宋_GB2312" w:cs="仿宋_GB2312" w:eastAsia="仿宋_GB2312"/>
        </w:rPr>
        <w:t>沉浸式虚实互动急救虚拟仿真实训室建设项目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ZY2026--ZB--CS1110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沉浸式虚实互动急救虚拟仿真实训室建设项目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沉浸式虚实互动急救虚拟仿真实训室建设项目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采购包1（沉浸式虚实互动急救虚拟仿真实训室建设项目）：属于专门面向中小企业采购。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1、营业执照等主体资格证明文件：提供有效合格的具有统一社会信用代码的营业执照，其他组织经营的须提供合法凭证，自然人提供身份证明文件</w:t>
      </w:r>
    </w:p>
    <w:p>
      <w:pPr>
        <w:pStyle w:val="null3"/>
      </w:pPr>
      <w:r>
        <w:rPr>
          <w:rFonts w:ascii="仿宋_GB2312" w:hAnsi="仿宋_GB2312" w:cs="仿宋_GB2312" w:eastAsia="仿宋_GB2312"/>
        </w:rPr>
        <w:t>2、财务状况报告：提供2025年度经审计的财务报告（至少包括审计报告、资产负债表和利润表，成立时间至提交响应文件递交截止时间不足一年的可提供成立后任意时段的资产负债表）或响应文件递交截止时间前三个月内其基本存款账户开户银行出具的资信证明。（如提供资信证明，须同时提供基本存款账户开户许可证或基本存款账户信息）</w:t>
      </w:r>
    </w:p>
    <w:p>
      <w:pPr>
        <w:pStyle w:val="null3"/>
      </w:pPr>
      <w:r>
        <w:rPr>
          <w:rFonts w:ascii="仿宋_GB2312" w:hAnsi="仿宋_GB2312" w:cs="仿宋_GB2312" w:eastAsia="仿宋_GB2312"/>
        </w:rPr>
        <w:t>3、税收缴纳证明：提供开标前一年内（不含开标当月）已缴纳的至少一个月的纳税证明或完税证明（纳税证明或完税证明上应有代收机构或税务机关的公章或业务专用章），依法免税的单位应提供相关证明材料</w:t>
      </w:r>
    </w:p>
    <w:p>
      <w:pPr>
        <w:pStyle w:val="null3"/>
      </w:pPr>
      <w:r>
        <w:rPr>
          <w:rFonts w:ascii="仿宋_GB2312" w:hAnsi="仿宋_GB2312" w:cs="仿宋_GB2312" w:eastAsia="仿宋_GB2312"/>
        </w:rPr>
        <w:t>4、社会保障资金缴纳证明：提供开标前一年内（不含开标当月）已缴纳的至少一个月的社会保障资金缴存单据或社保机构开具的社会保险参保缴费情况证明，（单据或证明上应有社保机构或代收机构的公章或业务专用章），依法不需要缴纳社会保障资金的供应商应提供相关证明材料</w:t>
      </w:r>
    </w:p>
    <w:p>
      <w:pPr>
        <w:pStyle w:val="null3"/>
      </w:pPr>
      <w:r>
        <w:rPr>
          <w:rFonts w:ascii="仿宋_GB2312" w:hAnsi="仿宋_GB2312" w:cs="仿宋_GB2312" w:eastAsia="仿宋_GB2312"/>
        </w:rPr>
        <w:t>5、具备履行合同所必须的设备和专业技术能力：具备履行合同所必须的设备和专业技术能力的书面声明</w:t>
      </w:r>
    </w:p>
    <w:p>
      <w:pPr>
        <w:pStyle w:val="null3"/>
      </w:pPr>
      <w:r>
        <w:rPr>
          <w:rFonts w:ascii="仿宋_GB2312" w:hAnsi="仿宋_GB2312" w:cs="仿宋_GB2312" w:eastAsia="仿宋_GB2312"/>
        </w:rPr>
        <w:t>6、参加政府采购活动前三年内，在经营活动中没有重大违法记录：参加政府采购活动前三年内，在经营活动中没有重大违法记录的书面声明</w:t>
      </w:r>
    </w:p>
    <w:p>
      <w:pPr>
        <w:pStyle w:val="null3"/>
      </w:pPr>
      <w:r>
        <w:rPr>
          <w:rFonts w:ascii="仿宋_GB2312" w:hAnsi="仿宋_GB2312" w:cs="仿宋_GB2312" w:eastAsia="仿宋_GB2312"/>
        </w:rPr>
        <w:t>7、信用记录：供应商未被列入信用中国网站(www.creditchina.gov.cn)“失信被执行人、重大税收违法失信主体”；不处于中国政府采购网(www.ccgp.gov.cn)“政府采购严重违法失信行为信息记录”中的禁止参加政府采购活动期间</w:t>
      </w:r>
    </w:p>
    <w:p>
      <w:pPr>
        <w:pStyle w:val="null3"/>
      </w:pPr>
      <w:r>
        <w:rPr>
          <w:rFonts w:ascii="仿宋_GB2312" w:hAnsi="仿宋_GB2312" w:cs="仿宋_GB2312" w:eastAsia="仿宋_GB2312"/>
        </w:rPr>
        <w:t>8、授权委托书：法定代表人授权委托书、被授权人身份证(法定代表人参加开标时,只需提供法定代表人身份证；被授权人参加开标时，须提供开标前三个月内任意一个月的社保参保缴费证明</w:t>
      </w:r>
    </w:p>
    <w:p>
      <w:pPr>
        <w:pStyle w:val="null3"/>
      </w:pPr>
      <w:r>
        <w:rPr>
          <w:rFonts w:ascii="仿宋_GB2312" w:hAnsi="仿宋_GB2312" w:cs="仿宋_GB2312" w:eastAsia="仿宋_GB2312"/>
        </w:rPr>
        <w:t>9、资质要求：供应商如为代理经销商的，应具有医疗器械经营许可证或经营备案凭证（所投产品须在其经营范围内）；供应商如为生产厂家的，须提供医疗器械生产许可证或医疗器械生产备案凭证；所投产品属于二类医疗器械的，须提供二类医疗器械备案证或注册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西安市卫生学校</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陕西省西安市碑林区友谊东路463号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轩旭阳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029-85234993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陕西正翼项目管理咨询有限公司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陕西省西安市未央区西安经济技术开发区凤城五路123号秦创原·软科中心B座11层1101室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宋勇进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029-86210100转611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国家计委颁布《招标代理服务收费管理暂行办法》（计价格[2002]1980号）和国家发展和改革委员会办公厅颁发的《关于招标代理服务收费有关问题的通知》（发改办价格[2003]857号）文件规定执行。 招标代理服务费缴纳账户： 开户名称：陕西正翼项目管理咨询有限公司西安分公司 开户银行：中国光大银行股份有限公司西安经济技术开发区支行 账 号：78680188000360910</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西安市卫生学校</w:t>
      </w:r>
      <w:r>
        <w:rPr>
          <w:rFonts w:ascii="仿宋_GB2312" w:hAnsi="仿宋_GB2312" w:cs="仿宋_GB2312" w:eastAsia="仿宋_GB2312"/>
        </w:rPr>
        <w:t>和</w:t>
      </w:r>
      <w:r>
        <w:rPr>
          <w:rFonts w:ascii="仿宋_GB2312" w:hAnsi="仿宋_GB2312" w:cs="仿宋_GB2312" w:eastAsia="仿宋_GB2312"/>
        </w:rPr>
        <w:t>陕西正翼项目管理咨询有限公司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西安市卫生学校</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陕西正翼项目管理咨询有限公司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西安市卫生学校</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陕西正翼项目管理咨询有限公司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 三、如采用供应商所不拥有的知识产权，则在报价中必须包括合法使用该知识产权的相关费用。 四、构成本磋商文件的各组成部分，未经采购人书面同意，供应商不得擅自复印或用于非本磋商项目所需的其他目的。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1.磋商文件、磋商响应文件、澄清表（函）； 2.本合同及附件文本； 3.国家相应的标准、规范。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陕西正翼项目管理咨询有限公司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陕西正翼项目管理咨询有限公司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陕西正翼项目管理咨询有限公司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联系人：宋勇进</w:t>
      </w:r>
    </w:p>
    <w:p>
      <w:pPr>
        <w:pStyle w:val="null3"/>
      </w:pPr>
      <w:r>
        <w:rPr>
          <w:rFonts w:ascii="仿宋_GB2312" w:hAnsi="仿宋_GB2312" w:cs="仿宋_GB2312" w:eastAsia="仿宋_GB2312"/>
        </w:rPr>
        <w:t>联系电话：029-86210100转611</w:t>
      </w:r>
    </w:p>
    <w:p>
      <w:pPr>
        <w:pStyle w:val="null3"/>
      </w:pPr>
      <w:r>
        <w:rPr>
          <w:rFonts w:ascii="仿宋_GB2312" w:hAnsi="仿宋_GB2312" w:cs="仿宋_GB2312" w:eastAsia="仿宋_GB2312"/>
        </w:rPr>
        <w:t>地址：陕西省西安市未央区西安经济技术开发区凤城五路123号秦创原·软科中心B座11层1101室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沉浸式虚实互动急救虚拟仿真实训室建设项目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沉浸式虚实互动急救虚拟仿真实训室建设项目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标的名称：沉浸式虚实互动急救虚拟仿真实训室建设项目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color w:val="000000"/>
              </w:rPr>
              <w:t>详见采购需求附件</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根据采购人、磋商文件要求及合同约定执行。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自合同签订之日起25个日历日完成项目要求的服务内容。</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（1）验收分初次开箱验收和学校最终验收两个阶段，以最终验收为准； （2）货物到货后，甲、乙双方共同开箱验收。在检查货物原产地、型号、规格、配置符合 合同要求后，由乙方负责安装调试、甲方负责技术验收（乙方协助）.验收以国内行业标准或合同文本货物供货配置清单中描述的有关技术要求为准； （3）特殊说明：本次采购的全景数字孪生仿真管理中心及移动交互式心肺复苏模拟人为高价值实训教学专用设备，承担我校师生实训及重大赛事保障任务。为严格防范履约风险，确保供货产品性能与投标文件完全一致，签订合同后，5日内到货并开箱验收，将执行“投标演示功能及实质性参数现场复核机制”。具体要求：中标人必须在验收现场无条件复现投标文件中所列的全部演示功能及实质性参数。如现场复现失败或功能缺失，即认定为未按合同约定提供合格产品，验收不予通过。中标人应在采购人限定的期限内完成整改；若整改无效或拒绝整改，采购人有权单方面解除合同，将其列入不良行为记录名单，并依法追究其虚假应标及违约的法律责任。 （4）在货物安装调试运行正常后，甲方（采购单位）按学校相关业务部门规定提交验收申请，学校根据采购单位技术验收结果，组织有关专家进行货物的最终验收。 验收依据 1.磋商文件、磋商响应文件、澄清表（函）； 2.本合同及附件文本； 3.国家相应的标准、规范。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预付款，签订合同后，达到付款条件起15个工作日内，支付合同总金额的30.0%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进度款，项目完成且经验收合格后，达到付款条件起15个工作日内，支付合同总金额的70.0%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1.按《中华人民共和国民法典》中的相关条款执行。2.未按合同要求提供服务或服务质量不能满足本次采购要求，甲方会同监督机构、采购代理机构有权终止合同和对乙方违约行为进行追究，同时按有关规定进行相应的处罚。 （二）合同争议解决的方式：本合同在履行过程中发生的争议，由甲、乙双方当事人协商解决，协商不成的按下列第2种方式解决：1.提交西安仲裁委员会仲裁；2.依法向有管辖权的人民法院起诉。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根据采购文件要求及合同约定执行；依法免税或不需要缴纳社会保障资金的供应商，应提供相应证明文件，证明其依法免税或不需要缴纳社会保障资金；自然人（仅限中国公民）参与投标时，只需提供身份证复印件； 3.4.2（响应文件格式-标的清单）本项目服务范围：沉浸式虚实互动急救虚拟仿真实训室建设项目；服务要求：符合采购文件有关技术、商务要求；服务标准：符合国家和省、市有关行业标准及采购人的有关规定。 3.4.3因陕西政府采购网电子化流程编制支付约定时无法满足本项目所要求付款方式，本章3.3.5为满足系统功能必填内容，不作参考，本项目具体支付约定为：项目完成且经验收合格后，达到付款条件起 30 日内，支付合同总金额的100.00%。3.3.6本次采购的全景数字孪生仿真管理中心及移动交互式心肺复苏模拟人为高价值实训教学专用设备，承担我校师生实训及重大赛事保障任务。为严格防范履约风险，确保供货产品性能与投标文件完全一致，签订合同后，5日内到货并开箱验收，将执行“投标演示功能及实质性参数现场复核机制”。具体要求：中标人必须在验收现场无条件复现投标文件中所列的全部演示功能及实质性参数。如现场复现失败或功能缺失，即认定为未按合同约定提供合格产品，验收不予通过。中标人应在采购人限定的期限内完成整改；若整改无效或拒绝整改，采购人有权单方面解除合同，将其列入不良行为记录名单，并依法追究其虚假应标及违约的法律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响应函 其他附件.docx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财务报告（至少包括审计报告、资产负债表和利润表，成立时间至提交响应文件递交截止时间不足一年的可提供成立后任意时段的资产负债表）或响应文件递交截止时间前三个月内其基本存款账户开户银行出具的资信证明。（如提供资信证明，须同时提供基本存款账户开户许可证或基本存款账户信息）</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其他附件.docx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其他附件.docx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提供有效合格的具有统一社会信用代码的营业执照，其他组织经营的须提供合法凭证，自然人提供身份证明文件</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报告（至少包括审计报告、资产负债表和利润表，成立时间至提交响应文件递交截止时间不足一年的可提供成立后任意时段的资产负债表）或响应文件递交截止时间前三个月内其基本存款账户开户银行出具的资信证明。（如提供资信证明，须同时提供基本存款账户开户许可证或基本存款账户信息）</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提供开标前一年内（不含开标当月）已缴纳的至少一个月的纳税证明或完税证明（纳税证明或完税证明上应有代收机构或税务机关的公章或业务专用章），依法免税的单位应提供相关证明材料</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开标前一年内（不含开标当月）已缴纳的至少一个月的社会保障资金缴存单据或社保机构开具的社会保险参保缴费情况证明，（单据或证明上应有社保机构或代收机构的公章或业务专用章），依法不需要缴纳社会保障资金的供应商应提供相关证明材料</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具备履行合同所必须的设备和专业技术能力</w:t>
            </w:r>
          </w:p>
        </w:tc>
        <w:tc>
          <w:tcPr>
            <w:tcW w:type="dxa" w:w="3322"/>
          </w:tcPr>
          <w:p>
            <w:pPr>
              <w:pStyle w:val="null3"/>
            </w:pPr>
            <w:r>
              <w:rPr>
                <w:rFonts w:ascii="仿宋_GB2312" w:hAnsi="仿宋_GB2312" w:cs="仿宋_GB2312" w:eastAsia="仿宋_GB2312"/>
              </w:rPr>
              <w:t>具备履行合同所必须的设备和专业技术能力的书面声明</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供应商未被列入信用中国网站(www.creditchina.gov.cn)“失信被执行人、重大税收违法失信主体”；不处于中国政府采购网(www.ccgp.gov.cn)“政府采购严重违法失信行为信息记录”中的禁止参加政府采购活动期间</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法定代表人授权委托书、被授权人身份证(法定代表人参加开标时,只需提供法定代表人身份证；被授权人参加开标时，须提供开标前三个月内任意一个月的社保参保缴费证明</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如为代理经销商的，应具有医疗器械经营许可证或经营备案凭证（所投产品须在其经营范围内）；供应商如为生产厂家的，须提供医疗器械生产许可证或医疗器械生产备案凭证；所投产品属于二类医疗器械的，须提供二类医疗器械备案证或注册证。</w:t>
            </w:r>
          </w:p>
        </w:tc>
        <w:tc>
          <w:tcPr>
            <w:tcW w:type="dxa" w:w="1661"/>
          </w:tcPr>
          <w:p>
            <w:pPr>
              <w:pStyle w:val="null3"/>
            </w:pPr>
            <w:r>
              <w:rPr>
                <w:rFonts w:ascii="仿宋_GB2312" w:hAnsi="仿宋_GB2312" w:cs="仿宋_GB2312" w:eastAsia="仿宋_GB2312"/>
              </w:rPr>
              <w:t>其他附件.docx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在磋商过程中，有下列情形之一的，评审小组将启动异常低价投标（响应）审查程序： 1.投标（响应）报价低于全部通过符合性审查投标人投标（响应）报价平均值50%的，即投标（响应）报价&lt;全部通过符合性审查投标人投标（响应）报价平均值×50%； 2.投标（响应）报价低于通过符合性审查的次低报价投标人投标（响应）报价50%的，即投标（响应）报价&lt;通过符合性审查的次低报价投标人投标（响应）报价×50%； 3.投标（响应）报价低于采购项目最高限价45%的，即投标（响应）报价&lt;采购项目最高限价×45%； 4.评审小组基于专业判断，认为供应商报价过低，有可能影响产品质量或者不能诚信履约的其他情形。 有以上情形的，供应商在接到通知时间起30分钟内提交书面说明（未在规定时间内提交书面说明的按低于成本价，无效投标处理），书面说明应当按照国家财务会计制度的规定要求，逐项就供应商提供的货物、工程和服务的主营业务成本（应根据投标人企业类型予以区别）、税金及附加、销售费用、管理费用、财务费用等成本构成事项详细陈述。投标人提交的相关说明和证明材料，应当加盖供应商（法定名称）电子印章，在评审小组要求的时间内通过项目电子化交易系统进行提交，否则提交的相关证明材料无效。供应商不能证明其响应报价合理性的，评审小组将其响应文件作为无效处理。</w:t>
            </w:r>
          </w:p>
        </w:tc>
        <w:tc>
          <w:tcPr>
            <w:tcW w:type="dxa" w:w="1661"/>
          </w:tcPr>
          <w:p>
            <w:pPr>
              <w:pStyle w:val="null3"/>
            </w:pPr>
            <w:r>
              <w:rPr>
                <w:rFonts w:ascii="仿宋_GB2312" w:hAnsi="仿宋_GB2312" w:cs="仿宋_GB2312" w:eastAsia="仿宋_GB2312"/>
              </w:rPr>
              <w:t>标的清单 报价表 其他附件.docx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磋商响应文件完整性</w:t>
            </w:r>
          </w:p>
        </w:tc>
        <w:tc>
          <w:tcPr>
            <w:tcW w:type="dxa" w:w="3322"/>
          </w:tcPr>
          <w:p>
            <w:pPr>
              <w:pStyle w:val="null3"/>
            </w:pPr>
            <w:r>
              <w:rPr>
                <w:rFonts w:ascii="仿宋_GB2312" w:hAnsi="仿宋_GB2312" w:cs="仿宋_GB2312" w:eastAsia="仿宋_GB2312"/>
              </w:rPr>
              <w:t>磋商响应文件构成无重大缺项（详细评审除外），按照磋商文件要求的格式编写磋商响应文件</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其他附件.docx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磋商响应文件报价</w:t>
            </w:r>
          </w:p>
        </w:tc>
        <w:tc>
          <w:tcPr>
            <w:tcW w:type="dxa" w:w="3322"/>
          </w:tcPr>
          <w:p>
            <w:pPr>
              <w:pStyle w:val="null3"/>
            </w:pPr>
            <w:r>
              <w:rPr>
                <w:rFonts w:ascii="仿宋_GB2312" w:hAnsi="仿宋_GB2312" w:cs="仿宋_GB2312" w:eastAsia="仿宋_GB2312"/>
              </w:rPr>
              <w:t>报价唯一，且没有高于采购预算的</w:t>
            </w:r>
          </w:p>
        </w:tc>
        <w:tc>
          <w:tcPr>
            <w:tcW w:type="dxa" w:w="1661"/>
          </w:tcPr>
          <w:p>
            <w:pPr>
              <w:pStyle w:val="null3"/>
            </w:pPr>
            <w:r>
              <w:rPr>
                <w:rFonts w:ascii="仿宋_GB2312" w:hAnsi="仿宋_GB2312" w:cs="仿宋_GB2312" w:eastAsia="仿宋_GB2312"/>
              </w:rPr>
              <w:t>标的清单 报价表 其他附件.docx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磋商响应文件有效性</w:t>
            </w:r>
          </w:p>
        </w:tc>
        <w:tc>
          <w:tcPr>
            <w:tcW w:type="dxa" w:w="3322"/>
          </w:tcPr>
          <w:p>
            <w:pPr>
              <w:pStyle w:val="null3"/>
            </w:pPr>
            <w:r>
              <w:rPr>
                <w:rFonts w:ascii="仿宋_GB2312" w:hAnsi="仿宋_GB2312" w:cs="仿宋_GB2312" w:eastAsia="仿宋_GB2312"/>
              </w:rPr>
              <w:t>磋商响应文件的签署、盖章符合磋商文件要求，“★”号项功能参数符合采购参数要求</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其他附件.docx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磋商有效期、授权有效期</w:t>
            </w:r>
          </w:p>
        </w:tc>
        <w:tc>
          <w:tcPr>
            <w:tcW w:type="dxa" w:w="3322"/>
          </w:tcPr>
          <w:p>
            <w:pPr>
              <w:pStyle w:val="null3"/>
            </w:pPr>
            <w:r>
              <w:rPr>
                <w:rFonts w:ascii="仿宋_GB2312" w:hAnsi="仿宋_GB2312" w:cs="仿宋_GB2312" w:eastAsia="仿宋_GB2312"/>
              </w:rPr>
              <w:t>文件递交截止之日起90日历日</w:t>
            </w:r>
          </w:p>
        </w:tc>
        <w:tc>
          <w:tcPr>
            <w:tcW w:type="dxa" w:w="1661"/>
          </w:tcPr>
          <w:p>
            <w:pPr>
              <w:pStyle w:val="null3"/>
            </w:pPr>
            <w:r>
              <w:rPr>
                <w:rFonts w:ascii="仿宋_GB2312" w:hAnsi="仿宋_GB2312" w:cs="仿宋_GB2312" w:eastAsia="仿宋_GB2312"/>
              </w:rPr>
              <w:t>响应文件封面 标的清单 响应函 其他附件.docx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响应磋商文件要求</w:t>
            </w:r>
          </w:p>
        </w:tc>
        <w:tc>
          <w:tcPr>
            <w:tcW w:type="dxa" w:w="1661"/>
          </w:tcPr>
          <w:p>
            <w:pPr>
              <w:pStyle w:val="null3"/>
            </w:pPr>
            <w:r>
              <w:rPr>
                <w:rFonts w:ascii="仿宋_GB2312" w:hAnsi="仿宋_GB2312" w:cs="仿宋_GB2312" w:eastAsia="仿宋_GB2312"/>
              </w:rPr>
              <w:t>响应文件封面 标的清单 报价表 响应函 其他附件.docx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无磋商文件中规定的无效情形</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其他附件.docx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评审得分相同的，按照最后报价由低到高的顺序推荐。评审得分且最后报价相同的，按照技术指标优劣顺序推荐。评审得分且最后报价且技术指标得分均相同的，由采购人采取随机抽取的方式确定成交供应。</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区间分值：0-24分。 评审标准细化内容： 包括但不限于 ①全景数字孪生仿真管理中心实施方案； ②3DVR实景仿真虚拟急救训练场景实施方案；③海姆立克智能AI马甲实训系统实施方案④虚实一体AI考核（原模拟人利旧升级）实施方案⑤供货方案⑥场地配套改造实施方案（包括地面改造、包暖气片、墙面翻新、线路改造、文化布置、垃圾清运、设备挪移等） 评审标准量化内容： （1）各部分内容全面详细、阐述条理清晰详尽、符合本项目采购需求得24分；（2）评审标准细化内容每缺少一项内容扣4分； （3）每有一项方案内容有一处缺陷的(缺陷是指：对同一问题前后表述矛盾的，或逻辑错误的，或缺少关键节点，或涉及的规范及标准错误，或表述内容不完整，或不利于项目实施、不可能实现的情形等任意一种情形)，一处扣0.1分，扣完为止；不提供方案的不得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根据采购内容及技术要求中技术参数指标进行评审，优于或完全符合磋商文件要求，没有负偏离计35分；每负偏离一项扣0.5分，▲号项的参数，每有一项负偏离扣1分，扣完为止。 注：供应商须提供相关技术参数的佐证证明材料，未按要求提供的不得分。</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项目负责人具备3年及以上类似项目管理经验，并提供相关证明材料（如实施合同、验收报告等） 、响应单位为项目负责人社保缴纳证明计5分。注：相关资料需提供复印件；社保缴纳证明须体现“现缴费单位名称”及“验证二维码”（不提供或提供不全，本项不得分）。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团队人员配置方案</w:t>
            </w:r>
          </w:p>
        </w:tc>
        <w:tc>
          <w:tcPr>
            <w:tcW w:type="dxa" w:w="2492"/>
          </w:tcPr>
          <w:p>
            <w:pPr>
              <w:pStyle w:val="null3"/>
            </w:pPr>
            <w:r>
              <w:rPr>
                <w:rFonts w:ascii="仿宋_GB2312" w:hAnsi="仿宋_GB2312" w:cs="仿宋_GB2312" w:eastAsia="仿宋_GB2312"/>
              </w:rPr>
              <w:t>区间分值：0-5分。 评审标准细化及量化内容： 包含但不限于 ①各岗位人员分工及责任制度 ②人员投入保障机制等。 评审标准量化内容： （1）各部分内容全面详细、阐述条理清晰详尽、符合本项目采购需求得5分；（2）评审标准细化内容每缺少一项内容扣2.5分； （3）每有一项方案内容有一处缺陷的(缺陷是指：对同一问题前后表述矛盾的，或逻辑错误的，或缺少关键节点，或涉及的规范及标准错误，或表述内容不完整，或不利于项目实施、不可能实现的情形等任意一种情形)，一处扣0.1分，扣完为止；不提供方案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项目实施进度、质量保证及售后实施方案</w:t>
            </w:r>
          </w:p>
        </w:tc>
        <w:tc>
          <w:tcPr>
            <w:tcW w:type="dxa" w:w="2492"/>
          </w:tcPr>
          <w:p>
            <w:pPr>
              <w:pStyle w:val="null3"/>
            </w:pPr>
            <w:r>
              <w:rPr>
                <w:rFonts w:ascii="仿宋_GB2312" w:hAnsi="仿宋_GB2312" w:cs="仿宋_GB2312" w:eastAsia="仿宋_GB2312"/>
              </w:rPr>
              <w:t>区间分值0-11分。 评审标准细化内容： 包括但不限于供应商针对本项目提出 ①进度计划安排及保证措施；（本项满分3分） ②质量目标及质量保证措施；（本项满分2分） ③产品售后质量保证范围及保证措施；（本项满分3分） ④软件维保范围及维保措施；（本项满分3分） 评审标准量化内容： （1）评审标准细化内容全面详细、阐述条理清晰详尽、符合本项目采购需求得11分； （2）评审标准细化内容每缺少一项扣该项方案对应分值； （3）评审标准细化内容缺失则不得分，每有一项要求的方案内容有一处缺陷的(缺陷是指：对同一问题前后表述矛盾的，或逻辑错误的，或缺少关键节点，或涉及的规范及标准错误，或表述内容不完整，或不利于项目实施、不可能实现的情形等任意一种情形)，一处扣0.1分，扣完为止；不提供方案的不得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提供供应商2023年6月至今完成此类项目相关经验的证明材料，证明材料至少包括中标（成交）通知书或中标公告截图和实施合同。每提供一个业绩得1分，最高得5分； 评审依据：提供证明材料复印件并加盖公章。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价格分统一采用低价优先法计算，即满足磋商文件要求且磋商价格最低的最终磋商报价为磋商基准价，其价格分为满分。其他供应商的价格分统一按照下列公式计算： 磋商报价得分=(磋商基准价／最终磋商报价)×价格权值×100计算分数时四舍五入取小数点后两位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详见附件：其他附件.docx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